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4867CF" w:rsidRPr="007E10DE" w:rsidP="00484EEB">
      <w:pPr>
        <w:pStyle w:val="KOT1"/>
        <w:rPr>
          <w:rtl/>
        </w:rPr>
      </w:pPr>
      <w:bookmarkStart w:id="0" w:name="_Toc349122061"/>
      <w:bookmarkStart w:id="1" w:name="_Toc349136480"/>
      <w:bookmarkStart w:id="2" w:name="_Toc352831083"/>
      <w:bookmarkStart w:id="3" w:name="_Toc354324568"/>
      <w:bookmarkStart w:id="4" w:name="_Toc354661923"/>
      <w:r>
        <w:rPr>
          <w:rFonts w:hint="cs"/>
          <w:rtl/>
        </w:rPr>
        <w:t>הטיפול בעסקים קטנים ובינוניים</w:t>
      </w:r>
    </w:p>
    <w:p w:rsidR="001275A6" w:rsidP="00484EEB">
      <w:pPr>
        <w:pStyle w:val="KOT4"/>
        <w:jc w:val="center"/>
        <w:rPr>
          <w:sz w:val="30"/>
          <w:szCs w:val="30"/>
          <w:rtl/>
        </w:rPr>
      </w:pPr>
      <w:r>
        <w:rPr>
          <w:sz w:val="30"/>
          <w:szCs w:val="30"/>
          <w:rtl/>
        </w:rPr>
        <w:t>תקציר</w:t>
      </w: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rsidP="00484EEB">
            <w:pPr>
              <w:pStyle w:val="KOT4"/>
              <w:spacing w:before="120"/>
              <w:jc w:val="center"/>
              <w:rPr>
                <w:rtl/>
              </w:rPr>
            </w:pPr>
            <w:r>
              <w:rPr>
                <w:rFonts w:hint="cs"/>
                <w:rtl/>
              </w:rPr>
              <w:t>רקע כללי</w:t>
            </w:r>
          </w:p>
        </w:tc>
      </w:tr>
      <w:tr w:rsidTr="00E44678">
        <w:tblPrEx>
          <w:tblW w:w="6691" w:type="dxa"/>
          <w:jc w:val="center"/>
          <w:tblLook w:val="04A0"/>
        </w:tblPrEx>
        <w:trPr>
          <w:jc w:val="center"/>
        </w:trPr>
        <w:tc>
          <w:tcPr>
            <w:tcW w:w="7018" w:type="dxa"/>
          </w:tcPr>
          <w:p w:rsidR="004867CF" w:rsidRPr="004867CF" w:rsidP="00484EEB">
            <w:pPr>
              <w:pStyle w:val="PATIAH"/>
              <w:spacing w:before="60"/>
              <w:rPr>
                <w:sz w:val="22"/>
                <w:szCs w:val="22"/>
                <w:rtl/>
              </w:rPr>
            </w:pPr>
            <w:r w:rsidRPr="004867CF">
              <w:rPr>
                <w:rFonts w:hint="cs"/>
                <w:sz w:val="22"/>
                <w:szCs w:val="22"/>
                <w:rtl/>
              </w:rPr>
              <w:t>לעסקים קטנים ובינוניים נודעת חשיבות רבה בהתפתחותן הכלכלית של מדינות, שכן הם נתפסים כיחידות דינמיות, חדשניות, בעלות יכולת תגובה מהירה וכושר הסתגלות לדרישות המשתנות של השווקים וכמקור ליצירת מקומות תעסוקה חדשים.</w:t>
            </w:r>
          </w:p>
          <w:p w:rsidR="001275A6" w:rsidP="00484EEB">
            <w:pPr>
              <w:pStyle w:val="PATIAH"/>
              <w:rPr>
                <w:sz w:val="22"/>
                <w:szCs w:val="22"/>
                <w:rtl/>
              </w:rPr>
            </w:pPr>
            <w:r w:rsidRPr="004867CF">
              <w:rPr>
                <w:rFonts w:hint="cs"/>
                <w:sz w:val="22"/>
                <w:szCs w:val="22"/>
                <w:rtl/>
              </w:rPr>
              <w:t>מגזר</w:t>
            </w:r>
            <w:r w:rsidRPr="004867CF">
              <w:rPr>
                <w:sz w:val="22"/>
                <w:szCs w:val="22"/>
                <w:rtl/>
              </w:rPr>
              <w:t xml:space="preserve"> </w:t>
            </w:r>
            <w:r w:rsidRPr="004867CF">
              <w:rPr>
                <w:rFonts w:hint="cs"/>
                <w:sz w:val="22"/>
                <w:szCs w:val="22"/>
                <w:rtl/>
              </w:rPr>
              <w:t>העסקים</w:t>
            </w:r>
            <w:r w:rsidRPr="004867CF">
              <w:rPr>
                <w:sz w:val="22"/>
                <w:szCs w:val="22"/>
                <w:rtl/>
              </w:rPr>
              <w:t xml:space="preserve"> </w:t>
            </w:r>
            <w:r w:rsidRPr="004867CF">
              <w:rPr>
                <w:rFonts w:hint="cs"/>
                <w:sz w:val="22"/>
                <w:szCs w:val="22"/>
                <w:rtl/>
              </w:rPr>
              <w:t>הקטנים</w:t>
            </w:r>
            <w:r w:rsidRPr="004867CF">
              <w:rPr>
                <w:sz w:val="22"/>
                <w:szCs w:val="22"/>
                <w:rtl/>
              </w:rPr>
              <w:t xml:space="preserve"> </w:t>
            </w:r>
            <w:r w:rsidRPr="004867CF">
              <w:rPr>
                <w:rFonts w:hint="cs"/>
                <w:sz w:val="22"/>
                <w:szCs w:val="22"/>
                <w:rtl/>
              </w:rPr>
              <w:t>והבינוניים בישראל כולל יותר מחצי מיליון עסקים המהווים כ</w:t>
            </w:r>
            <w:r w:rsidRPr="004867CF">
              <w:rPr>
                <w:sz w:val="22"/>
                <w:szCs w:val="22"/>
                <w:rtl/>
              </w:rPr>
              <w:t>-9</w:t>
            </w:r>
            <w:r w:rsidRPr="004867CF">
              <w:rPr>
                <w:rFonts w:hint="cs"/>
                <w:sz w:val="22"/>
                <w:szCs w:val="22"/>
                <w:rtl/>
              </w:rPr>
              <w:t>9</w:t>
            </w:r>
            <w:r w:rsidRPr="004867CF">
              <w:rPr>
                <w:sz w:val="22"/>
                <w:szCs w:val="22"/>
                <w:rtl/>
              </w:rPr>
              <w:t xml:space="preserve">% </w:t>
            </w:r>
            <w:r w:rsidRPr="004867CF">
              <w:rPr>
                <w:rFonts w:hint="cs"/>
                <w:sz w:val="22"/>
                <w:szCs w:val="22"/>
                <w:rtl/>
              </w:rPr>
              <w:t>מהעסקים במדינה. כ-70% מהמועסקים במגזר העסקי מועסקים בעסקים קטנים. הסוכנות לעסקים קטנים ובינוניים במשרד הכלכלה (להלן - הסוכנות) הוקמה על מנת לסייע לעסקים הקטנים והבינוניים להתנהל בשוק העסקי, שבו הם מתחרים עם עסקים גדולים בעלי איתנות פיננסית גדולה יותר ובעלי יכולת להתמודד עם קשיים בירוקרטיים ואחרים. לעידוד עסקים קטנים ובינוניים הקצה משרד הכלכלה בשנת 2014 כ-150 מיליון ש"ח.</w:t>
            </w:r>
          </w:p>
        </w:tc>
      </w:tr>
    </w:tbl>
    <w:p w:rsidR="001275A6" w:rsidP="00484EEB">
      <w:pPr>
        <w:pStyle w:val="takzir"/>
        <w:jc w:val="cente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rsidP="00484EEB">
            <w:pPr>
              <w:pStyle w:val="KOT4"/>
              <w:spacing w:before="120"/>
              <w:jc w:val="center"/>
              <w:rPr>
                <w:rtl/>
              </w:rPr>
            </w:pPr>
            <w:r>
              <w:rPr>
                <w:rtl/>
              </w:rPr>
              <w:t>פעולות הביקורת</w:t>
            </w:r>
          </w:p>
        </w:tc>
      </w:tr>
      <w:tr w:rsidTr="00E44678">
        <w:tblPrEx>
          <w:tblW w:w="6691" w:type="dxa"/>
          <w:jc w:val="center"/>
          <w:tblLook w:val="04A0"/>
        </w:tblPrEx>
        <w:trPr>
          <w:jc w:val="center"/>
        </w:trPr>
        <w:tc>
          <w:tcPr>
            <w:tcW w:w="7018" w:type="dxa"/>
          </w:tcPr>
          <w:p w:rsidR="001275A6" w:rsidP="00484EEB">
            <w:pPr>
              <w:pStyle w:val="takzir"/>
              <w:spacing w:before="60"/>
              <w:rPr>
                <w:b w:val="0"/>
                <w:bCs w:val="0"/>
                <w:noProof w:val="0"/>
                <w:rtl/>
              </w:rPr>
            </w:pPr>
            <w:r w:rsidRPr="004867CF">
              <w:rPr>
                <w:rFonts w:hint="cs"/>
                <w:b w:val="0"/>
                <w:bCs w:val="0"/>
                <w:noProof w:val="0"/>
                <w:rtl/>
              </w:rPr>
              <w:t xml:space="preserve">בחודשים פברואר-דצמבר 2014 בדק משרד מבקר המדינה את הסיוע לעסקים קטנים ובינוניים ואת ניהול קרן ההלוואות הבנקאית בערבות המדינה לעסקים קטנים ובינוניים. הביקורת נעשתה בסוכנות ובאגף החשב הכללי במשרד האוצר (להלן - </w:t>
            </w:r>
            <w:r w:rsidRPr="004867CF">
              <w:rPr>
                <w:rFonts w:hint="cs"/>
                <w:b w:val="0"/>
                <w:bCs w:val="0"/>
                <w:noProof w:val="0"/>
                <w:rtl/>
              </w:rPr>
              <w:t>החשכ"ל</w:t>
            </w:r>
            <w:r w:rsidRPr="004867CF">
              <w:rPr>
                <w:rFonts w:hint="cs"/>
                <w:b w:val="0"/>
                <w:bCs w:val="0"/>
                <w:noProof w:val="0"/>
                <w:rtl/>
              </w:rPr>
              <w:t>). הביקורת כללה גם מעקב אחר תיקון ליקויים שנמצאו בדוח ביקורת קודם בנושא שפורסם בשנת 2011</w:t>
            </w:r>
            <w:r>
              <w:rPr>
                <w:b w:val="0"/>
                <w:bCs w:val="0"/>
                <w:noProof w:val="0"/>
                <w:vertAlign w:val="superscript"/>
                <w:rtl/>
              </w:rPr>
              <w:footnoteReference w:id="2"/>
            </w:r>
            <w:r w:rsidRPr="004867CF">
              <w:rPr>
                <w:rFonts w:hint="cs"/>
                <w:b w:val="0"/>
                <w:bCs w:val="0"/>
                <w:noProof w:val="0"/>
                <w:rtl/>
              </w:rPr>
              <w:t xml:space="preserve"> (להלן - הדוח הקודם).</w:t>
            </w:r>
          </w:p>
        </w:tc>
      </w:tr>
    </w:tbl>
    <w:p w:rsidR="001275A6" w:rsidP="00484EEB">
      <w:pPr>
        <w:pStyle w:val="takzir"/>
        <w:rPr>
          <w:noProof w:val="0"/>
          <w:sz w:val="28"/>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Ex>
        <w:trPr>
          <w:cantSplit/>
          <w:jc w:val="center"/>
        </w:trPr>
        <w:tc>
          <w:tcPr>
            <w:tcW w:w="7018" w:type="dxa"/>
            <w:shd w:val="pct25" w:color="00FF00" w:fill="auto"/>
          </w:tcPr>
          <w:p w:rsidR="001275A6" w:rsidP="00484EEB">
            <w:pPr>
              <w:pStyle w:val="KOT4"/>
              <w:spacing w:before="120"/>
              <w:jc w:val="center"/>
              <w:rPr>
                <w:rtl/>
              </w:rPr>
            </w:pPr>
            <w:r>
              <w:rPr>
                <w:rFonts w:hint="cs"/>
                <w:rtl/>
              </w:rPr>
              <w:t>הליקויים העיקריים</w:t>
            </w:r>
          </w:p>
        </w:tc>
      </w:tr>
    </w:tbl>
    <w:p w:rsidR="001275A6" w:rsidP="00484EEB">
      <w:pPr>
        <w:keepNext/>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1275A6" w:rsidP="00484EEB">
            <w:pPr>
              <w:pStyle w:val="KOT5"/>
              <w:spacing w:before="120"/>
              <w:jc w:val="center"/>
              <w:rPr>
                <w:sz w:val="24"/>
                <w:szCs w:val="24"/>
                <w:rtl/>
              </w:rPr>
            </w:pPr>
            <w:r w:rsidRPr="004867CF">
              <w:rPr>
                <w:rFonts w:hint="cs"/>
                <w:sz w:val="24"/>
                <w:szCs w:val="24"/>
                <w:rtl/>
              </w:rPr>
              <w:t>חסמים ברכש הממשלתי</w:t>
            </w:r>
          </w:p>
        </w:tc>
      </w:tr>
      <w:tr w:rsidTr="00E44678">
        <w:tblPrEx>
          <w:tblW w:w="6691" w:type="dxa"/>
          <w:jc w:val="center"/>
          <w:tblLook w:val="04A0"/>
        </w:tblPrEx>
        <w:trPr>
          <w:cantSplit/>
          <w:jc w:val="center"/>
        </w:trPr>
        <w:tc>
          <w:tcPr>
            <w:tcW w:w="6691" w:type="dxa"/>
          </w:tcPr>
          <w:p w:rsidR="004867CF" w:rsidRPr="004867CF" w:rsidP="00484EEB">
            <w:pPr>
              <w:pStyle w:val="takzir"/>
              <w:spacing w:before="60"/>
              <w:ind w:left="340" w:hanging="340"/>
              <w:rPr>
                <w:b w:val="0"/>
                <w:bCs w:val="0"/>
                <w:noProof w:val="0"/>
                <w:rtl/>
              </w:rPr>
            </w:pPr>
            <w:r>
              <w:rPr>
                <w:rFonts w:hint="cs"/>
                <w:b w:val="0"/>
                <w:bCs w:val="0"/>
                <w:noProof w:val="0"/>
                <w:rtl/>
              </w:rPr>
              <w:t>1.</w:t>
            </w:r>
            <w:r>
              <w:rPr>
                <w:b w:val="0"/>
                <w:bCs w:val="0"/>
                <w:noProof w:val="0"/>
                <w:rtl/>
              </w:rPr>
              <w:tab/>
            </w:r>
            <w:r w:rsidRPr="004867CF">
              <w:rPr>
                <w:rFonts w:hint="cs"/>
                <w:b w:val="0"/>
                <w:bCs w:val="0"/>
                <w:noProof w:val="0"/>
                <w:rtl/>
              </w:rPr>
              <w:t>ביולי</w:t>
            </w:r>
            <w:r w:rsidRPr="004867CF">
              <w:rPr>
                <w:b w:val="0"/>
                <w:bCs w:val="0"/>
                <w:noProof w:val="0"/>
                <w:rtl/>
              </w:rPr>
              <w:t xml:space="preserve"> 2011 החליטה הממשלה להגדיל את </w:t>
            </w:r>
            <w:r w:rsidRPr="004867CF">
              <w:rPr>
                <w:rFonts w:hint="cs"/>
                <w:b w:val="0"/>
                <w:bCs w:val="0"/>
                <w:noProof w:val="0"/>
                <w:rtl/>
              </w:rPr>
              <w:t>חלקם</w:t>
            </w:r>
            <w:r w:rsidRPr="004867CF">
              <w:rPr>
                <w:b w:val="0"/>
                <w:bCs w:val="0"/>
                <w:noProof w:val="0"/>
                <w:rtl/>
              </w:rPr>
              <w:t xml:space="preserve"> של </w:t>
            </w:r>
            <w:r w:rsidRPr="004867CF">
              <w:rPr>
                <w:rFonts w:hint="cs"/>
                <w:b w:val="0"/>
                <w:bCs w:val="0"/>
                <w:noProof w:val="0"/>
                <w:rtl/>
              </w:rPr>
              <w:t>העסקים</w:t>
            </w:r>
            <w:r w:rsidRPr="004867CF">
              <w:rPr>
                <w:b w:val="0"/>
                <w:bCs w:val="0"/>
                <w:noProof w:val="0"/>
                <w:rtl/>
              </w:rPr>
              <w:t xml:space="preserve"> </w:t>
            </w:r>
            <w:r w:rsidRPr="004867CF">
              <w:rPr>
                <w:rFonts w:hint="cs"/>
                <w:b w:val="0"/>
                <w:bCs w:val="0"/>
                <w:noProof w:val="0"/>
                <w:rtl/>
              </w:rPr>
              <w:t>הקטנים</w:t>
            </w:r>
            <w:r w:rsidRPr="004867CF">
              <w:rPr>
                <w:b w:val="0"/>
                <w:bCs w:val="0"/>
                <w:noProof w:val="0"/>
                <w:rtl/>
              </w:rPr>
              <w:t xml:space="preserve"> </w:t>
            </w:r>
            <w:r w:rsidRPr="004867CF">
              <w:rPr>
                <w:rFonts w:hint="cs"/>
                <w:b w:val="0"/>
                <w:bCs w:val="0"/>
                <w:noProof w:val="0"/>
                <w:rtl/>
              </w:rPr>
              <w:t>והבינוניים</w:t>
            </w:r>
            <w:r w:rsidRPr="004867CF">
              <w:rPr>
                <w:b w:val="0"/>
                <w:bCs w:val="0"/>
                <w:noProof w:val="0"/>
                <w:rtl/>
              </w:rPr>
              <w:t xml:space="preserve"> ברכש הממשלתי </w:t>
            </w:r>
            <w:r w:rsidRPr="004867CF">
              <w:rPr>
                <w:rFonts w:hint="cs"/>
                <w:b w:val="0"/>
                <w:bCs w:val="0"/>
                <w:noProof w:val="0"/>
                <w:rtl/>
              </w:rPr>
              <w:t>באמצעות</w:t>
            </w:r>
            <w:r w:rsidRPr="004867CF">
              <w:rPr>
                <w:b w:val="0"/>
                <w:bCs w:val="0"/>
                <w:noProof w:val="0"/>
                <w:rtl/>
              </w:rPr>
              <w:t xml:space="preserve"> </w:t>
            </w:r>
            <w:r w:rsidRPr="004867CF">
              <w:rPr>
                <w:rFonts w:hint="cs"/>
                <w:b w:val="0"/>
                <w:bCs w:val="0"/>
                <w:noProof w:val="0"/>
                <w:rtl/>
              </w:rPr>
              <w:t>הגברת</w:t>
            </w:r>
            <w:r w:rsidRPr="004867CF">
              <w:rPr>
                <w:b w:val="0"/>
                <w:bCs w:val="0"/>
                <w:noProof w:val="0"/>
                <w:rtl/>
              </w:rPr>
              <w:t xml:space="preserve"> שילוב</w:t>
            </w:r>
            <w:r w:rsidRPr="004867CF">
              <w:rPr>
                <w:rFonts w:hint="cs"/>
                <w:b w:val="0"/>
                <w:bCs w:val="0"/>
                <w:noProof w:val="0"/>
                <w:rtl/>
              </w:rPr>
              <w:t>ם</w:t>
            </w:r>
            <w:r w:rsidRPr="004867CF">
              <w:rPr>
                <w:b w:val="0"/>
                <w:bCs w:val="0"/>
                <w:noProof w:val="0"/>
                <w:rtl/>
              </w:rPr>
              <w:t xml:space="preserve"> במכרזים הממשלתיים לרכישת שירותים. לשם כך קבע </w:t>
            </w:r>
            <w:r w:rsidRPr="004867CF">
              <w:rPr>
                <w:rFonts w:hint="cs"/>
                <w:b w:val="0"/>
                <w:bCs w:val="0"/>
                <w:noProof w:val="0"/>
                <w:rtl/>
              </w:rPr>
              <w:t>החשכ</w:t>
            </w:r>
            <w:r w:rsidRPr="004867CF">
              <w:rPr>
                <w:b w:val="0"/>
                <w:bCs w:val="0"/>
                <w:noProof w:val="0"/>
                <w:rtl/>
              </w:rPr>
              <w:t>"ל</w:t>
            </w:r>
            <w:r w:rsidRPr="004867CF">
              <w:rPr>
                <w:b w:val="0"/>
                <w:bCs w:val="0"/>
                <w:noProof w:val="0"/>
                <w:rtl/>
              </w:rPr>
              <w:t xml:space="preserve"> בשנת 2013 הוראות לביצוע הליכי בקרה ודיווח על מצב שילוב עסקי</w:t>
            </w:r>
            <w:r w:rsidRPr="004867CF">
              <w:rPr>
                <w:rFonts w:hint="cs"/>
                <w:b w:val="0"/>
                <w:bCs w:val="0"/>
                <w:noProof w:val="0"/>
                <w:rtl/>
              </w:rPr>
              <w:t>ם</w:t>
            </w:r>
            <w:r w:rsidRPr="004867CF">
              <w:rPr>
                <w:b w:val="0"/>
                <w:bCs w:val="0"/>
                <w:noProof w:val="0"/>
                <w:rtl/>
              </w:rPr>
              <w:t xml:space="preserve"> קטנים ובינוניים במכרזים </w:t>
            </w:r>
            <w:r w:rsidRPr="004867CF">
              <w:rPr>
                <w:rFonts w:hint="cs"/>
                <w:b w:val="0"/>
                <w:bCs w:val="0"/>
                <w:noProof w:val="0"/>
                <w:rtl/>
              </w:rPr>
              <w:t>כאמור</w:t>
            </w:r>
            <w:r w:rsidRPr="004867CF">
              <w:rPr>
                <w:b w:val="0"/>
                <w:bCs w:val="0"/>
                <w:noProof w:val="0"/>
                <w:rtl/>
              </w:rPr>
              <w:t xml:space="preserve">. </w:t>
            </w:r>
            <w:r w:rsidRPr="004867CF">
              <w:rPr>
                <w:rFonts w:hint="cs"/>
                <w:b w:val="0"/>
                <w:bCs w:val="0"/>
                <w:noProof w:val="0"/>
                <w:rtl/>
              </w:rPr>
              <w:t>נמצא</w:t>
            </w:r>
            <w:r w:rsidRPr="004867CF">
              <w:rPr>
                <w:b w:val="0"/>
                <w:bCs w:val="0"/>
                <w:noProof w:val="0"/>
                <w:rtl/>
              </w:rPr>
              <w:t xml:space="preserve"> כי </w:t>
            </w:r>
            <w:r w:rsidRPr="004867CF">
              <w:rPr>
                <w:rFonts w:hint="cs"/>
                <w:b w:val="0"/>
                <w:bCs w:val="0"/>
                <w:noProof w:val="0"/>
                <w:rtl/>
              </w:rPr>
              <w:t>מינהל</w:t>
            </w:r>
            <w:r w:rsidRPr="004867CF">
              <w:rPr>
                <w:b w:val="0"/>
                <w:bCs w:val="0"/>
                <w:noProof w:val="0"/>
                <w:rtl/>
              </w:rPr>
              <w:t xml:space="preserve"> הרכש </w:t>
            </w:r>
            <w:r w:rsidRPr="004867CF">
              <w:rPr>
                <w:rFonts w:hint="cs"/>
                <w:b w:val="0"/>
                <w:bCs w:val="0"/>
                <w:noProof w:val="0"/>
                <w:rtl/>
              </w:rPr>
              <w:t>הממשלתי</w:t>
            </w:r>
            <w:r w:rsidRPr="004867CF">
              <w:rPr>
                <w:b w:val="0"/>
                <w:bCs w:val="0"/>
                <w:noProof w:val="0"/>
                <w:rtl/>
              </w:rPr>
              <w:t xml:space="preserve"> שבמשרד האוצר</w:t>
            </w:r>
            <w:r w:rsidRPr="004867CF">
              <w:rPr>
                <w:rFonts w:hint="cs"/>
                <w:b w:val="0"/>
                <w:bCs w:val="0"/>
                <w:noProof w:val="0"/>
                <w:rtl/>
              </w:rPr>
              <w:t xml:space="preserve"> (להלן - </w:t>
            </w:r>
            <w:r w:rsidRPr="004867CF">
              <w:rPr>
                <w:rFonts w:hint="cs"/>
                <w:b w:val="0"/>
                <w:bCs w:val="0"/>
                <w:noProof w:val="0"/>
                <w:rtl/>
              </w:rPr>
              <w:t>מינהל</w:t>
            </w:r>
            <w:r w:rsidRPr="004867CF">
              <w:rPr>
                <w:rFonts w:hint="cs"/>
                <w:b w:val="0"/>
                <w:bCs w:val="0"/>
                <w:noProof w:val="0"/>
                <w:rtl/>
              </w:rPr>
              <w:t xml:space="preserve"> הרכש)</w:t>
            </w:r>
            <w:r w:rsidRPr="004867CF">
              <w:rPr>
                <w:b w:val="0"/>
                <w:bCs w:val="0"/>
                <w:noProof w:val="0"/>
                <w:rtl/>
              </w:rPr>
              <w:t xml:space="preserve"> אינו עושה בקרה על ועדות המכרזים המשרדי</w:t>
            </w:r>
            <w:r w:rsidRPr="004867CF">
              <w:rPr>
                <w:rFonts w:hint="cs"/>
                <w:b w:val="0"/>
                <w:bCs w:val="0"/>
                <w:noProof w:val="0"/>
                <w:rtl/>
              </w:rPr>
              <w:t>ות</w:t>
            </w:r>
            <w:r w:rsidRPr="004867CF">
              <w:rPr>
                <w:b w:val="0"/>
                <w:bCs w:val="0"/>
                <w:noProof w:val="0"/>
                <w:rtl/>
              </w:rPr>
              <w:t xml:space="preserve"> כדי </w:t>
            </w:r>
            <w:r w:rsidRPr="004867CF">
              <w:rPr>
                <w:rFonts w:hint="cs"/>
                <w:b w:val="0"/>
                <w:bCs w:val="0"/>
                <w:noProof w:val="0"/>
                <w:rtl/>
              </w:rPr>
              <w:t>לבחון</w:t>
            </w:r>
            <w:r w:rsidRPr="004867CF">
              <w:rPr>
                <w:b w:val="0"/>
                <w:bCs w:val="0"/>
                <w:noProof w:val="0"/>
                <w:rtl/>
              </w:rPr>
              <w:t xml:space="preserve"> </w:t>
            </w:r>
            <w:r w:rsidRPr="004867CF">
              <w:rPr>
                <w:rFonts w:hint="cs"/>
                <w:b w:val="0"/>
                <w:bCs w:val="0"/>
                <w:noProof w:val="0"/>
                <w:rtl/>
              </w:rPr>
              <w:t>האם</w:t>
            </w:r>
            <w:r w:rsidRPr="004867CF">
              <w:rPr>
                <w:b w:val="0"/>
                <w:bCs w:val="0"/>
                <w:noProof w:val="0"/>
                <w:rtl/>
              </w:rPr>
              <w:t xml:space="preserve"> </w:t>
            </w:r>
            <w:r w:rsidRPr="004867CF">
              <w:rPr>
                <w:rFonts w:hint="cs"/>
                <w:b w:val="0"/>
                <w:bCs w:val="0"/>
                <w:noProof w:val="0"/>
                <w:rtl/>
              </w:rPr>
              <w:t>הן</w:t>
            </w:r>
            <w:r w:rsidRPr="004867CF">
              <w:rPr>
                <w:b w:val="0"/>
                <w:bCs w:val="0"/>
                <w:noProof w:val="0"/>
                <w:rtl/>
              </w:rPr>
              <w:t xml:space="preserve"> </w:t>
            </w:r>
            <w:r w:rsidRPr="004867CF">
              <w:rPr>
                <w:rFonts w:hint="cs"/>
                <w:b w:val="0"/>
                <w:bCs w:val="0"/>
                <w:noProof w:val="0"/>
                <w:rtl/>
              </w:rPr>
              <w:t>פועלות</w:t>
            </w:r>
            <w:r w:rsidRPr="004867CF">
              <w:rPr>
                <w:b w:val="0"/>
                <w:bCs w:val="0"/>
                <w:noProof w:val="0"/>
                <w:rtl/>
              </w:rPr>
              <w:t xml:space="preserve"> </w:t>
            </w:r>
            <w:r w:rsidRPr="004867CF">
              <w:rPr>
                <w:rFonts w:hint="cs"/>
                <w:b w:val="0"/>
                <w:bCs w:val="0"/>
                <w:noProof w:val="0"/>
                <w:rtl/>
              </w:rPr>
              <w:t>בהתאם</w:t>
            </w:r>
            <w:r w:rsidRPr="004867CF">
              <w:rPr>
                <w:b w:val="0"/>
                <w:bCs w:val="0"/>
                <w:noProof w:val="0"/>
                <w:rtl/>
              </w:rPr>
              <w:t xml:space="preserve"> </w:t>
            </w:r>
            <w:r w:rsidRPr="004867CF">
              <w:rPr>
                <w:rFonts w:hint="cs"/>
                <w:b w:val="0"/>
                <w:bCs w:val="0"/>
                <w:noProof w:val="0"/>
                <w:rtl/>
              </w:rPr>
              <w:t xml:space="preserve">להוראות </w:t>
            </w:r>
            <w:r w:rsidRPr="004867CF">
              <w:rPr>
                <w:rFonts w:hint="cs"/>
                <w:b w:val="0"/>
                <w:bCs w:val="0"/>
                <w:noProof w:val="0"/>
                <w:rtl/>
              </w:rPr>
              <w:t>החשכ"ל</w:t>
            </w:r>
            <w:r w:rsidRPr="004867CF">
              <w:rPr>
                <w:b w:val="0"/>
                <w:bCs w:val="0"/>
                <w:noProof w:val="0"/>
                <w:rtl/>
              </w:rPr>
              <w:t>.</w:t>
            </w:r>
          </w:p>
          <w:p w:rsidR="004867CF" w:rsidRPr="004867CF" w:rsidP="00484EEB">
            <w:pPr>
              <w:pStyle w:val="takzir"/>
              <w:ind w:left="340" w:hanging="340"/>
              <w:rPr>
                <w:b w:val="0"/>
                <w:bCs w:val="0"/>
                <w:noProof w:val="0"/>
                <w:rtl/>
              </w:rPr>
            </w:pPr>
            <w:r>
              <w:rPr>
                <w:rFonts w:hint="cs"/>
                <w:b w:val="0"/>
                <w:bCs w:val="0"/>
                <w:noProof w:val="0"/>
                <w:rtl/>
              </w:rPr>
              <w:t>2.</w:t>
            </w:r>
            <w:r>
              <w:rPr>
                <w:b w:val="0"/>
                <w:bCs w:val="0"/>
                <w:noProof w:val="0"/>
                <w:rtl/>
              </w:rPr>
              <w:tab/>
            </w:r>
            <w:r w:rsidRPr="004867CF">
              <w:rPr>
                <w:rFonts w:hint="cs"/>
                <w:b w:val="0"/>
                <w:bCs w:val="0"/>
                <w:noProof w:val="0"/>
                <w:rtl/>
              </w:rPr>
              <w:t>מאוגוסט 2014 הסוכנות בוחנת בכל שבוע, באמצעות חברה המספקת לה שירותי בקרה, את המכרזים שמפרסמים משרדי</w:t>
            </w:r>
            <w:r w:rsidRPr="004867CF">
              <w:rPr>
                <w:b w:val="0"/>
                <w:bCs w:val="0"/>
                <w:noProof w:val="0"/>
                <w:rtl/>
              </w:rPr>
              <w:t xml:space="preserve"> </w:t>
            </w:r>
            <w:r w:rsidRPr="004867CF">
              <w:rPr>
                <w:rFonts w:hint="cs"/>
                <w:b w:val="0"/>
                <w:bCs w:val="0"/>
                <w:noProof w:val="0"/>
                <w:rtl/>
              </w:rPr>
              <w:t>ממשלה באתרי האינטרנט שלהם כדי לאתר בהם חסמים המונעים מעסקים קטנים ובינוניים להגיש הצעות למכרז או מקשים עליהם שלא לצורך. נמצא כי הסוכנות בוחנת</w:t>
            </w:r>
            <w:r w:rsidRPr="004867CF">
              <w:rPr>
                <w:b w:val="0"/>
                <w:bCs w:val="0"/>
                <w:noProof w:val="0"/>
                <w:rtl/>
              </w:rPr>
              <w:t xml:space="preserve"> </w:t>
            </w:r>
            <w:r w:rsidRPr="004867CF">
              <w:rPr>
                <w:rFonts w:hint="cs"/>
                <w:b w:val="0"/>
                <w:bCs w:val="0"/>
                <w:noProof w:val="0"/>
                <w:rtl/>
              </w:rPr>
              <w:t>רק</w:t>
            </w:r>
            <w:r w:rsidRPr="004867CF">
              <w:rPr>
                <w:b w:val="0"/>
                <w:bCs w:val="0"/>
                <w:noProof w:val="0"/>
                <w:rtl/>
              </w:rPr>
              <w:t xml:space="preserve"> </w:t>
            </w:r>
            <w:r w:rsidRPr="004867CF">
              <w:rPr>
                <w:rFonts w:hint="cs"/>
                <w:b w:val="0"/>
                <w:bCs w:val="0"/>
                <w:noProof w:val="0"/>
                <w:rtl/>
              </w:rPr>
              <w:t>חלק</w:t>
            </w:r>
            <w:r w:rsidRPr="004867CF">
              <w:rPr>
                <w:b w:val="0"/>
                <w:bCs w:val="0"/>
                <w:noProof w:val="0"/>
                <w:rtl/>
              </w:rPr>
              <w:t xml:space="preserve"> </w:t>
            </w:r>
            <w:r w:rsidRPr="004867CF">
              <w:rPr>
                <w:rFonts w:hint="cs"/>
                <w:b w:val="0"/>
                <w:bCs w:val="0"/>
                <w:noProof w:val="0"/>
                <w:rtl/>
              </w:rPr>
              <w:t>מהגופים</w:t>
            </w:r>
            <w:r w:rsidRPr="004867CF">
              <w:rPr>
                <w:b w:val="0"/>
                <w:bCs w:val="0"/>
                <w:noProof w:val="0"/>
                <w:rtl/>
              </w:rPr>
              <w:t xml:space="preserve"> </w:t>
            </w:r>
            <w:r w:rsidRPr="004867CF">
              <w:rPr>
                <w:rFonts w:hint="cs"/>
                <w:b w:val="0"/>
                <w:bCs w:val="0"/>
                <w:noProof w:val="0"/>
                <w:rtl/>
              </w:rPr>
              <w:t>הציבוריים</w:t>
            </w:r>
            <w:r>
              <w:rPr>
                <w:b w:val="0"/>
                <w:bCs w:val="0"/>
                <w:noProof w:val="0"/>
                <w:vertAlign w:val="superscript"/>
                <w:rtl/>
              </w:rPr>
              <w:footnoteReference w:id="3"/>
            </w:r>
            <w:r w:rsidRPr="004867CF">
              <w:rPr>
                <w:rFonts w:hint="cs"/>
                <w:b w:val="0"/>
                <w:bCs w:val="0"/>
                <w:noProof w:val="0"/>
                <w:rtl/>
              </w:rPr>
              <w:t xml:space="preserve"> המפרסמים מכרזים.</w:t>
            </w:r>
          </w:p>
          <w:p w:rsidR="004867CF" w:rsidRPr="004867CF" w:rsidP="00484EEB">
            <w:pPr>
              <w:pStyle w:val="takzir"/>
              <w:ind w:left="340" w:hanging="340"/>
              <w:rPr>
                <w:b w:val="0"/>
                <w:bCs w:val="0"/>
                <w:noProof w:val="0"/>
                <w:rtl/>
              </w:rPr>
            </w:pPr>
            <w:r>
              <w:rPr>
                <w:rFonts w:hint="cs"/>
                <w:b w:val="0"/>
                <w:bCs w:val="0"/>
                <w:noProof w:val="0"/>
                <w:rtl/>
              </w:rPr>
              <w:t>3.</w:t>
            </w:r>
            <w:r>
              <w:rPr>
                <w:b w:val="0"/>
                <w:bCs w:val="0"/>
                <w:noProof w:val="0"/>
                <w:rtl/>
              </w:rPr>
              <w:tab/>
            </w:r>
            <w:r w:rsidRPr="004867CF">
              <w:rPr>
                <w:rFonts w:hint="eastAsia"/>
                <w:b w:val="0"/>
                <w:bCs w:val="0"/>
                <w:noProof w:val="0"/>
                <w:rtl/>
              </w:rPr>
              <w:t>קיימים</w:t>
            </w:r>
            <w:r w:rsidRPr="004867CF">
              <w:rPr>
                <w:b w:val="0"/>
                <w:bCs w:val="0"/>
                <w:noProof w:val="0"/>
                <w:rtl/>
              </w:rPr>
              <w:t xml:space="preserve"> חסמים להשתתפות עסקים קטנים ובינוניים במכרזים: התשלום </w:t>
            </w:r>
            <w:r w:rsidRPr="004867CF">
              <w:rPr>
                <w:rFonts w:hint="eastAsia"/>
                <w:b w:val="0"/>
                <w:bCs w:val="0"/>
                <w:noProof w:val="0"/>
                <w:rtl/>
              </w:rPr>
              <w:t>עבור</w:t>
            </w:r>
            <w:r w:rsidRPr="004867CF">
              <w:rPr>
                <w:b w:val="0"/>
                <w:bCs w:val="0"/>
                <w:noProof w:val="0"/>
                <w:rtl/>
              </w:rPr>
              <w:t xml:space="preserve"> </w:t>
            </w:r>
            <w:r w:rsidRPr="004867CF">
              <w:rPr>
                <w:rFonts w:hint="eastAsia"/>
                <w:b w:val="0"/>
                <w:bCs w:val="0"/>
                <w:noProof w:val="0"/>
                <w:rtl/>
              </w:rPr>
              <w:t>ההשתתפות</w:t>
            </w:r>
            <w:r w:rsidRPr="004867CF">
              <w:rPr>
                <w:b w:val="0"/>
                <w:bCs w:val="0"/>
                <w:noProof w:val="0"/>
                <w:rtl/>
              </w:rPr>
              <w:t xml:space="preserve"> </w:t>
            </w:r>
            <w:r w:rsidRPr="004867CF">
              <w:rPr>
                <w:rFonts w:hint="eastAsia"/>
                <w:b w:val="0"/>
                <w:bCs w:val="0"/>
                <w:noProof w:val="0"/>
                <w:rtl/>
              </w:rPr>
              <w:t>במכרז</w:t>
            </w:r>
            <w:r w:rsidRPr="004867CF">
              <w:rPr>
                <w:b w:val="0"/>
                <w:bCs w:val="0"/>
                <w:noProof w:val="0"/>
                <w:rtl/>
              </w:rPr>
              <w:t xml:space="preserve"> (רכישת </w:t>
            </w:r>
            <w:r w:rsidRPr="004867CF">
              <w:rPr>
                <w:rFonts w:hint="eastAsia"/>
                <w:b w:val="0"/>
                <w:bCs w:val="0"/>
                <w:noProof w:val="0"/>
                <w:rtl/>
              </w:rPr>
              <w:t>מסמכי</w:t>
            </w:r>
            <w:r w:rsidRPr="004867CF">
              <w:rPr>
                <w:b w:val="0"/>
                <w:bCs w:val="0"/>
                <w:noProof w:val="0"/>
                <w:rtl/>
              </w:rPr>
              <w:t xml:space="preserve"> </w:t>
            </w:r>
            <w:r w:rsidRPr="004867CF">
              <w:rPr>
                <w:rFonts w:hint="eastAsia"/>
                <w:b w:val="0"/>
                <w:bCs w:val="0"/>
                <w:noProof w:val="0"/>
                <w:rtl/>
              </w:rPr>
              <w:t>המכרז</w:t>
            </w:r>
            <w:r w:rsidRPr="004867CF">
              <w:rPr>
                <w:b w:val="0"/>
                <w:bCs w:val="0"/>
                <w:noProof w:val="0"/>
                <w:rtl/>
              </w:rPr>
              <w:t xml:space="preserve">), </w:t>
            </w:r>
            <w:r w:rsidRPr="004867CF">
              <w:rPr>
                <w:rFonts w:hint="cs"/>
                <w:b w:val="0"/>
                <w:bCs w:val="0"/>
                <w:noProof w:val="0"/>
                <w:rtl/>
              </w:rPr>
              <w:t>לא מוחזר למשתתפים</w:t>
            </w:r>
            <w:r w:rsidRPr="004867CF">
              <w:rPr>
                <w:b w:val="0"/>
                <w:bCs w:val="0"/>
                <w:noProof w:val="0"/>
                <w:rtl/>
              </w:rPr>
              <w:t>, ו</w:t>
            </w:r>
            <w:r w:rsidRPr="004867CF">
              <w:rPr>
                <w:rFonts w:hint="cs"/>
                <w:b w:val="0"/>
                <w:bCs w:val="0"/>
                <w:noProof w:val="0"/>
                <w:rtl/>
              </w:rPr>
              <w:t>שיעור</w:t>
            </w:r>
            <w:r w:rsidRPr="004867CF">
              <w:rPr>
                <w:b w:val="0"/>
                <w:bCs w:val="0"/>
                <w:noProof w:val="0"/>
                <w:rtl/>
              </w:rPr>
              <w:t xml:space="preserve"> </w:t>
            </w:r>
            <w:r w:rsidRPr="004867CF">
              <w:rPr>
                <w:rFonts w:hint="eastAsia"/>
                <w:b w:val="0"/>
                <w:bCs w:val="0"/>
                <w:noProof w:val="0"/>
                <w:rtl/>
              </w:rPr>
              <w:t>הערבויות</w:t>
            </w:r>
            <w:r w:rsidRPr="004867CF">
              <w:rPr>
                <w:b w:val="0"/>
                <w:bCs w:val="0"/>
                <w:noProof w:val="0"/>
                <w:rtl/>
              </w:rPr>
              <w:t xml:space="preserve"> שיש להפקיד כדי להשתתף במכרז. אין כללים </w:t>
            </w:r>
            <w:r w:rsidRPr="004867CF">
              <w:rPr>
                <w:rFonts w:hint="eastAsia"/>
                <w:b w:val="0"/>
                <w:bCs w:val="0"/>
                <w:noProof w:val="0"/>
                <w:rtl/>
              </w:rPr>
              <w:t>לקביעת</w:t>
            </w:r>
            <w:r w:rsidRPr="004867CF">
              <w:rPr>
                <w:b w:val="0"/>
                <w:bCs w:val="0"/>
                <w:noProof w:val="0"/>
                <w:rtl/>
              </w:rPr>
              <w:t xml:space="preserve"> </w:t>
            </w:r>
            <w:r w:rsidRPr="004867CF">
              <w:rPr>
                <w:rFonts w:hint="eastAsia"/>
                <w:b w:val="0"/>
                <w:bCs w:val="0"/>
                <w:noProof w:val="0"/>
                <w:rtl/>
              </w:rPr>
              <w:t>מחיר</w:t>
            </w:r>
            <w:r w:rsidRPr="004867CF">
              <w:rPr>
                <w:b w:val="0"/>
                <w:bCs w:val="0"/>
                <w:noProof w:val="0"/>
                <w:rtl/>
              </w:rPr>
              <w:t xml:space="preserve"> </w:t>
            </w:r>
            <w:r w:rsidRPr="004867CF">
              <w:rPr>
                <w:rFonts w:hint="eastAsia"/>
                <w:b w:val="0"/>
                <w:bCs w:val="0"/>
                <w:noProof w:val="0"/>
                <w:rtl/>
              </w:rPr>
              <w:t>סביר</w:t>
            </w:r>
            <w:r w:rsidRPr="004867CF">
              <w:rPr>
                <w:b w:val="0"/>
                <w:bCs w:val="0"/>
                <w:noProof w:val="0"/>
                <w:rtl/>
              </w:rPr>
              <w:t xml:space="preserve"> </w:t>
            </w:r>
            <w:r w:rsidRPr="004867CF">
              <w:rPr>
                <w:rFonts w:hint="eastAsia"/>
                <w:b w:val="0"/>
                <w:bCs w:val="0"/>
                <w:noProof w:val="0"/>
                <w:rtl/>
              </w:rPr>
              <w:t>להשתתפות</w:t>
            </w:r>
            <w:r w:rsidRPr="004867CF">
              <w:rPr>
                <w:b w:val="0"/>
                <w:bCs w:val="0"/>
                <w:noProof w:val="0"/>
                <w:rtl/>
              </w:rPr>
              <w:t xml:space="preserve"> </w:t>
            </w:r>
            <w:r w:rsidRPr="004867CF">
              <w:rPr>
                <w:rFonts w:hint="eastAsia"/>
                <w:b w:val="0"/>
                <w:bCs w:val="0"/>
                <w:noProof w:val="0"/>
                <w:rtl/>
              </w:rPr>
              <w:t>במכרז</w:t>
            </w:r>
            <w:r w:rsidRPr="004867CF">
              <w:rPr>
                <w:b w:val="0"/>
                <w:bCs w:val="0"/>
                <w:noProof w:val="0"/>
                <w:rtl/>
              </w:rPr>
              <w:t xml:space="preserve"> או לקביעת שיעורי הערבות הנדרשת במכרזים. </w:t>
            </w:r>
            <w:r w:rsidRPr="004867CF">
              <w:rPr>
                <w:rFonts w:hint="eastAsia"/>
                <w:b w:val="0"/>
                <w:bCs w:val="0"/>
                <w:noProof w:val="0"/>
                <w:rtl/>
              </w:rPr>
              <w:t>משרד</w:t>
            </w:r>
            <w:r w:rsidRPr="004867CF">
              <w:rPr>
                <w:b w:val="0"/>
                <w:bCs w:val="0"/>
                <w:noProof w:val="0"/>
                <w:rtl/>
              </w:rPr>
              <w:t xml:space="preserve"> הפנים לא בחן את שיעורי הערבות </w:t>
            </w:r>
            <w:r w:rsidRPr="004867CF">
              <w:rPr>
                <w:rFonts w:hint="eastAsia"/>
                <w:b w:val="0"/>
                <w:bCs w:val="0"/>
                <w:noProof w:val="0"/>
                <w:rtl/>
              </w:rPr>
              <w:t>שרשויות</w:t>
            </w:r>
            <w:r w:rsidRPr="004867CF">
              <w:rPr>
                <w:b w:val="0"/>
                <w:bCs w:val="0"/>
                <w:noProof w:val="0"/>
                <w:rtl/>
              </w:rPr>
              <w:t xml:space="preserve"> </w:t>
            </w:r>
            <w:r w:rsidRPr="004867CF">
              <w:rPr>
                <w:rFonts w:hint="eastAsia"/>
                <w:b w:val="0"/>
                <w:bCs w:val="0"/>
                <w:noProof w:val="0"/>
                <w:rtl/>
              </w:rPr>
              <w:t>מקומיות</w:t>
            </w:r>
            <w:r w:rsidRPr="004867CF">
              <w:rPr>
                <w:b w:val="0"/>
                <w:bCs w:val="0"/>
                <w:noProof w:val="0"/>
                <w:rtl/>
              </w:rPr>
              <w:t xml:space="preserve"> </w:t>
            </w:r>
            <w:r w:rsidRPr="004867CF">
              <w:rPr>
                <w:rFonts w:hint="eastAsia"/>
                <w:b w:val="0"/>
                <w:bCs w:val="0"/>
                <w:noProof w:val="0"/>
                <w:rtl/>
              </w:rPr>
              <w:t>דורשות</w:t>
            </w:r>
            <w:r w:rsidRPr="004867CF">
              <w:rPr>
                <w:b w:val="0"/>
                <w:bCs w:val="0"/>
                <w:noProof w:val="0"/>
                <w:rtl/>
              </w:rPr>
              <w:t xml:space="preserve"> במכרזים. </w:t>
            </w:r>
            <w:r w:rsidRPr="004867CF">
              <w:rPr>
                <w:rFonts w:hint="eastAsia"/>
                <w:b w:val="0"/>
                <w:bCs w:val="0"/>
                <w:noProof w:val="0"/>
                <w:rtl/>
              </w:rPr>
              <w:t>וכך</w:t>
            </w:r>
            <w:r w:rsidRPr="004867CF">
              <w:rPr>
                <w:b w:val="0"/>
                <w:bCs w:val="0"/>
                <w:noProof w:val="0"/>
                <w:rtl/>
              </w:rPr>
              <w:t xml:space="preserve">, </w:t>
            </w:r>
            <w:r w:rsidRPr="004867CF">
              <w:rPr>
                <w:rFonts w:hint="eastAsia"/>
                <w:b w:val="0"/>
                <w:bCs w:val="0"/>
                <w:noProof w:val="0"/>
                <w:rtl/>
              </w:rPr>
              <w:t>כאשר</w:t>
            </w:r>
            <w:r w:rsidRPr="004867CF">
              <w:rPr>
                <w:b w:val="0"/>
                <w:bCs w:val="0"/>
                <w:noProof w:val="0"/>
                <w:rtl/>
              </w:rPr>
              <w:t xml:space="preserve"> עסק קטן או בינוני </w:t>
            </w:r>
            <w:r w:rsidRPr="004867CF">
              <w:rPr>
                <w:rFonts w:hint="eastAsia"/>
                <w:b w:val="0"/>
                <w:bCs w:val="0"/>
                <w:noProof w:val="0"/>
                <w:rtl/>
              </w:rPr>
              <w:t>ניגש</w:t>
            </w:r>
            <w:r w:rsidRPr="004867CF">
              <w:rPr>
                <w:b w:val="0"/>
                <w:bCs w:val="0"/>
                <w:noProof w:val="0"/>
                <w:rtl/>
              </w:rPr>
              <w:t xml:space="preserve"> </w:t>
            </w:r>
            <w:r w:rsidRPr="004867CF">
              <w:rPr>
                <w:rFonts w:hint="eastAsia"/>
                <w:b w:val="0"/>
                <w:bCs w:val="0"/>
                <w:noProof w:val="0"/>
                <w:rtl/>
              </w:rPr>
              <w:t>לכמה</w:t>
            </w:r>
            <w:r w:rsidRPr="004867CF">
              <w:rPr>
                <w:b w:val="0"/>
                <w:bCs w:val="0"/>
                <w:noProof w:val="0"/>
                <w:rtl/>
              </w:rPr>
              <w:t xml:space="preserve"> </w:t>
            </w:r>
            <w:r w:rsidRPr="004867CF">
              <w:rPr>
                <w:rFonts w:hint="eastAsia"/>
                <w:b w:val="0"/>
                <w:bCs w:val="0"/>
                <w:noProof w:val="0"/>
                <w:rtl/>
              </w:rPr>
              <w:t>מכרזים</w:t>
            </w:r>
            <w:r w:rsidRPr="004867CF">
              <w:rPr>
                <w:b w:val="0"/>
                <w:bCs w:val="0"/>
                <w:noProof w:val="0"/>
                <w:rtl/>
              </w:rPr>
              <w:t xml:space="preserve"> </w:t>
            </w:r>
            <w:r w:rsidRPr="004867CF">
              <w:rPr>
                <w:rFonts w:hint="eastAsia"/>
                <w:b w:val="0"/>
                <w:bCs w:val="0"/>
                <w:noProof w:val="0"/>
                <w:rtl/>
              </w:rPr>
              <w:t>מתוך</w:t>
            </w:r>
            <w:r w:rsidRPr="004867CF">
              <w:rPr>
                <w:b w:val="0"/>
                <w:bCs w:val="0"/>
                <w:noProof w:val="0"/>
                <w:rtl/>
              </w:rPr>
              <w:t xml:space="preserve"> </w:t>
            </w:r>
            <w:r w:rsidRPr="004867CF">
              <w:rPr>
                <w:rFonts w:hint="eastAsia"/>
                <w:b w:val="0"/>
                <w:bCs w:val="0"/>
                <w:noProof w:val="0"/>
                <w:rtl/>
              </w:rPr>
              <w:t>שאיפה</w:t>
            </w:r>
            <w:r w:rsidRPr="004867CF">
              <w:rPr>
                <w:b w:val="0"/>
                <w:bCs w:val="0"/>
                <w:noProof w:val="0"/>
                <w:rtl/>
              </w:rPr>
              <w:t xml:space="preserve"> לזכות בחלק מה</w:t>
            </w:r>
            <w:r w:rsidRPr="004867CF">
              <w:rPr>
                <w:rFonts w:hint="eastAsia"/>
                <w:b w:val="0"/>
                <w:bCs w:val="0"/>
                <w:noProof w:val="0"/>
                <w:rtl/>
              </w:rPr>
              <w:t>ם</w:t>
            </w:r>
            <w:r w:rsidRPr="004867CF">
              <w:rPr>
                <w:b w:val="0"/>
                <w:bCs w:val="0"/>
                <w:noProof w:val="0"/>
                <w:rtl/>
              </w:rPr>
              <w:t xml:space="preserve">, </w:t>
            </w:r>
            <w:r w:rsidRPr="004867CF">
              <w:rPr>
                <w:rFonts w:hint="eastAsia"/>
                <w:b w:val="0"/>
                <w:bCs w:val="0"/>
                <w:noProof w:val="0"/>
                <w:rtl/>
              </w:rPr>
              <w:t>הסכומים</w:t>
            </w:r>
            <w:r w:rsidRPr="004867CF">
              <w:rPr>
                <w:b w:val="0"/>
                <w:bCs w:val="0"/>
                <w:noProof w:val="0"/>
                <w:rtl/>
              </w:rPr>
              <w:t xml:space="preserve"> </w:t>
            </w:r>
            <w:r w:rsidRPr="004867CF">
              <w:rPr>
                <w:rFonts w:hint="eastAsia"/>
                <w:b w:val="0"/>
                <w:bCs w:val="0"/>
                <w:noProof w:val="0"/>
                <w:rtl/>
              </w:rPr>
              <w:t>שהוא</w:t>
            </w:r>
            <w:r w:rsidRPr="004867CF">
              <w:rPr>
                <w:b w:val="0"/>
                <w:bCs w:val="0"/>
                <w:noProof w:val="0"/>
                <w:rtl/>
              </w:rPr>
              <w:t xml:space="preserve"> </w:t>
            </w:r>
            <w:r w:rsidRPr="004867CF">
              <w:rPr>
                <w:rFonts w:hint="eastAsia"/>
                <w:b w:val="0"/>
                <w:bCs w:val="0"/>
                <w:noProof w:val="0"/>
                <w:rtl/>
              </w:rPr>
              <w:t>מוציא</w:t>
            </w:r>
            <w:r w:rsidRPr="004867CF">
              <w:rPr>
                <w:b w:val="0"/>
                <w:bCs w:val="0"/>
                <w:noProof w:val="0"/>
                <w:rtl/>
              </w:rPr>
              <w:t xml:space="preserve"> </w:t>
            </w:r>
            <w:r w:rsidRPr="004867CF">
              <w:rPr>
                <w:rFonts w:hint="eastAsia"/>
                <w:b w:val="0"/>
                <w:bCs w:val="0"/>
                <w:noProof w:val="0"/>
                <w:rtl/>
              </w:rPr>
              <w:t>על</w:t>
            </w:r>
            <w:r w:rsidRPr="004867CF">
              <w:rPr>
                <w:b w:val="0"/>
                <w:bCs w:val="0"/>
                <w:noProof w:val="0"/>
                <w:rtl/>
              </w:rPr>
              <w:t xml:space="preserve"> רכישת מסמכי המכרז </w:t>
            </w:r>
            <w:r w:rsidRPr="004867CF">
              <w:rPr>
                <w:rFonts w:hint="cs"/>
                <w:b w:val="0"/>
                <w:bCs w:val="0"/>
                <w:noProof w:val="0"/>
                <w:rtl/>
              </w:rPr>
              <w:t>ולהפקדת</w:t>
            </w:r>
            <w:r w:rsidRPr="004867CF">
              <w:rPr>
                <w:b w:val="0"/>
                <w:bCs w:val="0"/>
                <w:noProof w:val="0"/>
                <w:rtl/>
              </w:rPr>
              <w:t xml:space="preserve"> </w:t>
            </w:r>
            <w:r w:rsidRPr="004867CF">
              <w:rPr>
                <w:rFonts w:hint="eastAsia"/>
                <w:b w:val="0"/>
                <w:bCs w:val="0"/>
                <w:noProof w:val="0"/>
                <w:rtl/>
              </w:rPr>
              <w:t>הביטחונות</w:t>
            </w:r>
            <w:r w:rsidRPr="004867CF">
              <w:rPr>
                <w:b w:val="0"/>
                <w:bCs w:val="0"/>
                <w:noProof w:val="0"/>
                <w:rtl/>
              </w:rPr>
              <w:t xml:space="preserve"> לצורך קבלת הערבויות </w:t>
            </w:r>
            <w:r w:rsidRPr="004867CF">
              <w:rPr>
                <w:rFonts w:hint="eastAsia"/>
                <w:b w:val="0"/>
                <w:bCs w:val="0"/>
                <w:noProof w:val="0"/>
                <w:rtl/>
              </w:rPr>
              <w:t>הם</w:t>
            </w:r>
            <w:r w:rsidRPr="004867CF">
              <w:rPr>
                <w:b w:val="0"/>
                <w:bCs w:val="0"/>
                <w:noProof w:val="0"/>
                <w:rtl/>
              </w:rPr>
              <w:t xml:space="preserve"> </w:t>
            </w:r>
            <w:r w:rsidRPr="004867CF">
              <w:rPr>
                <w:rFonts w:hint="eastAsia"/>
                <w:b w:val="0"/>
                <w:bCs w:val="0"/>
                <w:noProof w:val="0"/>
                <w:rtl/>
              </w:rPr>
              <w:t>משמעותיים</w:t>
            </w:r>
            <w:r w:rsidRPr="004867CF">
              <w:rPr>
                <w:b w:val="0"/>
                <w:bCs w:val="0"/>
                <w:noProof w:val="0"/>
                <w:rtl/>
              </w:rPr>
              <w:t xml:space="preserve"> ומכביד</w:t>
            </w:r>
            <w:r w:rsidRPr="004867CF">
              <w:rPr>
                <w:rFonts w:hint="eastAsia"/>
                <w:b w:val="0"/>
                <w:bCs w:val="0"/>
                <w:noProof w:val="0"/>
                <w:rtl/>
              </w:rPr>
              <w:t>ים</w:t>
            </w:r>
            <w:r w:rsidRPr="004867CF">
              <w:rPr>
                <w:b w:val="0"/>
                <w:bCs w:val="0"/>
                <w:noProof w:val="0"/>
                <w:rtl/>
              </w:rPr>
              <w:t>.</w:t>
            </w:r>
          </w:p>
          <w:p w:rsidR="001275A6" w:rsidP="00484EEB">
            <w:pPr>
              <w:pStyle w:val="takzir"/>
              <w:ind w:left="340" w:hanging="340"/>
              <w:rPr>
                <w:b w:val="0"/>
                <w:bCs w:val="0"/>
                <w:noProof w:val="0"/>
                <w:rtl/>
              </w:rPr>
            </w:pPr>
            <w:r>
              <w:rPr>
                <w:rFonts w:hint="cs"/>
                <w:b w:val="0"/>
                <w:bCs w:val="0"/>
                <w:noProof w:val="0"/>
                <w:rtl/>
              </w:rPr>
              <w:t>4.</w:t>
            </w:r>
            <w:r>
              <w:rPr>
                <w:b w:val="0"/>
                <w:bCs w:val="0"/>
                <w:noProof w:val="0"/>
                <w:rtl/>
              </w:rPr>
              <w:tab/>
            </w:r>
            <w:r w:rsidRPr="004867CF">
              <w:rPr>
                <w:rFonts w:hint="cs"/>
                <w:b w:val="0"/>
                <w:bCs w:val="0"/>
                <w:noProof w:val="0"/>
                <w:rtl/>
              </w:rPr>
              <w:t>דחייה</w:t>
            </w:r>
            <w:r w:rsidRPr="004867CF">
              <w:rPr>
                <w:b w:val="0"/>
                <w:bCs w:val="0"/>
                <w:noProof w:val="0"/>
                <w:rtl/>
              </w:rPr>
              <w:t xml:space="preserve"> במועד קבלת ההכנסות מעבודה</w:t>
            </w:r>
            <w:r w:rsidRPr="004867CF">
              <w:rPr>
                <w:rFonts w:hint="cs"/>
                <w:b w:val="0"/>
                <w:bCs w:val="0"/>
                <w:noProof w:val="0"/>
                <w:rtl/>
              </w:rPr>
              <w:t xml:space="preserve"> או משירות</w:t>
            </w:r>
            <w:r w:rsidRPr="004867CF">
              <w:rPr>
                <w:b w:val="0"/>
                <w:bCs w:val="0"/>
                <w:noProof w:val="0"/>
                <w:rtl/>
              </w:rPr>
              <w:t xml:space="preserve"> שהעסק מספק לאחר זכייתו במכרז וההתקשרות עם הגוף הציבורי מאלצת את העסק לממן את הוצאותיו מהמשאבים העומדים לרשותו (הון עצמי, הלוואה, דחיית תשלומים וכד'). דבר זה פוגע בניהול התקין של העסק וביכולתו להתחרות עם עסקים גדולים אשר להם משאבים נוספים. </w:t>
            </w:r>
            <w:r w:rsidRPr="004867CF">
              <w:rPr>
                <w:rFonts w:hint="cs"/>
                <w:b w:val="0"/>
                <w:bCs w:val="0"/>
                <w:noProof w:val="0"/>
                <w:rtl/>
              </w:rPr>
              <w:t>הוראות</w:t>
            </w:r>
            <w:r w:rsidRPr="004867CF">
              <w:rPr>
                <w:b w:val="0"/>
                <w:bCs w:val="0"/>
                <w:noProof w:val="0"/>
                <w:rtl/>
              </w:rPr>
              <w:t xml:space="preserve"> </w:t>
            </w:r>
            <w:r w:rsidRPr="004867CF">
              <w:rPr>
                <w:rFonts w:hint="cs"/>
                <w:b w:val="0"/>
                <w:bCs w:val="0"/>
                <w:noProof w:val="0"/>
                <w:rtl/>
              </w:rPr>
              <w:t>תכ</w:t>
            </w:r>
            <w:r w:rsidRPr="004867CF">
              <w:rPr>
                <w:b w:val="0"/>
                <w:bCs w:val="0"/>
                <w:noProof w:val="0"/>
                <w:rtl/>
              </w:rPr>
              <w:t>"ם</w:t>
            </w:r>
            <w:r w:rsidRPr="004867CF">
              <w:rPr>
                <w:b w:val="0"/>
                <w:bCs w:val="0"/>
                <w:noProof w:val="0"/>
                <w:rtl/>
              </w:rPr>
              <w:t xml:space="preserve"> (תקנון, כספים ומשק) קובעות את פרק הזמן לתשלום חשבונות שהוגשו למשרדי הממשלה (</w:t>
            </w:r>
            <w:r w:rsidRPr="004867CF">
              <w:rPr>
                <w:rFonts w:hint="cs"/>
                <w:b w:val="0"/>
                <w:bCs w:val="0"/>
                <w:noProof w:val="0"/>
                <w:rtl/>
              </w:rPr>
              <w:t>עד 45</w:t>
            </w:r>
            <w:r w:rsidRPr="004867CF">
              <w:rPr>
                <w:b w:val="0"/>
                <w:bCs w:val="0"/>
                <w:noProof w:val="0"/>
                <w:rtl/>
              </w:rPr>
              <w:t xml:space="preserve"> יום). אין </w:t>
            </w:r>
            <w:r w:rsidRPr="004867CF">
              <w:rPr>
                <w:rFonts w:hint="cs"/>
                <w:b w:val="0"/>
                <w:bCs w:val="0"/>
                <w:noProof w:val="0"/>
                <w:rtl/>
              </w:rPr>
              <w:t>הוראות</w:t>
            </w:r>
            <w:r w:rsidRPr="004867CF">
              <w:rPr>
                <w:b w:val="0"/>
                <w:bCs w:val="0"/>
                <w:noProof w:val="0"/>
                <w:rtl/>
              </w:rPr>
              <w:t xml:space="preserve"> </w:t>
            </w:r>
            <w:r w:rsidRPr="004867CF">
              <w:rPr>
                <w:rFonts w:hint="cs"/>
                <w:b w:val="0"/>
                <w:bCs w:val="0"/>
                <w:noProof w:val="0"/>
                <w:rtl/>
              </w:rPr>
              <w:t>מחייבות</w:t>
            </w:r>
            <w:r w:rsidRPr="004867CF">
              <w:rPr>
                <w:b w:val="0"/>
                <w:bCs w:val="0"/>
                <w:noProof w:val="0"/>
                <w:rtl/>
              </w:rPr>
              <w:t xml:space="preserve"> </w:t>
            </w:r>
            <w:r w:rsidRPr="004867CF">
              <w:rPr>
                <w:rFonts w:hint="cs"/>
                <w:b w:val="0"/>
                <w:bCs w:val="0"/>
                <w:noProof w:val="0"/>
                <w:rtl/>
              </w:rPr>
              <w:t>עבור</w:t>
            </w:r>
            <w:r w:rsidRPr="004867CF">
              <w:rPr>
                <w:b w:val="0"/>
                <w:bCs w:val="0"/>
                <w:noProof w:val="0"/>
                <w:rtl/>
              </w:rPr>
              <w:t xml:space="preserve"> תאגידים ממשלתיים </w:t>
            </w:r>
            <w:r w:rsidRPr="004867CF">
              <w:rPr>
                <w:rFonts w:hint="cs"/>
                <w:b w:val="0"/>
                <w:bCs w:val="0"/>
                <w:noProof w:val="0"/>
                <w:rtl/>
              </w:rPr>
              <w:t>ו</w:t>
            </w:r>
            <w:r w:rsidRPr="004867CF">
              <w:rPr>
                <w:b w:val="0"/>
                <w:bCs w:val="0"/>
                <w:noProof w:val="0"/>
                <w:rtl/>
              </w:rPr>
              <w:t>רשויות מקומיות.</w:t>
            </w:r>
          </w:p>
        </w:tc>
      </w:tr>
    </w:tbl>
    <w:p w:rsidR="001275A6" w:rsidP="00484EEB">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50646">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BF4C3B" w:rsidP="00484EEB">
            <w:pPr>
              <w:pStyle w:val="KOT5"/>
              <w:spacing w:before="120"/>
              <w:jc w:val="center"/>
              <w:rPr>
                <w:sz w:val="24"/>
                <w:szCs w:val="24"/>
                <w:rtl/>
              </w:rPr>
            </w:pPr>
            <w:r w:rsidRPr="004867CF">
              <w:rPr>
                <w:rFonts w:hint="eastAsia"/>
                <w:sz w:val="24"/>
                <w:szCs w:val="24"/>
                <w:rtl/>
              </w:rPr>
              <w:t>הקניית</w:t>
            </w:r>
            <w:r w:rsidRPr="004867CF">
              <w:rPr>
                <w:sz w:val="24"/>
                <w:szCs w:val="24"/>
                <w:rtl/>
              </w:rPr>
              <w:t xml:space="preserve"> </w:t>
            </w:r>
            <w:r w:rsidRPr="004867CF">
              <w:rPr>
                <w:rFonts w:hint="eastAsia"/>
                <w:sz w:val="24"/>
                <w:szCs w:val="24"/>
                <w:rtl/>
              </w:rPr>
              <w:t>סמכויות</w:t>
            </w:r>
            <w:r w:rsidRPr="004867CF">
              <w:rPr>
                <w:sz w:val="24"/>
                <w:szCs w:val="24"/>
                <w:rtl/>
              </w:rPr>
              <w:t xml:space="preserve"> </w:t>
            </w:r>
            <w:r w:rsidRPr="004867CF">
              <w:rPr>
                <w:rFonts w:hint="eastAsia"/>
                <w:sz w:val="24"/>
                <w:szCs w:val="24"/>
                <w:rtl/>
              </w:rPr>
              <w:t>לסוכנות</w:t>
            </w:r>
            <w:r w:rsidRPr="004867CF">
              <w:rPr>
                <w:sz w:val="24"/>
                <w:szCs w:val="24"/>
                <w:rtl/>
              </w:rPr>
              <w:t xml:space="preserve"> </w:t>
            </w:r>
            <w:r w:rsidRPr="004867CF">
              <w:rPr>
                <w:rFonts w:hint="eastAsia"/>
                <w:sz w:val="24"/>
                <w:szCs w:val="24"/>
                <w:rtl/>
              </w:rPr>
              <w:t>לעסקים</w:t>
            </w:r>
            <w:r w:rsidRPr="004867CF">
              <w:rPr>
                <w:sz w:val="24"/>
                <w:szCs w:val="24"/>
                <w:rtl/>
              </w:rPr>
              <w:t xml:space="preserve"> </w:t>
            </w:r>
            <w:r w:rsidRPr="004867CF">
              <w:rPr>
                <w:rFonts w:hint="eastAsia"/>
                <w:sz w:val="24"/>
                <w:szCs w:val="24"/>
                <w:rtl/>
              </w:rPr>
              <w:t>קטנים</w:t>
            </w:r>
            <w:r w:rsidRPr="004867CF">
              <w:rPr>
                <w:rFonts w:hint="cs"/>
                <w:sz w:val="24"/>
                <w:szCs w:val="24"/>
                <w:rtl/>
              </w:rPr>
              <w:t xml:space="preserve"> ובינוניים</w:t>
            </w:r>
          </w:p>
        </w:tc>
      </w:tr>
      <w:tr w:rsidTr="00550646">
        <w:tblPrEx>
          <w:tblW w:w="6691" w:type="dxa"/>
          <w:jc w:val="center"/>
          <w:tblLook w:val="04A0"/>
        </w:tblPrEx>
        <w:trPr>
          <w:cantSplit/>
          <w:jc w:val="center"/>
        </w:trPr>
        <w:tc>
          <w:tcPr>
            <w:tcW w:w="6691" w:type="dxa"/>
          </w:tcPr>
          <w:p w:rsidR="00BF4C3B" w:rsidP="00484EEB">
            <w:pPr>
              <w:pStyle w:val="takzir"/>
              <w:spacing w:before="60"/>
              <w:rPr>
                <w:b w:val="0"/>
                <w:bCs w:val="0"/>
                <w:noProof w:val="0"/>
                <w:rtl/>
              </w:rPr>
            </w:pPr>
            <w:r w:rsidRPr="004867CF">
              <w:rPr>
                <w:rFonts w:hint="cs"/>
                <w:b w:val="0"/>
                <w:bCs w:val="0"/>
                <w:noProof w:val="0"/>
                <w:rtl/>
              </w:rPr>
              <w:t>בשנת 2012 הכין משרד הכלכלה הצעת חוק</w:t>
            </w:r>
            <w:r w:rsidRPr="004867CF">
              <w:rPr>
                <w:b w:val="0"/>
                <w:bCs w:val="0"/>
                <w:noProof w:val="0"/>
                <w:rtl/>
              </w:rPr>
              <w:t xml:space="preserve"> לעידוד עסקים קטנים ובינוניים בישראל, התשע"ב-2012</w:t>
            </w:r>
            <w:r w:rsidRPr="004867CF">
              <w:rPr>
                <w:rFonts w:hint="cs"/>
                <w:b w:val="0"/>
                <w:bCs w:val="0"/>
                <w:noProof w:val="0"/>
                <w:rtl/>
              </w:rPr>
              <w:t>, בהתאם להחלטת הממשלה. מטרות הצעת החוק היו קידום מגזר העסקים הקטנים והבינוניים, שיפור תנאי עשיית העסקים והיזמות, הגדלת התועלת הכלכלית למשק באמצעות שיפור במצבם של עסקים אלו וקביעת הסמכויות של הסוכנות. בחודשים נובמבר ודצמבר 2013 דנה ועדת הכלכלה של הכנסת בהצעת החוק</w:t>
            </w:r>
            <w:r>
              <w:rPr>
                <w:b w:val="0"/>
                <w:bCs w:val="0"/>
                <w:noProof w:val="0"/>
                <w:vertAlign w:val="superscript"/>
                <w:rtl/>
              </w:rPr>
              <w:footnoteReference w:id="4"/>
            </w:r>
            <w:r w:rsidRPr="004867CF">
              <w:rPr>
                <w:rFonts w:hint="cs"/>
                <w:b w:val="0"/>
                <w:bCs w:val="0"/>
                <w:noProof w:val="0"/>
                <w:rtl/>
              </w:rPr>
              <w:t xml:space="preserve"> והחליטה לא לקדם אותה, מפני שלדעתה הצעת החוק לא הקנתה סמכויות מהותיות לסוכנות.</w:t>
            </w:r>
            <w:r w:rsidRPr="004867CF">
              <w:rPr>
                <w:rFonts w:hint="eastAsia"/>
                <w:b w:val="0"/>
                <w:bCs w:val="0"/>
                <w:noProof w:val="0"/>
                <w:rtl/>
              </w:rPr>
              <w:t xml:space="preserve"> </w:t>
            </w:r>
            <w:r w:rsidRPr="004867CF">
              <w:rPr>
                <w:rFonts w:hint="cs"/>
                <w:b w:val="0"/>
                <w:bCs w:val="0"/>
                <w:noProof w:val="0"/>
                <w:rtl/>
              </w:rPr>
              <w:t>ב</w:t>
            </w:r>
            <w:r w:rsidRPr="004867CF">
              <w:rPr>
                <w:rFonts w:hint="eastAsia"/>
                <w:b w:val="0"/>
                <w:bCs w:val="0"/>
                <w:noProof w:val="0"/>
                <w:rtl/>
              </w:rPr>
              <w:t>שנת</w:t>
            </w:r>
            <w:r w:rsidRPr="004867CF">
              <w:rPr>
                <w:b w:val="0"/>
                <w:bCs w:val="0"/>
                <w:noProof w:val="0"/>
                <w:rtl/>
              </w:rPr>
              <w:t xml:space="preserve"> 2014 </w:t>
            </w:r>
            <w:r w:rsidRPr="004867CF">
              <w:rPr>
                <w:rFonts w:hint="cs"/>
                <w:b w:val="0"/>
                <w:bCs w:val="0"/>
                <w:noProof w:val="0"/>
                <w:rtl/>
              </w:rPr>
              <w:t xml:space="preserve">שוב </w:t>
            </w:r>
            <w:r w:rsidRPr="004867CF">
              <w:rPr>
                <w:rFonts w:hint="eastAsia"/>
                <w:b w:val="0"/>
                <w:bCs w:val="0"/>
                <w:noProof w:val="0"/>
                <w:rtl/>
              </w:rPr>
              <w:t>ניסה</w:t>
            </w:r>
            <w:r w:rsidRPr="004867CF">
              <w:rPr>
                <w:b w:val="0"/>
                <w:bCs w:val="0"/>
                <w:noProof w:val="0"/>
                <w:rtl/>
              </w:rPr>
              <w:t xml:space="preserve"> </w:t>
            </w:r>
            <w:r w:rsidRPr="004867CF">
              <w:rPr>
                <w:rFonts w:hint="eastAsia"/>
                <w:b w:val="0"/>
                <w:bCs w:val="0"/>
                <w:noProof w:val="0"/>
                <w:rtl/>
              </w:rPr>
              <w:t>משרד</w:t>
            </w:r>
            <w:r w:rsidRPr="004867CF">
              <w:rPr>
                <w:b w:val="0"/>
                <w:bCs w:val="0"/>
                <w:noProof w:val="0"/>
                <w:rtl/>
              </w:rPr>
              <w:t xml:space="preserve"> </w:t>
            </w:r>
            <w:r w:rsidRPr="004867CF">
              <w:rPr>
                <w:rFonts w:hint="eastAsia"/>
                <w:b w:val="0"/>
                <w:bCs w:val="0"/>
                <w:noProof w:val="0"/>
                <w:rtl/>
              </w:rPr>
              <w:t>הכלכלה</w:t>
            </w:r>
            <w:r w:rsidRPr="004867CF">
              <w:rPr>
                <w:b w:val="0"/>
                <w:bCs w:val="0"/>
                <w:noProof w:val="0"/>
                <w:rtl/>
              </w:rPr>
              <w:t xml:space="preserve"> </w:t>
            </w:r>
            <w:r w:rsidRPr="004867CF">
              <w:rPr>
                <w:rFonts w:hint="eastAsia"/>
                <w:b w:val="0"/>
                <w:bCs w:val="0"/>
                <w:noProof w:val="0"/>
                <w:rtl/>
              </w:rPr>
              <w:t>לקדם</w:t>
            </w:r>
            <w:r w:rsidRPr="004867CF">
              <w:rPr>
                <w:b w:val="0"/>
                <w:bCs w:val="0"/>
                <w:noProof w:val="0"/>
                <w:rtl/>
              </w:rPr>
              <w:t xml:space="preserve"> </w:t>
            </w:r>
            <w:r w:rsidRPr="004867CF">
              <w:rPr>
                <w:rFonts w:hint="eastAsia"/>
                <w:b w:val="0"/>
                <w:bCs w:val="0"/>
                <w:noProof w:val="0"/>
                <w:rtl/>
              </w:rPr>
              <w:t>את</w:t>
            </w:r>
            <w:r w:rsidRPr="004867CF">
              <w:rPr>
                <w:b w:val="0"/>
                <w:bCs w:val="0"/>
                <w:noProof w:val="0"/>
                <w:rtl/>
              </w:rPr>
              <w:t xml:space="preserve"> </w:t>
            </w:r>
            <w:r w:rsidRPr="004867CF">
              <w:rPr>
                <w:rFonts w:hint="eastAsia"/>
                <w:b w:val="0"/>
                <w:bCs w:val="0"/>
                <w:noProof w:val="0"/>
                <w:rtl/>
              </w:rPr>
              <w:t>הצעת</w:t>
            </w:r>
            <w:r w:rsidRPr="004867CF">
              <w:rPr>
                <w:b w:val="0"/>
                <w:bCs w:val="0"/>
                <w:noProof w:val="0"/>
                <w:rtl/>
              </w:rPr>
              <w:t xml:space="preserve"> </w:t>
            </w:r>
            <w:r w:rsidRPr="004867CF">
              <w:rPr>
                <w:rFonts w:hint="eastAsia"/>
                <w:b w:val="0"/>
                <w:bCs w:val="0"/>
                <w:noProof w:val="0"/>
                <w:rtl/>
              </w:rPr>
              <w:t>החוק</w:t>
            </w:r>
            <w:r w:rsidRPr="004867CF">
              <w:rPr>
                <w:b w:val="0"/>
                <w:bCs w:val="0"/>
                <w:noProof w:val="0"/>
                <w:rtl/>
              </w:rPr>
              <w:t xml:space="preserve"> באמצעות פגישות עם גורמים בכנסת ובמשרדי ממשלה</w:t>
            </w:r>
            <w:r w:rsidRPr="004867CF">
              <w:rPr>
                <w:rFonts w:hint="cs"/>
                <w:b w:val="0"/>
                <w:bCs w:val="0"/>
                <w:noProof w:val="0"/>
                <w:rtl/>
              </w:rPr>
              <w:t xml:space="preserve">, אך ללא הצלחה. </w:t>
            </w:r>
            <w:r w:rsidRPr="004867CF">
              <w:rPr>
                <w:rFonts w:hint="eastAsia"/>
                <w:b w:val="0"/>
                <w:bCs w:val="0"/>
                <w:noProof w:val="0"/>
                <w:rtl/>
              </w:rPr>
              <w:t>מאז</w:t>
            </w:r>
            <w:r w:rsidRPr="004867CF">
              <w:rPr>
                <w:b w:val="0"/>
                <w:bCs w:val="0"/>
                <w:noProof w:val="0"/>
                <w:rtl/>
              </w:rPr>
              <w:t xml:space="preserve"> </w:t>
            </w:r>
            <w:r w:rsidRPr="004867CF">
              <w:rPr>
                <w:rFonts w:hint="cs"/>
                <w:b w:val="0"/>
                <w:bCs w:val="0"/>
                <w:noProof w:val="0"/>
                <w:rtl/>
              </w:rPr>
              <w:t xml:space="preserve">לא דנה עוד </w:t>
            </w:r>
            <w:r w:rsidRPr="004867CF">
              <w:rPr>
                <w:rFonts w:hint="eastAsia"/>
                <w:b w:val="0"/>
                <w:bCs w:val="0"/>
                <w:noProof w:val="0"/>
                <w:rtl/>
              </w:rPr>
              <w:t>הכנסת</w:t>
            </w:r>
            <w:r w:rsidRPr="004867CF">
              <w:rPr>
                <w:b w:val="0"/>
                <w:bCs w:val="0"/>
                <w:noProof w:val="0"/>
                <w:rtl/>
              </w:rPr>
              <w:t xml:space="preserve"> </w:t>
            </w:r>
            <w:r w:rsidRPr="004867CF">
              <w:rPr>
                <w:rFonts w:hint="eastAsia"/>
                <w:b w:val="0"/>
                <w:bCs w:val="0"/>
                <w:noProof w:val="0"/>
                <w:rtl/>
              </w:rPr>
              <w:t>בהצעת</w:t>
            </w:r>
            <w:r w:rsidRPr="004867CF">
              <w:rPr>
                <w:b w:val="0"/>
                <w:bCs w:val="0"/>
                <w:noProof w:val="0"/>
                <w:rtl/>
              </w:rPr>
              <w:t xml:space="preserve"> </w:t>
            </w:r>
            <w:r w:rsidRPr="004867CF">
              <w:rPr>
                <w:rFonts w:hint="eastAsia"/>
                <w:b w:val="0"/>
                <w:bCs w:val="0"/>
                <w:noProof w:val="0"/>
                <w:rtl/>
              </w:rPr>
              <w:t>החוק</w:t>
            </w:r>
            <w:r w:rsidRPr="004867CF">
              <w:rPr>
                <w:rFonts w:hint="cs"/>
                <w:b w:val="0"/>
                <w:bCs w:val="0"/>
                <w:noProof w:val="0"/>
                <w:rtl/>
              </w:rPr>
              <w:t>, והסוכנות פועלת בלי שמעמדה וסמכויותיה הוסדרו בחוק.</w:t>
            </w:r>
          </w:p>
        </w:tc>
      </w:tr>
    </w:tbl>
    <w:p w:rsidR="004867CF" w:rsidP="00484EEB">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333E1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4867CF" w:rsidP="00484EEB">
            <w:pPr>
              <w:pStyle w:val="KOT5"/>
              <w:spacing w:before="120"/>
              <w:jc w:val="center"/>
              <w:rPr>
                <w:sz w:val="24"/>
                <w:szCs w:val="24"/>
                <w:rtl/>
              </w:rPr>
            </w:pPr>
            <w:r w:rsidRPr="004867CF">
              <w:rPr>
                <w:rFonts w:hint="cs"/>
                <w:sz w:val="24"/>
                <w:szCs w:val="24"/>
                <w:rtl/>
              </w:rPr>
              <w:t>אי-הסדרת תשלום לבעלי עסקים קטנים המשרתים במילואים</w:t>
            </w:r>
          </w:p>
        </w:tc>
      </w:tr>
      <w:tr w:rsidTr="00333E19">
        <w:tblPrEx>
          <w:tblW w:w="6691" w:type="dxa"/>
          <w:jc w:val="center"/>
          <w:tblLook w:val="04A0"/>
        </w:tblPrEx>
        <w:trPr>
          <w:cantSplit/>
          <w:jc w:val="center"/>
        </w:trPr>
        <w:tc>
          <w:tcPr>
            <w:tcW w:w="6691" w:type="dxa"/>
          </w:tcPr>
          <w:p w:rsidR="004867CF" w:rsidP="00484EEB">
            <w:pPr>
              <w:pStyle w:val="takzir"/>
              <w:spacing w:before="60"/>
              <w:rPr>
                <w:b w:val="0"/>
                <w:bCs w:val="0"/>
                <w:noProof w:val="0"/>
                <w:rtl/>
              </w:rPr>
            </w:pPr>
            <w:r w:rsidRPr="004867CF">
              <w:rPr>
                <w:b w:val="0"/>
                <w:bCs w:val="0"/>
                <w:noProof w:val="0"/>
                <w:rtl/>
              </w:rPr>
              <w:t>צוות שהקים מנכ</w:t>
            </w:r>
            <w:r w:rsidRPr="004867CF">
              <w:rPr>
                <w:rFonts w:hint="cs"/>
                <w:b w:val="0"/>
                <w:bCs w:val="0"/>
                <w:noProof w:val="0"/>
                <w:rtl/>
              </w:rPr>
              <w:t>"</w:t>
            </w:r>
            <w:r w:rsidRPr="004867CF">
              <w:rPr>
                <w:b w:val="0"/>
                <w:bCs w:val="0"/>
                <w:noProof w:val="0"/>
                <w:rtl/>
              </w:rPr>
              <w:t>ל משרד הכלכלה</w:t>
            </w:r>
            <w:r w:rsidRPr="004867CF">
              <w:rPr>
                <w:rFonts w:hint="cs"/>
                <w:b w:val="0"/>
                <w:bCs w:val="0"/>
                <w:noProof w:val="0"/>
                <w:rtl/>
              </w:rPr>
              <w:t xml:space="preserve"> בשנת 2012 ובו השתתפו נציגי משרד הביטחון, משרד האוצר, המוסד לביטוח לאומי ומארגונים כלכליים המליץ</w:t>
            </w:r>
            <w:r w:rsidRPr="004867CF">
              <w:rPr>
                <w:b w:val="0"/>
                <w:bCs w:val="0"/>
                <w:noProof w:val="0"/>
                <w:rtl/>
              </w:rPr>
              <w:t xml:space="preserve"> לפצות</w:t>
            </w:r>
            <w:r w:rsidRPr="004867CF">
              <w:rPr>
                <w:rFonts w:hint="cs"/>
                <w:b w:val="0"/>
                <w:bCs w:val="0"/>
                <w:noProof w:val="0"/>
                <w:rtl/>
              </w:rPr>
              <w:t xml:space="preserve"> בעלי </w:t>
            </w:r>
            <w:r w:rsidRPr="004867CF">
              <w:rPr>
                <w:b w:val="0"/>
                <w:bCs w:val="0"/>
                <w:noProof w:val="0"/>
                <w:rtl/>
              </w:rPr>
              <w:t xml:space="preserve">עסקים קטנים עבור חלק מההפסדים הנגרמים להם עקב שירות מילואים, אולם </w:t>
            </w:r>
            <w:r w:rsidRPr="004867CF">
              <w:rPr>
                <w:rFonts w:hint="cs"/>
                <w:b w:val="0"/>
                <w:bCs w:val="0"/>
                <w:noProof w:val="0"/>
                <w:rtl/>
              </w:rPr>
              <w:t>אין</w:t>
            </w:r>
            <w:r w:rsidRPr="004867CF">
              <w:rPr>
                <w:b w:val="0"/>
                <w:bCs w:val="0"/>
                <w:noProof w:val="0"/>
                <w:rtl/>
              </w:rPr>
              <w:t xml:space="preserve"> הסכמה אילו משרדים יישאו במימון ה</w:t>
            </w:r>
            <w:r w:rsidRPr="004867CF">
              <w:rPr>
                <w:rFonts w:hint="cs"/>
                <w:b w:val="0"/>
                <w:bCs w:val="0"/>
                <w:noProof w:val="0"/>
                <w:rtl/>
              </w:rPr>
              <w:t>תגמול</w:t>
            </w:r>
            <w:r w:rsidRPr="004867CF">
              <w:rPr>
                <w:b w:val="0"/>
                <w:bCs w:val="0"/>
                <w:noProof w:val="0"/>
                <w:rtl/>
              </w:rPr>
              <w:t>.</w:t>
            </w:r>
          </w:p>
        </w:tc>
      </w:tr>
    </w:tbl>
    <w:p w:rsidR="004867CF" w:rsidP="00484EEB">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333E1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4867CF" w:rsidP="00484EEB">
            <w:pPr>
              <w:pStyle w:val="KOT5"/>
              <w:spacing w:before="120"/>
              <w:jc w:val="center"/>
              <w:rPr>
                <w:sz w:val="24"/>
                <w:szCs w:val="24"/>
                <w:rtl/>
              </w:rPr>
            </w:pPr>
            <w:r w:rsidRPr="004867CF">
              <w:rPr>
                <w:rFonts w:hint="cs"/>
                <w:sz w:val="24"/>
                <w:szCs w:val="24"/>
                <w:rtl/>
              </w:rPr>
              <w:t>ליקויים בקרן ההלוואות בערבות המדינה לעסקים קטנים ובינוניים</w:t>
            </w:r>
          </w:p>
        </w:tc>
      </w:tr>
      <w:tr w:rsidTr="00333E19">
        <w:tblPrEx>
          <w:tblW w:w="6691" w:type="dxa"/>
          <w:jc w:val="center"/>
          <w:tblLook w:val="04A0"/>
        </w:tblPrEx>
        <w:trPr>
          <w:cantSplit/>
          <w:jc w:val="center"/>
        </w:trPr>
        <w:tc>
          <w:tcPr>
            <w:tcW w:w="6691" w:type="dxa"/>
          </w:tcPr>
          <w:p w:rsidR="004867CF" w:rsidP="00484EEB">
            <w:pPr>
              <w:pStyle w:val="takzir"/>
              <w:spacing w:before="60"/>
              <w:rPr>
                <w:b w:val="0"/>
                <w:bCs w:val="0"/>
                <w:noProof w:val="0"/>
                <w:rtl/>
              </w:rPr>
            </w:pPr>
            <w:r w:rsidRPr="004867CF">
              <w:rPr>
                <w:rFonts w:hint="cs"/>
                <w:b w:val="0"/>
                <w:bCs w:val="0"/>
                <w:noProof w:val="0"/>
                <w:rtl/>
              </w:rPr>
              <w:t xml:space="preserve">מכרזי </w:t>
            </w:r>
            <w:r w:rsidRPr="004867CF">
              <w:rPr>
                <w:rFonts w:hint="cs"/>
                <w:b w:val="0"/>
                <w:bCs w:val="0"/>
                <w:noProof w:val="0"/>
                <w:rtl/>
              </w:rPr>
              <w:t>החשכ"ל</w:t>
            </w:r>
            <w:r w:rsidRPr="004867CF">
              <w:rPr>
                <w:rFonts w:hint="cs"/>
                <w:b w:val="0"/>
                <w:bCs w:val="0"/>
                <w:noProof w:val="0"/>
                <w:rtl/>
              </w:rPr>
              <w:t xml:space="preserve"> למתן הלוואות מטעם הקרן מיועדים לבנקים בלבד. מלבד הבנקים קיימים מוסדות נוספים בעלי משאבים כספיים העשויים להיות מעוניינים במתן הלוואות לעסקים קטנים ובינוניים, כגון קופות פנסיה, קופות גמל, חברות ביטוח וחברות מימון. מוסדות אלה אינם מקבלים הזדמנות להיות שותפים בקרן.</w:t>
            </w:r>
          </w:p>
        </w:tc>
      </w:tr>
    </w:tbl>
    <w:p w:rsidR="004867CF" w:rsidP="00484EEB">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333E1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4867CF" w:rsidP="00484EEB">
            <w:pPr>
              <w:pStyle w:val="KOT5"/>
              <w:spacing w:before="120"/>
              <w:jc w:val="center"/>
              <w:rPr>
                <w:sz w:val="24"/>
                <w:szCs w:val="24"/>
                <w:rtl/>
              </w:rPr>
            </w:pPr>
            <w:r w:rsidRPr="004867CF">
              <w:rPr>
                <w:rFonts w:hint="cs"/>
                <w:sz w:val="24"/>
                <w:szCs w:val="24"/>
                <w:rtl/>
              </w:rPr>
              <w:t>חוסר היערכות למצבי חירום</w:t>
            </w:r>
          </w:p>
        </w:tc>
      </w:tr>
      <w:tr w:rsidTr="00333E19">
        <w:tblPrEx>
          <w:tblW w:w="6691" w:type="dxa"/>
          <w:jc w:val="center"/>
          <w:tblLook w:val="04A0"/>
        </w:tblPrEx>
        <w:trPr>
          <w:cantSplit/>
          <w:jc w:val="center"/>
        </w:trPr>
        <w:tc>
          <w:tcPr>
            <w:tcW w:w="6691" w:type="dxa"/>
          </w:tcPr>
          <w:p w:rsidR="004867CF" w:rsidP="00484EEB">
            <w:pPr>
              <w:pStyle w:val="takzir"/>
              <w:spacing w:before="60"/>
              <w:rPr>
                <w:b w:val="0"/>
                <w:bCs w:val="0"/>
                <w:noProof w:val="0"/>
                <w:rtl/>
              </w:rPr>
            </w:pPr>
            <w:r w:rsidRPr="004867CF">
              <w:rPr>
                <w:rFonts w:hint="cs"/>
                <w:b w:val="0"/>
                <w:bCs w:val="0"/>
                <w:noProof w:val="0"/>
                <w:rtl/>
              </w:rPr>
              <w:t>רשות</w:t>
            </w:r>
            <w:r w:rsidRPr="004867CF">
              <w:rPr>
                <w:b w:val="0"/>
                <w:bCs w:val="0"/>
                <w:noProof w:val="0"/>
                <w:rtl/>
              </w:rPr>
              <w:t xml:space="preserve"> </w:t>
            </w:r>
            <w:r w:rsidRPr="004867CF">
              <w:rPr>
                <w:rFonts w:hint="cs"/>
                <w:b w:val="0"/>
                <w:bCs w:val="0"/>
                <w:noProof w:val="0"/>
                <w:rtl/>
              </w:rPr>
              <w:t>החירום</w:t>
            </w:r>
            <w:r w:rsidRPr="004867CF">
              <w:rPr>
                <w:b w:val="0"/>
                <w:bCs w:val="0"/>
                <w:noProof w:val="0"/>
                <w:rtl/>
              </w:rPr>
              <w:t xml:space="preserve"> </w:t>
            </w:r>
            <w:r w:rsidRPr="004867CF">
              <w:rPr>
                <w:rFonts w:hint="cs"/>
                <w:b w:val="0"/>
                <w:bCs w:val="0"/>
                <w:noProof w:val="0"/>
                <w:rtl/>
              </w:rPr>
              <w:t>הלאומית</w:t>
            </w:r>
            <w:r w:rsidRPr="004867CF">
              <w:rPr>
                <w:b w:val="0"/>
                <w:bCs w:val="0"/>
                <w:noProof w:val="0"/>
                <w:rtl/>
              </w:rPr>
              <w:t xml:space="preserve"> (</w:t>
            </w:r>
            <w:r w:rsidRPr="004867CF">
              <w:rPr>
                <w:rFonts w:hint="cs"/>
                <w:b w:val="0"/>
                <w:bCs w:val="0"/>
                <w:noProof w:val="0"/>
                <w:rtl/>
              </w:rPr>
              <w:t>להלן</w:t>
            </w:r>
            <w:r w:rsidRPr="004867CF">
              <w:rPr>
                <w:b w:val="0"/>
                <w:bCs w:val="0"/>
                <w:noProof w:val="0"/>
                <w:rtl/>
              </w:rPr>
              <w:t xml:space="preserve"> - </w:t>
            </w:r>
            <w:r w:rsidRPr="004867CF">
              <w:rPr>
                <w:rFonts w:hint="cs"/>
                <w:b w:val="0"/>
                <w:bCs w:val="0"/>
                <w:noProof w:val="0"/>
                <w:rtl/>
              </w:rPr>
              <w:t>רח</w:t>
            </w:r>
            <w:r w:rsidRPr="004867CF">
              <w:rPr>
                <w:b w:val="0"/>
                <w:bCs w:val="0"/>
                <w:noProof w:val="0"/>
                <w:rtl/>
              </w:rPr>
              <w:t>"ל</w:t>
            </w:r>
            <w:r w:rsidRPr="004867CF">
              <w:rPr>
                <w:b w:val="0"/>
                <w:bCs w:val="0"/>
                <w:noProof w:val="0"/>
                <w:rtl/>
              </w:rPr>
              <w:t xml:space="preserve">) </w:t>
            </w:r>
            <w:r w:rsidRPr="004867CF">
              <w:rPr>
                <w:rFonts w:hint="cs"/>
                <w:b w:val="0"/>
                <w:bCs w:val="0"/>
                <w:noProof w:val="0"/>
                <w:rtl/>
              </w:rPr>
              <w:t>הכינה</w:t>
            </w:r>
            <w:r w:rsidRPr="004867CF">
              <w:rPr>
                <w:b w:val="0"/>
                <w:bCs w:val="0"/>
                <w:noProof w:val="0"/>
                <w:rtl/>
              </w:rPr>
              <w:t xml:space="preserve"> </w:t>
            </w:r>
            <w:r w:rsidRPr="004867CF">
              <w:rPr>
                <w:rFonts w:hint="cs"/>
                <w:b w:val="0"/>
                <w:bCs w:val="0"/>
                <w:noProof w:val="0"/>
                <w:rtl/>
              </w:rPr>
              <w:t>תרחישי</w:t>
            </w:r>
            <w:r w:rsidRPr="004867CF">
              <w:rPr>
                <w:b w:val="0"/>
                <w:bCs w:val="0"/>
                <w:noProof w:val="0"/>
                <w:rtl/>
              </w:rPr>
              <w:t xml:space="preserve"> </w:t>
            </w:r>
            <w:r w:rsidRPr="004867CF">
              <w:rPr>
                <w:rFonts w:hint="cs"/>
                <w:b w:val="0"/>
                <w:bCs w:val="0"/>
                <w:noProof w:val="0"/>
                <w:rtl/>
              </w:rPr>
              <w:t>ייחוס</w:t>
            </w:r>
            <w:r w:rsidRPr="004867CF">
              <w:rPr>
                <w:b w:val="0"/>
                <w:bCs w:val="0"/>
                <w:noProof w:val="0"/>
                <w:rtl/>
              </w:rPr>
              <w:t xml:space="preserve"> לסוגי האסונות </w:t>
            </w:r>
            <w:r w:rsidRPr="004867CF">
              <w:rPr>
                <w:rFonts w:hint="cs"/>
                <w:b w:val="0"/>
                <w:bCs w:val="0"/>
                <w:noProof w:val="0"/>
                <w:rtl/>
              </w:rPr>
              <w:t>שעלולים</w:t>
            </w:r>
            <w:r w:rsidRPr="004867CF">
              <w:rPr>
                <w:b w:val="0"/>
                <w:bCs w:val="0"/>
                <w:noProof w:val="0"/>
                <w:rtl/>
              </w:rPr>
              <w:t xml:space="preserve"> </w:t>
            </w:r>
            <w:r w:rsidRPr="004867CF">
              <w:rPr>
                <w:rFonts w:hint="cs"/>
                <w:b w:val="0"/>
                <w:bCs w:val="0"/>
                <w:noProof w:val="0"/>
                <w:rtl/>
              </w:rPr>
              <w:t>לפקוד</w:t>
            </w:r>
            <w:r w:rsidRPr="004867CF">
              <w:rPr>
                <w:b w:val="0"/>
                <w:bCs w:val="0"/>
                <w:noProof w:val="0"/>
                <w:rtl/>
              </w:rPr>
              <w:t xml:space="preserve"> </w:t>
            </w:r>
            <w:r w:rsidRPr="004867CF">
              <w:rPr>
                <w:rFonts w:hint="cs"/>
                <w:b w:val="0"/>
                <w:bCs w:val="0"/>
                <w:noProof w:val="0"/>
                <w:rtl/>
              </w:rPr>
              <w:t>את</w:t>
            </w:r>
            <w:r w:rsidRPr="004867CF">
              <w:rPr>
                <w:b w:val="0"/>
                <w:bCs w:val="0"/>
                <w:noProof w:val="0"/>
                <w:rtl/>
              </w:rPr>
              <w:t xml:space="preserve"> </w:t>
            </w:r>
            <w:r w:rsidRPr="004867CF">
              <w:rPr>
                <w:rFonts w:hint="cs"/>
                <w:b w:val="0"/>
                <w:bCs w:val="0"/>
                <w:noProof w:val="0"/>
                <w:rtl/>
              </w:rPr>
              <w:t>המדינה</w:t>
            </w:r>
            <w:r w:rsidRPr="004867CF">
              <w:rPr>
                <w:b w:val="0"/>
                <w:bCs w:val="0"/>
                <w:noProof w:val="0"/>
                <w:rtl/>
              </w:rPr>
              <w:t xml:space="preserve">, ובהם </w:t>
            </w:r>
            <w:r w:rsidRPr="004867CF">
              <w:rPr>
                <w:rFonts w:hint="cs"/>
                <w:b w:val="0"/>
                <w:bCs w:val="0"/>
                <w:noProof w:val="0"/>
                <w:rtl/>
              </w:rPr>
              <w:t>שרפה</w:t>
            </w:r>
            <w:r w:rsidRPr="004867CF">
              <w:rPr>
                <w:b w:val="0"/>
                <w:bCs w:val="0"/>
                <w:noProof w:val="0"/>
                <w:rtl/>
              </w:rPr>
              <w:t xml:space="preserve">, סופה </w:t>
            </w:r>
            <w:r w:rsidRPr="004867CF">
              <w:rPr>
                <w:rFonts w:hint="cs"/>
                <w:b w:val="0"/>
                <w:bCs w:val="0"/>
                <w:noProof w:val="0"/>
                <w:rtl/>
              </w:rPr>
              <w:t>וחבלה</w:t>
            </w:r>
            <w:r w:rsidRPr="004867CF">
              <w:rPr>
                <w:b w:val="0"/>
                <w:bCs w:val="0"/>
                <w:noProof w:val="0"/>
                <w:rtl/>
              </w:rPr>
              <w:t xml:space="preserve">. תרחישים אלו יכולים לסייע לעסקים לבחון אילו סוגי אסונות </w:t>
            </w:r>
            <w:r w:rsidRPr="004867CF">
              <w:rPr>
                <w:rFonts w:hint="cs"/>
                <w:b w:val="0"/>
                <w:bCs w:val="0"/>
                <w:noProof w:val="0"/>
                <w:rtl/>
              </w:rPr>
              <w:t>עשויים</w:t>
            </w:r>
            <w:r w:rsidRPr="004867CF">
              <w:rPr>
                <w:b w:val="0"/>
                <w:bCs w:val="0"/>
                <w:noProof w:val="0"/>
                <w:rtl/>
              </w:rPr>
              <w:t xml:space="preserve"> לפקוד את עסקיהם על פי שכיחותה של כל תופעה </w:t>
            </w:r>
            <w:r w:rsidRPr="004867CF">
              <w:rPr>
                <w:rFonts w:hint="cs"/>
                <w:b w:val="0"/>
                <w:bCs w:val="0"/>
                <w:noProof w:val="0"/>
                <w:rtl/>
              </w:rPr>
              <w:t>באזורם</w:t>
            </w:r>
            <w:r w:rsidRPr="004867CF">
              <w:rPr>
                <w:b w:val="0"/>
                <w:bCs w:val="0"/>
                <w:noProof w:val="0"/>
                <w:rtl/>
              </w:rPr>
              <w:t xml:space="preserve"> ולהיערך בהתאם. </w:t>
            </w:r>
            <w:r w:rsidRPr="004867CF">
              <w:rPr>
                <w:rFonts w:hint="cs"/>
                <w:b w:val="0"/>
                <w:bCs w:val="0"/>
                <w:noProof w:val="0"/>
                <w:rtl/>
              </w:rPr>
              <w:t>הועלה</w:t>
            </w:r>
            <w:r w:rsidRPr="004867CF">
              <w:rPr>
                <w:b w:val="0"/>
                <w:bCs w:val="0"/>
                <w:noProof w:val="0"/>
                <w:rtl/>
              </w:rPr>
              <w:t xml:space="preserve"> כי </w:t>
            </w:r>
            <w:r w:rsidRPr="004867CF">
              <w:rPr>
                <w:rFonts w:hint="cs"/>
                <w:b w:val="0"/>
                <w:bCs w:val="0"/>
                <w:noProof w:val="0"/>
                <w:rtl/>
              </w:rPr>
              <w:t>הסוכנות</w:t>
            </w:r>
            <w:r w:rsidRPr="004867CF">
              <w:rPr>
                <w:b w:val="0"/>
                <w:bCs w:val="0"/>
                <w:noProof w:val="0"/>
                <w:rtl/>
              </w:rPr>
              <w:t xml:space="preserve"> ומשרד הכלכלה אינם מטפלים בהיערכות </w:t>
            </w:r>
            <w:r w:rsidRPr="004867CF">
              <w:rPr>
                <w:rFonts w:hint="cs"/>
                <w:b w:val="0"/>
                <w:bCs w:val="0"/>
                <w:noProof w:val="0"/>
                <w:rtl/>
              </w:rPr>
              <w:t>לאסונות</w:t>
            </w:r>
            <w:r w:rsidRPr="004867CF">
              <w:rPr>
                <w:b w:val="0"/>
                <w:bCs w:val="0"/>
                <w:noProof w:val="0"/>
                <w:rtl/>
              </w:rPr>
              <w:t xml:space="preserve"> של </w:t>
            </w:r>
            <w:r w:rsidRPr="004867CF">
              <w:rPr>
                <w:rFonts w:hint="cs"/>
                <w:b w:val="0"/>
                <w:bCs w:val="0"/>
                <w:noProof w:val="0"/>
                <w:rtl/>
              </w:rPr>
              <w:t>עסקים</w:t>
            </w:r>
            <w:r w:rsidRPr="004867CF">
              <w:rPr>
                <w:b w:val="0"/>
                <w:bCs w:val="0"/>
                <w:noProof w:val="0"/>
                <w:rtl/>
              </w:rPr>
              <w:t xml:space="preserve"> </w:t>
            </w:r>
            <w:r w:rsidRPr="004867CF">
              <w:rPr>
                <w:rFonts w:hint="cs"/>
                <w:b w:val="0"/>
                <w:bCs w:val="0"/>
                <w:noProof w:val="0"/>
                <w:rtl/>
              </w:rPr>
              <w:t>שאינם</w:t>
            </w:r>
            <w:r w:rsidRPr="004867CF">
              <w:rPr>
                <w:b w:val="0"/>
                <w:bCs w:val="0"/>
                <w:noProof w:val="0"/>
                <w:rtl/>
              </w:rPr>
              <w:t xml:space="preserve"> </w:t>
            </w:r>
            <w:r w:rsidRPr="004867CF">
              <w:rPr>
                <w:rFonts w:hint="cs"/>
                <w:b w:val="0"/>
                <w:bCs w:val="0"/>
                <w:noProof w:val="0"/>
                <w:rtl/>
              </w:rPr>
              <w:t>מוגדרים</w:t>
            </w:r>
            <w:r w:rsidRPr="004867CF">
              <w:rPr>
                <w:b w:val="0"/>
                <w:bCs w:val="0"/>
                <w:noProof w:val="0"/>
                <w:rtl/>
              </w:rPr>
              <w:t xml:space="preserve"> </w:t>
            </w:r>
            <w:r w:rsidRPr="004867CF">
              <w:rPr>
                <w:rFonts w:hint="cs"/>
                <w:b w:val="0"/>
                <w:bCs w:val="0"/>
                <w:noProof w:val="0"/>
                <w:rtl/>
              </w:rPr>
              <w:t>כחיוניים</w:t>
            </w:r>
            <w:r w:rsidRPr="004867CF">
              <w:rPr>
                <w:b w:val="0"/>
                <w:bCs w:val="0"/>
                <w:noProof w:val="0"/>
                <w:rtl/>
              </w:rPr>
              <w:t xml:space="preserve"> </w:t>
            </w:r>
            <w:r w:rsidRPr="004867CF">
              <w:rPr>
                <w:rFonts w:hint="cs"/>
                <w:b w:val="0"/>
                <w:bCs w:val="0"/>
                <w:noProof w:val="0"/>
                <w:rtl/>
              </w:rPr>
              <w:t>בשעת</w:t>
            </w:r>
            <w:r w:rsidRPr="004867CF">
              <w:rPr>
                <w:b w:val="0"/>
                <w:bCs w:val="0"/>
                <w:noProof w:val="0"/>
                <w:rtl/>
              </w:rPr>
              <w:t xml:space="preserve"> </w:t>
            </w:r>
            <w:r w:rsidRPr="004867CF">
              <w:rPr>
                <w:rFonts w:hint="cs"/>
                <w:b w:val="0"/>
                <w:bCs w:val="0"/>
                <w:noProof w:val="0"/>
                <w:rtl/>
              </w:rPr>
              <w:t>חירום</w:t>
            </w:r>
            <w:r w:rsidRPr="004867CF">
              <w:rPr>
                <w:b w:val="0"/>
                <w:bCs w:val="0"/>
                <w:noProof w:val="0"/>
                <w:rtl/>
              </w:rPr>
              <w:t xml:space="preserve">; הסוכנות </w:t>
            </w:r>
            <w:r w:rsidRPr="004867CF">
              <w:rPr>
                <w:rFonts w:hint="cs"/>
                <w:b w:val="0"/>
                <w:bCs w:val="0"/>
                <w:noProof w:val="0"/>
                <w:rtl/>
              </w:rPr>
              <w:t>אינה</w:t>
            </w:r>
            <w:r w:rsidRPr="004867CF">
              <w:rPr>
                <w:b w:val="0"/>
                <w:bCs w:val="0"/>
                <w:noProof w:val="0"/>
                <w:rtl/>
              </w:rPr>
              <w:t xml:space="preserve"> </w:t>
            </w:r>
            <w:r w:rsidRPr="004867CF">
              <w:rPr>
                <w:rFonts w:hint="cs"/>
                <w:b w:val="0"/>
                <w:bCs w:val="0"/>
                <w:noProof w:val="0"/>
                <w:rtl/>
              </w:rPr>
              <w:t>מרכזת</w:t>
            </w:r>
            <w:r w:rsidRPr="004867CF">
              <w:rPr>
                <w:b w:val="0"/>
                <w:bCs w:val="0"/>
                <w:noProof w:val="0"/>
                <w:rtl/>
              </w:rPr>
              <w:t xml:space="preserve"> </w:t>
            </w:r>
            <w:r w:rsidRPr="004867CF">
              <w:rPr>
                <w:rFonts w:hint="cs"/>
                <w:b w:val="0"/>
                <w:bCs w:val="0"/>
                <w:noProof w:val="0"/>
                <w:rtl/>
              </w:rPr>
              <w:t>את</w:t>
            </w:r>
            <w:r w:rsidRPr="004867CF">
              <w:rPr>
                <w:b w:val="0"/>
                <w:bCs w:val="0"/>
                <w:noProof w:val="0"/>
                <w:rtl/>
              </w:rPr>
              <w:t xml:space="preserve"> </w:t>
            </w:r>
            <w:r w:rsidRPr="004867CF">
              <w:rPr>
                <w:rFonts w:hint="cs"/>
                <w:b w:val="0"/>
                <w:bCs w:val="0"/>
                <w:noProof w:val="0"/>
                <w:rtl/>
              </w:rPr>
              <w:t>המידע</w:t>
            </w:r>
            <w:r w:rsidRPr="004867CF">
              <w:rPr>
                <w:b w:val="0"/>
                <w:bCs w:val="0"/>
                <w:noProof w:val="0"/>
                <w:rtl/>
              </w:rPr>
              <w:t xml:space="preserve"> </w:t>
            </w:r>
            <w:r w:rsidRPr="004867CF">
              <w:rPr>
                <w:rFonts w:hint="cs"/>
                <w:b w:val="0"/>
                <w:bCs w:val="0"/>
                <w:noProof w:val="0"/>
                <w:rtl/>
              </w:rPr>
              <w:t>המקצועי</w:t>
            </w:r>
            <w:r w:rsidRPr="004867CF">
              <w:rPr>
                <w:b w:val="0"/>
                <w:bCs w:val="0"/>
                <w:noProof w:val="0"/>
                <w:rtl/>
              </w:rPr>
              <w:t xml:space="preserve"> </w:t>
            </w:r>
            <w:r w:rsidRPr="004867CF">
              <w:rPr>
                <w:rFonts w:hint="cs"/>
                <w:b w:val="0"/>
                <w:bCs w:val="0"/>
                <w:noProof w:val="0"/>
                <w:rtl/>
              </w:rPr>
              <w:t>הרלוונטי</w:t>
            </w:r>
            <w:r w:rsidRPr="004867CF">
              <w:rPr>
                <w:b w:val="0"/>
                <w:bCs w:val="0"/>
                <w:noProof w:val="0"/>
                <w:rtl/>
              </w:rPr>
              <w:t xml:space="preserve"> הנוגע להיערכות לאסונות באתר האינטרנט שלה, </w:t>
            </w:r>
            <w:r w:rsidRPr="004867CF">
              <w:rPr>
                <w:rFonts w:hint="cs"/>
                <w:b w:val="0"/>
                <w:bCs w:val="0"/>
                <w:noProof w:val="0"/>
                <w:rtl/>
              </w:rPr>
              <w:t>אינה</w:t>
            </w:r>
            <w:r w:rsidRPr="004867CF">
              <w:rPr>
                <w:b w:val="0"/>
                <w:bCs w:val="0"/>
                <w:noProof w:val="0"/>
                <w:rtl/>
              </w:rPr>
              <w:t xml:space="preserve"> </w:t>
            </w:r>
            <w:r w:rsidRPr="004867CF">
              <w:rPr>
                <w:rFonts w:hint="cs"/>
                <w:b w:val="0"/>
                <w:bCs w:val="0"/>
                <w:noProof w:val="0"/>
                <w:rtl/>
              </w:rPr>
              <w:t>מכינה</w:t>
            </w:r>
            <w:r w:rsidRPr="004867CF">
              <w:rPr>
                <w:b w:val="0"/>
                <w:bCs w:val="0"/>
                <w:noProof w:val="0"/>
                <w:rtl/>
              </w:rPr>
              <w:t xml:space="preserve"> </w:t>
            </w:r>
            <w:r w:rsidRPr="004867CF">
              <w:rPr>
                <w:rFonts w:hint="cs"/>
                <w:b w:val="0"/>
                <w:bCs w:val="0"/>
                <w:noProof w:val="0"/>
                <w:rtl/>
              </w:rPr>
              <w:t>חומרי</w:t>
            </w:r>
            <w:r w:rsidRPr="004867CF">
              <w:rPr>
                <w:b w:val="0"/>
                <w:bCs w:val="0"/>
                <w:noProof w:val="0"/>
                <w:rtl/>
              </w:rPr>
              <w:t xml:space="preserve"> </w:t>
            </w:r>
            <w:r w:rsidRPr="004867CF">
              <w:rPr>
                <w:rFonts w:hint="cs"/>
                <w:b w:val="0"/>
                <w:bCs w:val="0"/>
                <w:noProof w:val="0"/>
                <w:rtl/>
              </w:rPr>
              <w:t>הדרכה</w:t>
            </w:r>
            <w:r w:rsidRPr="004867CF">
              <w:rPr>
                <w:b w:val="0"/>
                <w:bCs w:val="0"/>
                <w:noProof w:val="0"/>
                <w:rtl/>
              </w:rPr>
              <w:t xml:space="preserve"> </w:t>
            </w:r>
            <w:r w:rsidRPr="004867CF">
              <w:rPr>
                <w:rFonts w:hint="cs"/>
                <w:b w:val="0"/>
                <w:bCs w:val="0"/>
                <w:noProof w:val="0"/>
                <w:rtl/>
              </w:rPr>
              <w:t>שיסייעו</w:t>
            </w:r>
            <w:r w:rsidRPr="004867CF">
              <w:rPr>
                <w:b w:val="0"/>
                <w:bCs w:val="0"/>
                <w:noProof w:val="0"/>
                <w:rtl/>
              </w:rPr>
              <w:t xml:space="preserve"> לעסקים להיערך בהתאם </w:t>
            </w:r>
            <w:r w:rsidRPr="004867CF">
              <w:rPr>
                <w:rFonts w:hint="cs"/>
                <w:b w:val="0"/>
                <w:bCs w:val="0"/>
                <w:noProof w:val="0"/>
                <w:rtl/>
              </w:rPr>
              <w:t>ואף</w:t>
            </w:r>
            <w:r w:rsidRPr="004867CF">
              <w:rPr>
                <w:b w:val="0"/>
                <w:bCs w:val="0"/>
                <w:noProof w:val="0"/>
                <w:rtl/>
              </w:rPr>
              <w:t xml:space="preserve"> </w:t>
            </w:r>
            <w:r w:rsidRPr="004867CF">
              <w:rPr>
                <w:rFonts w:hint="cs"/>
                <w:b w:val="0"/>
                <w:bCs w:val="0"/>
                <w:noProof w:val="0"/>
                <w:rtl/>
              </w:rPr>
              <w:t>אינה</w:t>
            </w:r>
            <w:r w:rsidRPr="004867CF">
              <w:rPr>
                <w:b w:val="0"/>
                <w:bCs w:val="0"/>
                <w:noProof w:val="0"/>
                <w:rtl/>
              </w:rPr>
              <w:t xml:space="preserve"> </w:t>
            </w:r>
            <w:r w:rsidRPr="004867CF">
              <w:rPr>
                <w:rFonts w:hint="cs"/>
                <w:b w:val="0"/>
                <w:bCs w:val="0"/>
                <w:noProof w:val="0"/>
                <w:rtl/>
              </w:rPr>
              <w:t>מדריכה</w:t>
            </w:r>
            <w:r w:rsidRPr="004867CF">
              <w:rPr>
                <w:b w:val="0"/>
                <w:bCs w:val="0"/>
                <w:noProof w:val="0"/>
                <w:rtl/>
              </w:rPr>
              <w:t xml:space="preserve"> </w:t>
            </w:r>
            <w:r w:rsidRPr="004867CF">
              <w:rPr>
                <w:rFonts w:hint="cs"/>
                <w:b w:val="0"/>
                <w:bCs w:val="0"/>
                <w:noProof w:val="0"/>
                <w:rtl/>
              </w:rPr>
              <w:t>עסקים</w:t>
            </w:r>
            <w:r w:rsidRPr="004867CF">
              <w:rPr>
                <w:b w:val="0"/>
                <w:bCs w:val="0"/>
                <w:noProof w:val="0"/>
                <w:rtl/>
              </w:rPr>
              <w:t xml:space="preserve"> קטנים ובינוניים </w:t>
            </w:r>
            <w:r w:rsidRPr="004867CF">
              <w:rPr>
                <w:rFonts w:hint="cs"/>
                <w:b w:val="0"/>
                <w:bCs w:val="0"/>
                <w:noProof w:val="0"/>
                <w:rtl/>
              </w:rPr>
              <w:t>כיצד</w:t>
            </w:r>
            <w:r w:rsidRPr="004867CF">
              <w:rPr>
                <w:b w:val="0"/>
                <w:bCs w:val="0"/>
                <w:noProof w:val="0"/>
                <w:rtl/>
              </w:rPr>
              <w:t xml:space="preserve"> להיערך למצבי חירום. כתוצאה מכך עסקים קטנים ובינוניים רבים אינם ערוכים כראוי למצבי חירום ואסונות.</w:t>
            </w:r>
          </w:p>
        </w:tc>
      </w:tr>
    </w:tbl>
    <w:p w:rsidR="001275A6" w:rsidP="00484EEB">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750D3">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804" w:type="dxa"/>
            <w:shd w:val="pct25" w:color="00FF00" w:fill="auto"/>
          </w:tcPr>
          <w:p w:rsidR="001275A6" w:rsidP="00484EEB">
            <w:pPr>
              <w:pStyle w:val="KOT4"/>
              <w:spacing w:before="120"/>
              <w:jc w:val="center"/>
              <w:rPr>
                <w:rtl/>
              </w:rPr>
            </w:pPr>
            <w:r>
              <w:rPr>
                <w:rFonts w:hint="cs"/>
                <w:rtl/>
              </w:rPr>
              <w:t>ה</w:t>
            </w:r>
            <w:r>
              <w:rPr>
                <w:rtl/>
              </w:rPr>
              <w:t xml:space="preserve">המלצות </w:t>
            </w:r>
            <w:r>
              <w:rPr>
                <w:rFonts w:hint="cs"/>
                <w:rtl/>
              </w:rPr>
              <w:t>העיקריות</w:t>
            </w:r>
          </w:p>
        </w:tc>
      </w:tr>
      <w:tr w:rsidTr="005750D3">
        <w:tblPrEx>
          <w:tblW w:w="6691" w:type="dxa"/>
          <w:jc w:val="center"/>
          <w:tblLook w:val="04A0"/>
        </w:tblPrEx>
        <w:trPr>
          <w:jc w:val="center"/>
        </w:trPr>
        <w:tc>
          <w:tcPr>
            <w:tcW w:w="6804" w:type="dxa"/>
          </w:tcPr>
          <w:p w:rsidR="00BD6799" w:rsidRPr="00BD6799" w:rsidP="00484EEB">
            <w:pPr>
              <w:pStyle w:val="takzir"/>
              <w:spacing w:before="60"/>
              <w:ind w:left="340" w:hanging="340"/>
              <w:rPr>
                <w:b w:val="0"/>
                <w:bCs w:val="0"/>
                <w:noProof w:val="0"/>
                <w:rtl/>
              </w:rPr>
            </w:pPr>
            <w:r>
              <w:rPr>
                <w:rFonts w:hint="cs"/>
                <w:b w:val="0"/>
                <w:bCs w:val="0"/>
                <w:noProof w:val="0"/>
                <w:rtl/>
              </w:rPr>
              <w:t>1.</w:t>
            </w:r>
            <w:r>
              <w:rPr>
                <w:b w:val="0"/>
                <w:bCs w:val="0"/>
                <w:noProof w:val="0"/>
                <w:rtl/>
              </w:rPr>
              <w:tab/>
            </w:r>
            <w:r w:rsidRPr="00BD6799">
              <w:rPr>
                <w:rFonts w:hint="cs"/>
                <w:b w:val="0"/>
                <w:bCs w:val="0"/>
                <w:noProof w:val="0"/>
                <w:rtl/>
              </w:rPr>
              <w:t xml:space="preserve">על </w:t>
            </w:r>
            <w:r w:rsidRPr="00BD6799">
              <w:rPr>
                <w:rFonts w:hint="cs"/>
                <w:b w:val="0"/>
                <w:bCs w:val="0"/>
                <w:noProof w:val="0"/>
                <w:rtl/>
              </w:rPr>
              <w:t>מינהל</w:t>
            </w:r>
            <w:r w:rsidRPr="00BD6799">
              <w:rPr>
                <w:b w:val="0"/>
                <w:bCs w:val="0"/>
                <w:noProof w:val="0"/>
                <w:rtl/>
              </w:rPr>
              <w:t xml:space="preserve"> הרכש </w:t>
            </w:r>
            <w:r w:rsidRPr="00BD6799">
              <w:rPr>
                <w:rFonts w:hint="cs"/>
                <w:b w:val="0"/>
                <w:bCs w:val="0"/>
                <w:noProof w:val="0"/>
                <w:rtl/>
              </w:rPr>
              <w:t>להדק</w:t>
            </w:r>
            <w:r w:rsidRPr="00BD6799">
              <w:rPr>
                <w:b w:val="0"/>
                <w:bCs w:val="0"/>
                <w:noProof w:val="0"/>
                <w:rtl/>
              </w:rPr>
              <w:t xml:space="preserve"> </w:t>
            </w:r>
            <w:r w:rsidRPr="00BD6799">
              <w:rPr>
                <w:rFonts w:hint="cs"/>
                <w:b w:val="0"/>
                <w:bCs w:val="0"/>
                <w:noProof w:val="0"/>
                <w:rtl/>
              </w:rPr>
              <w:t>את</w:t>
            </w:r>
            <w:r w:rsidRPr="00BD6799">
              <w:rPr>
                <w:b w:val="0"/>
                <w:bCs w:val="0"/>
                <w:noProof w:val="0"/>
                <w:rtl/>
              </w:rPr>
              <w:t xml:space="preserve"> הפיקוח על ועדות מכרזים במשרדי הממשלה כדי לאתר חסמים </w:t>
            </w:r>
            <w:r w:rsidRPr="00BD6799">
              <w:rPr>
                <w:rFonts w:hint="cs"/>
                <w:b w:val="0"/>
                <w:bCs w:val="0"/>
                <w:noProof w:val="0"/>
                <w:rtl/>
              </w:rPr>
              <w:t>המקשים</w:t>
            </w:r>
            <w:r w:rsidRPr="00BD6799">
              <w:rPr>
                <w:b w:val="0"/>
                <w:bCs w:val="0"/>
                <w:noProof w:val="0"/>
                <w:rtl/>
              </w:rPr>
              <w:t xml:space="preserve"> על </w:t>
            </w:r>
            <w:r w:rsidRPr="00BD6799">
              <w:rPr>
                <w:rFonts w:hint="cs"/>
                <w:b w:val="0"/>
                <w:bCs w:val="0"/>
                <w:noProof w:val="0"/>
                <w:rtl/>
              </w:rPr>
              <w:t>עסקים</w:t>
            </w:r>
            <w:r w:rsidRPr="00BD6799">
              <w:rPr>
                <w:b w:val="0"/>
                <w:bCs w:val="0"/>
                <w:noProof w:val="0"/>
                <w:rtl/>
              </w:rPr>
              <w:t xml:space="preserve"> </w:t>
            </w:r>
            <w:r w:rsidRPr="00BD6799">
              <w:rPr>
                <w:rFonts w:hint="cs"/>
                <w:b w:val="0"/>
                <w:bCs w:val="0"/>
                <w:noProof w:val="0"/>
                <w:rtl/>
              </w:rPr>
              <w:t>קטנים</w:t>
            </w:r>
            <w:r w:rsidRPr="00BD6799">
              <w:rPr>
                <w:b w:val="0"/>
                <w:bCs w:val="0"/>
                <w:noProof w:val="0"/>
                <w:rtl/>
              </w:rPr>
              <w:t xml:space="preserve"> </w:t>
            </w:r>
            <w:r w:rsidRPr="00BD6799">
              <w:rPr>
                <w:rFonts w:hint="cs"/>
                <w:b w:val="0"/>
                <w:bCs w:val="0"/>
                <w:noProof w:val="0"/>
                <w:rtl/>
              </w:rPr>
              <w:t xml:space="preserve">ובינוניים את ההשתתפות במכרזים של גופים ציבוריים ולהסיר חסמים אלה. </w:t>
            </w:r>
            <w:r w:rsidRPr="00BD6799">
              <w:rPr>
                <w:b w:val="0"/>
                <w:bCs w:val="0"/>
                <w:noProof w:val="0"/>
                <w:rtl/>
              </w:rPr>
              <w:t>על הסוכנות</w:t>
            </w:r>
            <w:r w:rsidRPr="00BD6799">
              <w:rPr>
                <w:rFonts w:hint="cs"/>
                <w:b w:val="0"/>
                <w:bCs w:val="0"/>
                <w:noProof w:val="0"/>
                <w:rtl/>
              </w:rPr>
              <w:t>, בשיתוף משרד הכלכלה,</w:t>
            </w:r>
            <w:r w:rsidRPr="00BD6799">
              <w:rPr>
                <w:b w:val="0"/>
                <w:bCs w:val="0"/>
                <w:noProof w:val="0"/>
                <w:rtl/>
              </w:rPr>
              <w:t xml:space="preserve"> לקבוע כללים שיהיו שוויוניים</w:t>
            </w:r>
            <w:r w:rsidRPr="00BD6799">
              <w:rPr>
                <w:rFonts w:hint="cs"/>
                <w:b w:val="0"/>
                <w:bCs w:val="0"/>
                <w:noProof w:val="0"/>
                <w:rtl/>
              </w:rPr>
              <w:t xml:space="preserve"> לכל העסקים, גדולים כקטנים</w:t>
            </w:r>
            <w:r w:rsidRPr="00BD6799">
              <w:rPr>
                <w:b w:val="0"/>
                <w:bCs w:val="0"/>
                <w:noProof w:val="0"/>
                <w:rtl/>
              </w:rPr>
              <w:t xml:space="preserve">, עד כמה שניתן, </w:t>
            </w:r>
            <w:r w:rsidRPr="00BD6799">
              <w:rPr>
                <w:rFonts w:hint="eastAsia"/>
                <w:b w:val="0"/>
                <w:bCs w:val="0"/>
                <w:noProof w:val="0"/>
                <w:rtl/>
              </w:rPr>
              <w:t>לקידום</w:t>
            </w:r>
            <w:r w:rsidRPr="00BD6799">
              <w:rPr>
                <w:b w:val="0"/>
                <w:bCs w:val="0"/>
                <w:noProof w:val="0"/>
                <w:rtl/>
              </w:rPr>
              <w:t xml:space="preserve"> </w:t>
            </w:r>
            <w:r w:rsidRPr="00BD6799">
              <w:rPr>
                <w:rFonts w:hint="eastAsia"/>
                <w:b w:val="0"/>
                <w:bCs w:val="0"/>
                <w:noProof w:val="0"/>
                <w:rtl/>
              </w:rPr>
              <w:t>שילובם</w:t>
            </w:r>
            <w:r w:rsidRPr="00BD6799">
              <w:rPr>
                <w:b w:val="0"/>
                <w:bCs w:val="0"/>
                <w:noProof w:val="0"/>
                <w:rtl/>
              </w:rPr>
              <w:t xml:space="preserve"> </w:t>
            </w:r>
            <w:r w:rsidRPr="00BD6799">
              <w:rPr>
                <w:rFonts w:hint="eastAsia"/>
                <w:b w:val="0"/>
                <w:bCs w:val="0"/>
                <w:noProof w:val="0"/>
                <w:rtl/>
              </w:rPr>
              <w:t>במכרזים</w:t>
            </w:r>
            <w:r w:rsidRPr="00BD6799">
              <w:rPr>
                <w:b w:val="0"/>
                <w:bCs w:val="0"/>
                <w:noProof w:val="0"/>
                <w:rtl/>
              </w:rPr>
              <w:t xml:space="preserve"> של </w:t>
            </w:r>
            <w:r w:rsidRPr="00BD6799">
              <w:rPr>
                <w:rFonts w:hint="eastAsia"/>
                <w:b w:val="0"/>
                <w:bCs w:val="0"/>
                <w:noProof w:val="0"/>
                <w:rtl/>
              </w:rPr>
              <w:t>ה</w:t>
            </w:r>
            <w:r w:rsidRPr="00BD6799">
              <w:rPr>
                <w:b w:val="0"/>
                <w:bCs w:val="0"/>
                <w:noProof w:val="0"/>
                <w:rtl/>
              </w:rPr>
              <w:t xml:space="preserve">רשויות </w:t>
            </w:r>
            <w:r w:rsidRPr="00BD6799">
              <w:rPr>
                <w:rFonts w:hint="eastAsia"/>
                <w:b w:val="0"/>
                <w:bCs w:val="0"/>
                <w:noProof w:val="0"/>
                <w:rtl/>
              </w:rPr>
              <w:t>ה</w:t>
            </w:r>
            <w:r w:rsidRPr="00BD6799">
              <w:rPr>
                <w:b w:val="0"/>
                <w:bCs w:val="0"/>
                <w:noProof w:val="0"/>
                <w:rtl/>
              </w:rPr>
              <w:t xml:space="preserve">מקומיות. </w:t>
            </w:r>
          </w:p>
          <w:p w:rsidR="00BD6799" w:rsidRPr="00BD6799" w:rsidP="00484EEB">
            <w:pPr>
              <w:pStyle w:val="takzir"/>
              <w:ind w:left="340" w:hanging="340"/>
              <w:rPr>
                <w:b w:val="0"/>
                <w:bCs w:val="0"/>
                <w:noProof w:val="0"/>
                <w:rtl/>
              </w:rPr>
            </w:pPr>
            <w:r>
              <w:rPr>
                <w:rFonts w:hint="cs"/>
                <w:b w:val="0"/>
                <w:bCs w:val="0"/>
                <w:noProof w:val="0"/>
                <w:rtl/>
              </w:rPr>
              <w:t>2.</w:t>
            </w:r>
            <w:r>
              <w:rPr>
                <w:b w:val="0"/>
                <w:bCs w:val="0"/>
                <w:noProof w:val="0"/>
                <w:rtl/>
              </w:rPr>
              <w:tab/>
            </w:r>
            <w:r w:rsidRPr="00BD6799">
              <w:rPr>
                <w:rFonts w:hint="cs"/>
                <w:b w:val="0"/>
                <w:bCs w:val="0"/>
                <w:noProof w:val="0"/>
                <w:rtl/>
              </w:rPr>
              <w:t>על</w:t>
            </w:r>
            <w:r w:rsidRPr="00BD6799">
              <w:rPr>
                <w:b w:val="0"/>
                <w:bCs w:val="0"/>
                <w:noProof w:val="0"/>
                <w:rtl/>
              </w:rPr>
              <w:t xml:space="preserve"> </w:t>
            </w:r>
            <w:r w:rsidRPr="00BD6799">
              <w:rPr>
                <w:rFonts w:hint="cs"/>
                <w:b w:val="0"/>
                <w:bCs w:val="0"/>
                <w:noProof w:val="0"/>
                <w:rtl/>
              </w:rPr>
              <w:t>החשכ</w:t>
            </w:r>
            <w:r w:rsidRPr="00BD6799">
              <w:rPr>
                <w:b w:val="0"/>
                <w:bCs w:val="0"/>
                <w:noProof w:val="0"/>
                <w:rtl/>
              </w:rPr>
              <w:t>"ל</w:t>
            </w:r>
            <w:r w:rsidRPr="00BD6799">
              <w:rPr>
                <w:b w:val="0"/>
                <w:bCs w:val="0"/>
                <w:noProof w:val="0"/>
                <w:rtl/>
              </w:rPr>
              <w:t xml:space="preserve">, </w:t>
            </w:r>
            <w:r w:rsidRPr="00BD6799">
              <w:rPr>
                <w:rFonts w:hint="cs"/>
                <w:b w:val="0"/>
                <w:bCs w:val="0"/>
                <w:noProof w:val="0"/>
                <w:rtl/>
              </w:rPr>
              <w:t>בשיתוף</w:t>
            </w:r>
            <w:r w:rsidRPr="00BD6799">
              <w:rPr>
                <w:b w:val="0"/>
                <w:bCs w:val="0"/>
                <w:noProof w:val="0"/>
                <w:rtl/>
              </w:rPr>
              <w:t xml:space="preserve"> </w:t>
            </w:r>
            <w:r w:rsidRPr="00BD6799">
              <w:rPr>
                <w:rFonts w:hint="cs"/>
                <w:b w:val="0"/>
                <w:bCs w:val="0"/>
                <w:noProof w:val="0"/>
                <w:rtl/>
              </w:rPr>
              <w:t>משרד</w:t>
            </w:r>
            <w:r w:rsidRPr="00BD6799">
              <w:rPr>
                <w:b w:val="0"/>
                <w:bCs w:val="0"/>
                <w:noProof w:val="0"/>
                <w:rtl/>
              </w:rPr>
              <w:t xml:space="preserve"> </w:t>
            </w:r>
            <w:r w:rsidRPr="00BD6799">
              <w:rPr>
                <w:rFonts w:hint="cs"/>
                <w:b w:val="0"/>
                <w:bCs w:val="0"/>
                <w:noProof w:val="0"/>
                <w:rtl/>
              </w:rPr>
              <w:t>הכלכלה</w:t>
            </w:r>
            <w:r w:rsidRPr="00BD6799">
              <w:rPr>
                <w:b w:val="0"/>
                <w:bCs w:val="0"/>
                <w:noProof w:val="0"/>
                <w:rtl/>
              </w:rPr>
              <w:t xml:space="preserve">, </w:t>
            </w:r>
            <w:r w:rsidRPr="00BD6799">
              <w:rPr>
                <w:rFonts w:hint="cs"/>
                <w:b w:val="0"/>
                <w:bCs w:val="0"/>
                <w:noProof w:val="0"/>
                <w:rtl/>
              </w:rPr>
              <w:t>להדק</w:t>
            </w:r>
            <w:r w:rsidRPr="00BD6799">
              <w:rPr>
                <w:b w:val="0"/>
                <w:bCs w:val="0"/>
                <w:noProof w:val="0"/>
                <w:rtl/>
              </w:rPr>
              <w:t xml:space="preserve"> את הפיקוח על </w:t>
            </w:r>
            <w:r w:rsidRPr="00BD6799">
              <w:rPr>
                <w:rFonts w:hint="cs"/>
                <w:b w:val="0"/>
                <w:bCs w:val="0"/>
                <w:noProof w:val="0"/>
                <w:rtl/>
              </w:rPr>
              <w:t>הלווים</w:t>
            </w:r>
            <w:r w:rsidRPr="00BD6799">
              <w:rPr>
                <w:b w:val="0"/>
                <w:bCs w:val="0"/>
                <w:noProof w:val="0"/>
                <w:rtl/>
              </w:rPr>
              <w:t xml:space="preserve"> </w:t>
            </w:r>
            <w:r w:rsidRPr="00BD6799">
              <w:rPr>
                <w:rFonts w:hint="cs"/>
                <w:b w:val="0"/>
                <w:bCs w:val="0"/>
                <w:noProof w:val="0"/>
                <w:rtl/>
              </w:rPr>
              <w:t>בקרן</w:t>
            </w:r>
            <w:r w:rsidRPr="00BD6799">
              <w:rPr>
                <w:b w:val="0"/>
                <w:bCs w:val="0"/>
                <w:noProof w:val="0"/>
                <w:rtl/>
              </w:rPr>
              <w:t xml:space="preserve"> </w:t>
            </w:r>
            <w:r w:rsidRPr="00BD6799">
              <w:rPr>
                <w:rFonts w:hint="cs"/>
                <w:b w:val="0"/>
                <w:bCs w:val="0"/>
                <w:noProof w:val="0"/>
                <w:rtl/>
              </w:rPr>
              <w:t>ההלוואות</w:t>
            </w:r>
            <w:r w:rsidRPr="00BD6799">
              <w:rPr>
                <w:b w:val="0"/>
                <w:bCs w:val="0"/>
                <w:noProof w:val="0"/>
                <w:rtl/>
              </w:rPr>
              <w:t xml:space="preserve"> </w:t>
            </w:r>
            <w:r w:rsidRPr="00BD6799">
              <w:rPr>
                <w:rFonts w:hint="cs"/>
                <w:b w:val="0"/>
                <w:bCs w:val="0"/>
                <w:noProof w:val="0"/>
                <w:rtl/>
              </w:rPr>
              <w:t>לעסקים</w:t>
            </w:r>
            <w:r w:rsidRPr="00BD6799">
              <w:rPr>
                <w:b w:val="0"/>
                <w:bCs w:val="0"/>
                <w:noProof w:val="0"/>
                <w:rtl/>
              </w:rPr>
              <w:t xml:space="preserve"> </w:t>
            </w:r>
            <w:r w:rsidRPr="00BD6799">
              <w:rPr>
                <w:rFonts w:hint="cs"/>
                <w:b w:val="0"/>
                <w:bCs w:val="0"/>
                <w:noProof w:val="0"/>
                <w:rtl/>
              </w:rPr>
              <w:t>קטנים</w:t>
            </w:r>
            <w:r w:rsidRPr="00BD6799">
              <w:rPr>
                <w:b w:val="0"/>
                <w:bCs w:val="0"/>
                <w:noProof w:val="0"/>
                <w:rtl/>
              </w:rPr>
              <w:t xml:space="preserve"> </w:t>
            </w:r>
            <w:r w:rsidRPr="00BD6799">
              <w:rPr>
                <w:rFonts w:hint="cs"/>
                <w:b w:val="0"/>
                <w:bCs w:val="0"/>
                <w:noProof w:val="0"/>
                <w:rtl/>
              </w:rPr>
              <w:t>ובינוניים</w:t>
            </w:r>
            <w:r w:rsidRPr="00BD6799">
              <w:rPr>
                <w:b w:val="0"/>
                <w:bCs w:val="0"/>
                <w:noProof w:val="0"/>
                <w:rtl/>
              </w:rPr>
              <w:t xml:space="preserve">. </w:t>
            </w:r>
            <w:r w:rsidRPr="00BD6799">
              <w:rPr>
                <w:rFonts w:hint="cs"/>
                <w:b w:val="0"/>
                <w:bCs w:val="0"/>
                <w:noProof w:val="0"/>
                <w:rtl/>
              </w:rPr>
              <w:t>כאשר</w:t>
            </w:r>
            <w:r w:rsidRPr="00BD6799">
              <w:rPr>
                <w:b w:val="0"/>
                <w:bCs w:val="0"/>
                <w:noProof w:val="0"/>
                <w:rtl/>
              </w:rPr>
              <w:t xml:space="preserve"> </w:t>
            </w:r>
            <w:r w:rsidRPr="00BD6799">
              <w:rPr>
                <w:rFonts w:hint="cs"/>
                <w:b w:val="0"/>
                <w:bCs w:val="0"/>
                <w:noProof w:val="0"/>
                <w:rtl/>
              </w:rPr>
              <w:t>החשכ</w:t>
            </w:r>
            <w:r w:rsidRPr="00BD6799">
              <w:rPr>
                <w:b w:val="0"/>
                <w:bCs w:val="0"/>
                <w:noProof w:val="0"/>
                <w:rtl/>
              </w:rPr>
              <w:t>"ל</w:t>
            </w:r>
            <w:r w:rsidRPr="00BD6799">
              <w:rPr>
                <w:b w:val="0"/>
                <w:bCs w:val="0"/>
                <w:noProof w:val="0"/>
                <w:rtl/>
              </w:rPr>
              <w:t xml:space="preserve">, </w:t>
            </w:r>
            <w:r w:rsidRPr="00BD6799">
              <w:rPr>
                <w:rFonts w:hint="cs"/>
                <w:b w:val="0"/>
                <w:bCs w:val="0"/>
                <w:noProof w:val="0"/>
                <w:rtl/>
              </w:rPr>
              <w:t>משרד</w:t>
            </w:r>
            <w:r w:rsidRPr="00BD6799">
              <w:rPr>
                <w:b w:val="0"/>
                <w:bCs w:val="0"/>
                <w:noProof w:val="0"/>
                <w:rtl/>
              </w:rPr>
              <w:t xml:space="preserve"> </w:t>
            </w:r>
            <w:r w:rsidRPr="00BD6799">
              <w:rPr>
                <w:rFonts w:hint="cs"/>
                <w:b w:val="0"/>
                <w:bCs w:val="0"/>
                <w:noProof w:val="0"/>
                <w:rtl/>
              </w:rPr>
              <w:t>הכלכלה</w:t>
            </w:r>
            <w:r w:rsidRPr="00BD6799">
              <w:rPr>
                <w:b w:val="0"/>
                <w:bCs w:val="0"/>
                <w:noProof w:val="0"/>
                <w:rtl/>
              </w:rPr>
              <w:t xml:space="preserve"> </w:t>
            </w:r>
            <w:r w:rsidRPr="00BD6799">
              <w:rPr>
                <w:rFonts w:hint="cs"/>
                <w:b w:val="0"/>
                <w:bCs w:val="0"/>
                <w:noProof w:val="0"/>
                <w:rtl/>
              </w:rPr>
              <w:t>וגופי</w:t>
            </w:r>
            <w:r w:rsidRPr="00BD6799">
              <w:rPr>
                <w:b w:val="0"/>
                <w:bCs w:val="0"/>
                <w:noProof w:val="0"/>
                <w:rtl/>
              </w:rPr>
              <w:t xml:space="preserve"> </w:t>
            </w:r>
            <w:r w:rsidRPr="00BD6799">
              <w:rPr>
                <w:rFonts w:hint="cs"/>
                <w:b w:val="0"/>
                <w:bCs w:val="0"/>
                <w:noProof w:val="0"/>
                <w:rtl/>
              </w:rPr>
              <w:t>התיאום</w:t>
            </w:r>
            <w:r w:rsidRPr="00BD6799">
              <w:rPr>
                <w:b w:val="0"/>
                <w:bCs w:val="0"/>
                <w:noProof w:val="0"/>
                <w:rtl/>
              </w:rPr>
              <w:t xml:space="preserve"> </w:t>
            </w:r>
            <w:r w:rsidRPr="00BD6799">
              <w:rPr>
                <w:rFonts w:hint="cs"/>
                <w:b w:val="0"/>
                <w:bCs w:val="0"/>
                <w:noProof w:val="0"/>
                <w:rtl/>
              </w:rPr>
              <w:t>מזהים</w:t>
            </w:r>
            <w:r w:rsidRPr="00BD6799">
              <w:rPr>
                <w:b w:val="0"/>
                <w:bCs w:val="0"/>
                <w:noProof w:val="0"/>
                <w:rtl/>
              </w:rPr>
              <w:t xml:space="preserve"> </w:t>
            </w:r>
            <w:r w:rsidRPr="00BD6799">
              <w:rPr>
                <w:rFonts w:hint="cs"/>
                <w:b w:val="0"/>
                <w:bCs w:val="0"/>
                <w:noProof w:val="0"/>
                <w:rtl/>
              </w:rPr>
              <w:t>לווה</w:t>
            </w:r>
            <w:r w:rsidRPr="00BD6799">
              <w:rPr>
                <w:b w:val="0"/>
                <w:bCs w:val="0"/>
                <w:noProof w:val="0"/>
                <w:rtl/>
              </w:rPr>
              <w:t xml:space="preserve"> </w:t>
            </w:r>
            <w:r w:rsidRPr="00BD6799">
              <w:rPr>
                <w:rFonts w:hint="cs"/>
                <w:b w:val="0"/>
                <w:bCs w:val="0"/>
                <w:noProof w:val="0"/>
                <w:rtl/>
              </w:rPr>
              <w:t>העלול</w:t>
            </w:r>
            <w:r w:rsidRPr="00BD6799">
              <w:rPr>
                <w:b w:val="0"/>
                <w:bCs w:val="0"/>
                <w:noProof w:val="0"/>
                <w:rtl/>
              </w:rPr>
              <w:t xml:space="preserve"> </w:t>
            </w:r>
            <w:r w:rsidRPr="00BD6799">
              <w:rPr>
                <w:rFonts w:hint="cs"/>
                <w:b w:val="0"/>
                <w:bCs w:val="0"/>
                <w:noProof w:val="0"/>
                <w:rtl/>
              </w:rPr>
              <w:t>להיקלע</w:t>
            </w:r>
            <w:r w:rsidRPr="00BD6799">
              <w:rPr>
                <w:b w:val="0"/>
                <w:bCs w:val="0"/>
                <w:noProof w:val="0"/>
                <w:rtl/>
              </w:rPr>
              <w:t xml:space="preserve"> </w:t>
            </w:r>
            <w:r w:rsidRPr="00BD6799">
              <w:rPr>
                <w:rFonts w:hint="cs"/>
                <w:b w:val="0"/>
                <w:bCs w:val="0"/>
                <w:noProof w:val="0"/>
                <w:rtl/>
              </w:rPr>
              <w:t>לקשיים</w:t>
            </w:r>
            <w:r w:rsidRPr="00BD6799">
              <w:rPr>
                <w:b w:val="0"/>
                <w:bCs w:val="0"/>
                <w:noProof w:val="0"/>
                <w:rtl/>
              </w:rPr>
              <w:t xml:space="preserve"> </w:t>
            </w:r>
            <w:r w:rsidRPr="00BD6799">
              <w:rPr>
                <w:rFonts w:hint="cs"/>
                <w:b w:val="0"/>
                <w:bCs w:val="0"/>
                <w:noProof w:val="0"/>
                <w:rtl/>
              </w:rPr>
              <w:t>כספיים</w:t>
            </w:r>
            <w:r w:rsidRPr="00BD6799">
              <w:rPr>
                <w:b w:val="0"/>
                <w:bCs w:val="0"/>
                <w:noProof w:val="0"/>
                <w:rtl/>
              </w:rPr>
              <w:t xml:space="preserve"> </w:t>
            </w:r>
            <w:r w:rsidRPr="00BD6799">
              <w:rPr>
                <w:rFonts w:hint="cs"/>
                <w:b w:val="0"/>
                <w:bCs w:val="0"/>
                <w:noProof w:val="0"/>
                <w:rtl/>
              </w:rPr>
              <w:t>עליהם</w:t>
            </w:r>
            <w:r w:rsidRPr="00BD6799">
              <w:rPr>
                <w:b w:val="0"/>
                <w:bCs w:val="0"/>
                <w:noProof w:val="0"/>
                <w:rtl/>
              </w:rPr>
              <w:t xml:space="preserve"> </w:t>
            </w:r>
            <w:r w:rsidRPr="00BD6799">
              <w:rPr>
                <w:rFonts w:hint="cs"/>
                <w:b w:val="0"/>
                <w:bCs w:val="0"/>
                <w:noProof w:val="0"/>
                <w:rtl/>
              </w:rPr>
              <w:t>לבחון</w:t>
            </w:r>
            <w:r w:rsidRPr="00BD6799">
              <w:rPr>
                <w:b w:val="0"/>
                <w:bCs w:val="0"/>
                <w:noProof w:val="0"/>
                <w:rtl/>
              </w:rPr>
              <w:t xml:space="preserve"> </w:t>
            </w:r>
            <w:r w:rsidRPr="00BD6799">
              <w:rPr>
                <w:rFonts w:hint="cs"/>
                <w:b w:val="0"/>
                <w:bCs w:val="0"/>
                <w:noProof w:val="0"/>
                <w:rtl/>
              </w:rPr>
              <w:t>את</w:t>
            </w:r>
            <w:r w:rsidRPr="00BD6799">
              <w:rPr>
                <w:b w:val="0"/>
                <w:bCs w:val="0"/>
                <w:noProof w:val="0"/>
                <w:rtl/>
              </w:rPr>
              <w:t xml:space="preserve"> </w:t>
            </w:r>
            <w:r w:rsidRPr="00BD6799">
              <w:rPr>
                <w:rFonts w:hint="cs"/>
                <w:b w:val="0"/>
                <w:bCs w:val="0"/>
                <w:noProof w:val="0"/>
                <w:rtl/>
              </w:rPr>
              <w:t>הצורך</w:t>
            </w:r>
            <w:r w:rsidRPr="00BD6799">
              <w:rPr>
                <w:b w:val="0"/>
                <w:bCs w:val="0"/>
                <w:noProof w:val="0"/>
                <w:rtl/>
              </w:rPr>
              <w:t xml:space="preserve"> </w:t>
            </w:r>
            <w:r w:rsidRPr="00BD6799">
              <w:rPr>
                <w:rFonts w:hint="cs"/>
                <w:b w:val="0"/>
                <w:bCs w:val="0"/>
                <w:noProof w:val="0"/>
                <w:rtl/>
              </w:rPr>
              <w:t>להפנותו</w:t>
            </w:r>
            <w:r w:rsidRPr="00BD6799">
              <w:rPr>
                <w:b w:val="0"/>
                <w:bCs w:val="0"/>
                <w:noProof w:val="0"/>
                <w:rtl/>
              </w:rPr>
              <w:t xml:space="preserve"> </w:t>
            </w:r>
            <w:r w:rsidRPr="00BD6799">
              <w:rPr>
                <w:rFonts w:hint="cs"/>
                <w:b w:val="0"/>
                <w:bCs w:val="0"/>
                <w:noProof w:val="0"/>
                <w:rtl/>
              </w:rPr>
              <w:t>לייעוץ</w:t>
            </w:r>
            <w:r w:rsidRPr="00BD6799">
              <w:rPr>
                <w:b w:val="0"/>
                <w:bCs w:val="0"/>
                <w:noProof w:val="0"/>
                <w:rtl/>
              </w:rPr>
              <w:t xml:space="preserve"> </w:t>
            </w:r>
            <w:r w:rsidRPr="00BD6799">
              <w:rPr>
                <w:rFonts w:hint="cs"/>
                <w:b w:val="0"/>
                <w:bCs w:val="0"/>
                <w:noProof w:val="0"/>
                <w:rtl/>
              </w:rPr>
              <w:t>עסקי</w:t>
            </w:r>
            <w:r w:rsidRPr="00BD6799">
              <w:rPr>
                <w:b w:val="0"/>
                <w:bCs w:val="0"/>
                <w:noProof w:val="0"/>
                <w:rtl/>
              </w:rPr>
              <w:t xml:space="preserve"> </w:t>
            </w:r>
            <w:r w:rsidRPr="00BD6799">
              <w:rPr>
                <w:rFonts w:hint="cs"/>
                <w:b w:val="0"/>
                <w:bCs w:val="0"/>
                <w:noProof w:val="0"/>
                <w:rtl/>
              </w:rPr>
              <w:t>או</w:t>
            </w:r>
            <w:r w:rsidRPr="00BD6799">
              <w:rPr>
                <w:b w:val="0"/>
                <w:bCs w:val="0"/>
                <w:noProof w:val="0"/>
                <w:rtl/>
              </w:rPr>
              <w:t xml:space="preserve"> </w:t>
            </w:r>
            <w:r w:rsidRPr="00BD6799">
              <w:rPr>
                <w:rFonts w:hint="cs"/>
                <w:b w:val="0"/>
                <w:bCs w:val="0"/>
                <w:noProof w:val="0"/>
                <w:rtl/>
              </w:rPr>
              <w:t>לשימוש</w:t>
            </w:r>
            <w:r w:rsidRPr="00BD6799">
              <w:rPr>
                <w:b w:val="0"/>
                <w:bCs w:val="0"/>
                <w:noProof w:val="0"/>
                <w:rtl/>
              </w:rPr>
              <w:t xml:space="preserve"> </w:t>
            </w:r>
            <w:r w:rsidRPr="00BD6799">
              <w:rPr>
                <w:rFonts w:hint="cs"/>
                <w:b w:val="0"/>
                <w:bCs w:val="0"/>
                <w:noProof w:val="0"/>
                <w:rtl/>
              </w:rPr>
              <w:t>בכלי</w:t>
            </w:r>
            <w:r w:rsidRPr="00BD6799">
              <w:rPr>
                <w:b w:val="0"/>
                <w:bCs w:val="0"/>
                <w:noProof w:val="0"/>
                <w:rtl/>
              </w:rPr>
              <w:t xml:space="preserve"> </w:t>
            </w:r>
            <w:r w:rsidRPr="00BD6799">
              <w:rPr>
                <w:rFonts w:hint="cs"/>
                <w:b w:val="0"/>
                <w:bCs w:val="0"/>
                <w:noProof w:val="0"/>
                <w:rtl/>
              </w:rPr>
              <w:t>סיוע</w:t>
            </w:r>
            <w:r w:rsidRPr="00BD6799">
              <w:rPr>
                <w:b w:val="0"/>
                <w:bCs w:val="0"/>
                <w:noProof w:val="0"/>
                <w:rtl/>
              </w:rPr>
              <w:t xml:space="preserve"> </w:t>
            </w:r>
            <w:r w:rsidRPr="00BD6799">
              <w:rPr>
                <w:rFonts w:hint="cs"/>
                <w:b w:val="0"/>
                <w:bCs w:val="0"/>
                <w:noProof w:val="0"/>
                <w:rtl/>
              </w:rPr>
              <w:t>נוספים</w:t>
            </w:r>
            <w:r w:rsidRPr="00BD6799">
              <w:rPr>
                <w:b w:val="0"/>
                <w:bCs w:val="0"/>
                <w:noProof w:val="0"/>
                <w:rtl/>
              </w:rPr>
              <w:t>.</w:t>
            </w:r>
          </w:p>
          <w:p w:rsidR="00BD6799" w:rsidRPr="00BD6799" w:rsidP="00484EEB">
            <w:pPr>
              <w:pStyle w:val="takzir"/>
              <w:ind w:left="340" w:hanging="340"/>
              <w:rPr>
                <w:b w:val="0"/>
                <w:bCs w:val="0"/>
                <w:noProof w:val="0"/>
                <w:rtl/>
              </w:rPr>
            </w:pPr>
            <w:r>
              <w:rPr>
                <w:rFonts w:hint="cs"/>
                <w:b w:val="0"/>
                <w:bCs w:val="0"/>
                <w:noProof w:val="0"/>
                <w:rtl/>
              </w:rPr>
              <w:t>3.</w:t>
            </w:r>
            <w:r>
              <w:rPr>
                <w:b w:val="0"/>
                <w:bCs w:val="0"/>
                <w:noProof w:val="0"/>
                <w:rtl/>
              </w:rPr>
              <w:tab/>
            </w:r>
            <w:r w:rsidRPr="00BD6799">
              <w:rPr>
                <w:rFonts w:hint="cs"/>
                <w:b w:val="0"/>
                <w:bCs w:val="0"/>
                <w:noProof w:val="0"/>
                <w:rtl/>
              </w:rPr>
              <w:t xml:space="preserve">כדי להגדיל את מקורות המימון להלוואות בקרן, על הסוכנות, משרד הכלכלה </w:t>
            </w:r>
            <w:r w:rsidRPr="00BD6799">
              <w:rPr>
                <w:rFonts w:hint="cs"/>
                <w:b w:val="0"/>
                <w:bCs w:val="0"/>
                <w:noProof w:val="0"/>
                <w:rtl/>
              </w:rPr>
              <w:t>והחשכ"ל</w:t>
            </w:r>
            <w:r w:rsidRPr="00BD6799">
              <w:rPr>
                <w:rFonts w:hint="cs"/>
                <w:b w:val="0"/>
                <w:bCs w:val="0"/>
                <w:noProof w:val="0"/>
                <w:rtl/>
              </w:rPr>
              <w:t xml:space="preserve"> להרחיב את קהל היעד של המכרזים למימון הלוואות הקרן למוסדות פיננסיים אחרים מלבד הבנקים. </w:t>
            </w:r>
          </w:p>
          <w:p w:rsidR="001275A6" w:rsidP="00484EEB">
            <w:pPr>
              <w:pStyle w:val="takzir"/>
              <w:ind w:left="340" w:hanging="340"/>
              <w:rPr>
                <w:b w:val="0"/>
                <w:bCs w:val="0"/>
                <w:rtl/>
              </w:rPr>
            </w:pPr>
            <w:r>
              <w:rPr>
                <w:rFonts w:hint="cs"/>
                <w:b w:val="0"/>
                <w:bCs w:val="0"/>
                <w:noProof w:val="0"/>
                <w:rtl/>
              </w:rPr>
              <w:t>4.</w:t>
            </w:r>
            <w:r>
              <w:rPr>
                <w:b w:val="0"/>
                <w:bCs w:val="0"/>
                <w:noProof w:val="0"/>
                <w:rtl/>
              </w:rPr>
              <w:tab/>
            </w:r>
            <w:r w:rsidRPr="00BD6799">
              <w:rPr>
                <w:rFonts w:hint="cs"/>
                <w:b w:val="0"/>
                <w:bCs w:val="0"/>
                <w:noProof w:val="0"/>
                <w:rtl/>
              </w:rPr>
              <w:t>מן</w:t>
            </w:r>
            <w:r w:rsidRPr="00BD6799">
              <w:rPr>
                <w:b w:val="0"/>
                <w:bCs w:val="0"/>
                <w:noProof w:val="0"/>
                <w:rtl/>
              </w:rPr>
              <w:t xml:space="preserve"> </w:t>
            </w:r>
            <w:r w:rsidRPr="00BD6799">
              <w:rPr>
                <w:rFonts w:hint="cs"/>
                <w:b w:val="0"/>
                <w:bCs w:val="0"/>
                <w:noProof w:val="0"/>
                <w:rtl/>
              </w:rPr>
              <w:t>הראוי</w:t>
            </w:r>
            <w:r w:rsidRPr="00BD6799">
              <w:rPr>
                <w:b w:val="0"/>
                <w:bCs w:val="0"/>
                <w:noProof w:val="0"/>
                <w:rtl/>
              </w:rPr>
              <w:t xml:space="preserve"> </w:t>
            </w:r>
            <w:r w:rsidRPr="00BD6799">
              <w:rPr>
                <w:rFonts w:hint="cs"/>
                <w:b w:val="0"/>
                <w:bCs w:val="0"/>
                <w:noProof w:val="0"/>
                <w:rtl/>
              </w:rPr>
              <w:t>שהסוכנות</w:t>
            </w:r>
            <w:r w:rsidRPr="00BD6799">
              <w:rPr>
                <w:b w:val="0"/>
                <w:bCs w:val="0"/>
                <w:noProof w:val="0"/>
                <w:rtl/>
              </w:rPr>
              <w:t xml:space="preserve"> </w:t>
            </w:r>
            <w:r w:rsidRPr="00BD6799">
              <w:rPr>
                <w:rFonts w:hint="cs"/>
                <w:b w:val="0"/>
                <w:bCs w:val="0"/>
                <w:noProof w:val="0"/>
                <w:rtl/>
              </w:rPr>
              <w:t>תרכז</w:t>
            </w:r>
            <w:r w:rsidRPr="00BD6799">
              <w:rPr>
                <w:b w:val="0"/>
                <w:bCs w:val="0"/>
                <w:noProof w:val="0"/>
                <w:rtl/>
              </w:rPr>
              <w:t xml:space="preserve"> </w:t>
            </w:r>
            <w:r w:rsidRPr="00BD6799">
              <w:rPr>
                <w:rFonts w:hint="cs"/>
                <w:b w:val="0"/>
                <w:bCs w:val="0"/>
                <w:noProof w:val="0"/>
                <w:rtl/>
              </w:rPr>
              <w:t>באתר</w:t>
            </w:r>
            <w:r w:rsidRPr="00BD6799">
              <w:rPr>
                <w:b w:val="0"/>
                <w:bCs w:val="0"/>
                <w:noProof w:val="0"/>
                <w:rtl/>
              </w:rPr>
              <w:t xml:space="preserve"> האינטרנט שלה </w:t>
            </w:r>
            <w:r w:rsidRPr="00BD6799">
              <w:rPr>
                <w:rFonts w:hint="cs"/>
                <w:b w:val="0"/>
                <w:bCs w:val="0"/>
                <w:noProof w:val="0"/>
                <w:rtl/>
              </w:rPr>
              <w:t>את</w:t>
            </w:r>
            <w:r w:rsidRPr="00BD6799">
              <w:rPr>
                <w:b w:val="0"/>
                <w:bCs w:val="0"/>
                <w:noProof w:val="0"/>
                <w:rtl/>
              </w:rPr>
              <w:t xml:space="preserve"> המידע המקצועי הרלוונטי לעסקים קטנים </w:t>
            </w:r>
            <w:r w:rsidRPr="00BD6799">
              <w:rPr>
                <w:rFonts w:hint="cs"/>
                <w:b w:val="0"/>
                <w:bCs w:val="0"/>
                <w:noProof w:val="0"/>
                <w:rtl/>
              </w:rPr>
              <w:t>ובינוניים</w:t>
            </w:r>
            <w:r w:rsidRPr="00BD6799">
              <w:rPr>
                <w:b w:val="0"/>
                <w:bCs w:val="0"/>
                <w:noProof w:val="0"/>
                <w:rtl/>
              </w:rPr>
              <w:t xml:space="preserve"> </w:t>
            </w:r>
            <w:r w:rsidRPr="00BD6799">
              <w:rPr>
                <w:rFonts w:hint="cs"/>
                <w:b w:val="0"/>
                <w:bCs w:val="0"/>
                <w:noProof w:val="0"/>
                <w:rtl/>
              </w:rPr>
              <w:t>לצורך</w:t>
            </w:r>
            <w:r w:rsidRPr="00BD6799">
              <w:rPr>
                <w:b w:val="0"/>
                <w:bCs w:val="0"/>
                <w:noProof w:val="0"/>
                <w:rtl/>
              </w:rPr>
              <w:t xml:space="preserve"> </w:t>
            </w:r>
            <w:r w:rsidRPr="00BD6799">
              <w:rPr>
                <w:rFonts w:hint="cs"/>
                <w:b w:val="0"/>
                <w:bCs w:val="0"/>
                <w:noProof w:val="0"/>
                <w:rtl/>
              </w:rPr>
              <w:t>היערכות</w:t>
            </w:r>
            <w:r w:rsidRPr="00BD6799">
              <w:rPr>
                <w:b w:val="0"/>
                <w:bCs w:val="0"/>
                <w:noProof w:val="0"/>
                <w:rtl/>
              </w:rPr>
              <w:t xml:space="preserve"> למצבי חירום ואסונות. </w:t>
            </w:r>
            <w:r w:rsidRPr="00BD6799">
              <w:rPr>
                <w:rFonts w:hint="cs"/>
                <w:b w:val="0"/>
                <w:bCs w:val="0"/>
                <w:noProof w:val="0"/>
                <w:rtl/>
              </w:rPr>
              <w:t>כמו</w:t>
            </w:r>
            <w:r w:rsidRPr="00BD6799">
              <w:rPr>
                <w:b w:val="0"/>
                <w:bCs w:val="0"/>
                <w:noProof w:val="0"/>
                <w:rtl/>
              </w:rPr>
              <w:t xml:space="preserve"> כן </w:t>
            </w:r>
            <w:r w:rsidRPr="00BD6799">
              <w:rPr>
                <w:rFonts w:hint="cs"/>
                <w:b w:val="0"/>
                <w:bCs w:val="0"/>
                <w:noProof w:val="0"/>
                <w:rtl/>
              </w:rPr>
              <w:t>עליה</w:t>
            </w:r>
            <w:r w:rsidRPr="00BD6799">
              <w:rPr>
                <w:b w:val="0"/>
                <w:bCs w:val="0"/>
                <w:noProof w:val="0"/>
                <w:rtl/>
              </w:rPr>
              <w:t xml:space="preserve"> לעודד עסקים קטנים </w:t>
            </w:r>
            <w:r w:rsidRPr="00BD6799">
              <w:rPr>
                <w:rFonts w:hint="cs"/>
                <w:b w:val="0"/>
                <w:bCs w:val="0"/>
                <w:noProof w:val="0"/>
                <w:rtl/>
              </w:rPr>
              <w:t>ובינוניים</w:t>
            </w:r>
            <w:r w:rsidRPr="00BD6799">
              <w:rPr>
                <w:b w:val="0"/>
                <w:bCs w:val="0"/>
                <w:noProof w:val="0"/>
                <w:rtl/>
              </w:rPr>
              <w:t xml:space="preserve"> </w:t>
            </w:r>
            <w:r w:rsidRPr="00BD6799">
              <w:rPr>
                <w:rFonts w:hint="cs"/>
                <w:b w:val="0"/>
                <w:bCs w:val="0"/>
                <w:noProof w:val="0"/>
                <w:rtl/>
              </w:rPr>
              <w:t>לעשות</w:t>
            </w:r>
            <w:r w:rsidRPr="00BD6799">
              <w:rPr>
                <w:b w:val="0"/>
                <w:bCs w:val="0"/>
                <w:noProof w:val="0"/>
                <w:rtl/>
              </w:rPr>
              <w:t xml:space="preserve"> הערכה עצמית למצבים אלו ולהעמיד </w:t>
            </w:r>
            <w:r w:rsidRPr="00BD6799">
              <w:rPr>
                <w:rFonts w:hint="cs"/>
                <w:b w:val="0"/>
                <w:bCs w:val="0"/>
                <w:noProof w:val="0"/>
                <w:rtl/>
              </w:rPr>
              <w:t>לרשותם</w:t>
            </w:r>
            <w:r w:rsidRPr="00BD6799">
              <w:rPr>
                <w:b w:val="0"/>
                <w:bCs w:val="0"/>
                <w:noProof w:val="0"/>
                <w:rtl/>
              </w:rPr>
              <w:t xml:space="preserve"> כלים שיסייעו להם להיערך בהתאם.</w:t>
            </w:r>
          </w:p>
        </w:tc>
      </w:tr>
    </w:tbl>
    <w:p w:rsidR="001275A6" w:rsidP="00484EEB">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rsidP="00484EEB">
            <w:pPr>
              <w:pStyle w:val="KOT4"/>
              <w:spacing w:before="120"/>
              <w:jc w:val="center"/>
              <w:rPr>
                <w:rtl/>
              </w:rPr>
            </w:pPr>
            <w:r>
              <w:rPr>
                <w:rtl/>
              </w:rPr>
              <w:t>סיכום</w:t>
            </w:r>
          </w:p>
        </w:tc>
      </w:tr>
      <w:tr w:rsidTr="00E44678">
        <w:tblPrEx>
          <w:tblW w:w="6691" w:type="dxa"/>
          <w:jc w:val="center"/>
          <w:tblLook w:val="04A0"/>
        </w:tblPrEx>
        <w:trPr>
          <w:cantSplit/>
          <w:jc w:val="center"/>
        </w:trPr>
        <w:tc>
          <w:tcPr>
            <w:tcW w:w="7018" w:type="dxa"/>
          </w:tcPr>
          <w:p w:rsidR="00BD6799" w:rsidRPr="00BD6799" w:rsidP="00484EEB">
            <w:pPr>
              <w:spacing w:before="60" w:after="120"/>
              <w:jc w:val="both"/>
              <w:rPr>
                <w:b/>
                <w:bCs/>
                <w:sz w:val="22"/>
                <w:szCs w:val="22"/>
                <w:rtl/>
                <w:lang w:eastAsia="he-IL"/>
              </w:rPr>
            </w:pPr>
            <w:r w:rsidRPr="00BD6799">
              <w:rPr>
                <w:rFonts w:hint="cs"/>
                <w:b/>
                <w:bCs/>
                <w:sz w:val="22"/>
                <w:szCs w:val="22"/>
                <w:rtl/>
                <w:lang w:eastAsia="he-IL"/>
              </w:rPr>
              <w:t xml:space="preserve">לעסקים קטנים ובינוניים יש חשיבות רבה בהתפתחותן הכלכלית של מדינות. בשנת 2013 היו העסקים הקטנים והבינוניים כ-99% מכלל העסקים בישראל. מאז הקמתה בשנת 2009 פיתחה הסוכנות כלי סיוע חדשים, שיפרה את אמצעי התמיכה הקיימים, ויזמה פעילויות שנועדו לסייע לעסקים קטנים ובינוניים. עם זאת, מהדוח עולה כי עדיין קיימים תחומים שבהם יש צורך לייעל ולשפר את הסיוע לעסקים קטנים ובינוניים: להסיר חסמים המקשים עליהם את ההשתתפות במכרזי רכש של גופים ציבוריים; לקדם את תהליך החקיקה של החוק המקנה סמכויות לסוכנות; להסדיר את התגמול לבעלי עסקים המשרתים במילואים; לשפר, בשיתוף </w:t>
            </w:r>
            <w:r w:rsidRPr="00BD6799">
              <w:rPr>
                <w:rFonts w:hint="cs"/>
                <w:b/>
                <w:bCs/>
                <w:sz w:val="22"/>
                <w:szCs w:val="22"/>
                <w:rtl/>
                <w:lang w:eastAsia="he-IL"/>
              </w:rPr>
              <w:t>החשכ"ל</w:t>
            </w:r>
            <w:r w:rsidRPr="00BD6799">
              <w:rPr>
                <w:rFonts w:hint="cs"/>
                <w:b/>
                <w:bCs/>
                <w:sz w:val="22"/>
                <w:szCs w:val="22"/>
                <w:rtl/>
                <w:lang w:eastAsia="he-IL"/>
              </w:rPr>
              <w:t xml:space="preserve">, את אופן הפעלת קרן ההלוואות לעסקים קטנים ובינוניים, ולסייע לעסקים קטנים ובינוניים להיערך כראוי למצבי חירום, לאסונות ולמשברים. </w:t>
            </w:r>
          </w:p>
          <w:p w:rsidR="001275A6" w:rsidP="00484EEB">
            <w:pPr>
              <w:spacing w:after="120"/>
              <w:jc w:val="both"/>
              <w:rPr>
                <w:b/>
                <w:bCs/>
                <w:sz w:val="22"/>
                <w:szCs w:val="22"/>
                <w:rtl/>
                <w:lang w:eastAsia="he-IL"/>
              </w:rPr>
            </w:pPr>
            <w:r w:rsidRPr="00BD6799">
              <w:rPr>
                <w:rFonts w:hint="cs"/>
                <w:b/>
                <w:bCs/>
                <w:sz w:val="22"/>
                <w:szCs w:val="22"/>
                <w:rtl/>
                <w:lang w:eastAsia="he-IL"/>
              </w:rPr>
              <w:t>ממצאי</w:t>
            </w:r>
            <w:r w:rsidRPr="00BD6799">
              <w:rPr>
                <w:b/>
                <w:bCs/>
                <w:sz w:val="22"/>
                <w:szCs w:val="22"/>
                <w:rtl/>
                <w:lang w:eastAsia="he-IL"/>
              </w:rPr>
              <w:t xml:space="preserve"> </w:t>
            </w:r>
            <w:r w:rsidRPr="00BD6799">
              <w:rPr>
                <w:rFonts w:hint="cs"/>
                <w:b/>
                <w:bCs/>
                <w:sz w:val="22"/>
                <w:szCs w:val="22"/>
                <w:rtl/>
                <w:lang w:eastAsia="he-IL"/>
              </w:rPr>
              <w:t>דוח</w:t>
            </w:r>
            <w:r w:rsidRPr="00BD6799">
              <w:rPr>
                <w:b/>
                <w:bCs/>
                <w:sz w:val="22"/>
                <w:szCs w:val="22"/>
                <w:rtl/>
                <w:lang w:eastAsia="he-IL"/>
              </w:rPr>
              <w:t xml:space="preserve"> </w:t>
            </w:r>
            <w:r w:rsidRPr="00BD6799">
              <w:rPr>
                <w:rFonts w:hint="cs"/>
                <w:b/>
                <w:bCs/>
                <w:sz w:val="22"/>
                <w:szCs w:val="22"/>
                <w:rtl/>
                <w:lang w:eastAsia="he-IL"/>
              </w:rPr>
              <w:t>זה</w:t>
            </w:r>
            <w:r w:rsidRPr="00BD6799">
              <w:rPr>
                <w:b/>
                <w:bCs/>
                <w:sz w:val="22"/>
                <w:szCs w:val="22"/>
                <w:rtl/>
                <w:lang w:eastAsia="he-IL"/>
              </w:rPr>
              <w:t xml:space="preserve"> </w:t>
            </w:r>
            <w:r w:rsidRPr="00BD6799">
              <w:rPr>
                <w:rFonts w:hint="cs"/>
                <w:b/>
                <w:bCs/>
                <w:sz w:val="22"/>
                <w:szCs w:val="22"/>
                <w:rtl/>
                <w:lang w:eastAsia="he-IL"/>
              </w:rPr>
              <w:t>והדוחות</w:t>
            </w:r>
            <w:r w:rsidRPr="00BD6799">
              <w:rPr>
                <w:b/>
                <w:bCs/>
                <w:sz w:val="22"/>
                <w:szCs w:val="22"/>
                <w:rtl/>
                <w:lang w:eastAsia="he-IL"/>
              </w:rPr>
              <w:t xml:space="preserve"> </w:t>
            </w:r>
            <w:r w:rsidRPr="00BD6799">
              <w:rPr>
                <w:rFonts w:hint="cs"/>
                <w:b/>
                <w:bCs/>
                <w:sz w:val="22"/>
                <w:szCs w:val="22"/>
                <w:rtl/>
                <w:lang w:eastAsia="he-IL"/>
              </w:rPr>
              <w:t>הקודמים</w:t>
            </w:r>
            <w:r w:rsidRPr="00BD6799">
              <w:rPr>
                <w:b/>
                <w:bCs/>
                <w:sz w:val="22"/>
                <w:szCs w:val="22"/>
                <w:rtl/>
                <w:lang w:eastAsia="he-IL"/>
              </w:rPr>
              <w:t xml:space="preserve"> </w:t>
            </w:r>
            <w:r w:rsidRPr="00BD6799">
              <w:rPr>
                <w:rFonts w:hint="cs"/>
                <w:b/>
                <w:bCs/>
                <w:sz w:val="22"/>
                <w:szCs w:val="22"/>
                <w:rtl/>
                <w:lang w:eastAsia="he-IL"/>
              </w:rPr>
              <w:t>של</w:t>
            </w:r>
            <w:r w:rsidRPr="00BD6799">
              <w:rPr>
                <w:b/>
                <w:bCs/>
                <w:sz w:val="22"/>
                <w:szCs w:val="22"/>
                <w:rtl/>
                <w:lang w:eastAsia="he-IL"/>
              </w:rPr>
              <w:t xml:space="preserve"> </w:t>
            </w:r>
            <w:r w:rsidRPr="00BD6799">
              <w:rPr>
                <w:rFonts w:hint="cs"/>
                <w:b/>
                <w:bCs/>
                <w:sz w:val="22"/>
                <w:szCs w:val="22"/>
                <w:rtl/>
                <w:lang w:eastAsia="he-IL"/>
              </w:rPr>
              <w:t>משרד</w:t>
            </w:r>
            <w:r w:rsidRPr="00BD6799">
              <w:rPr>
                <w:b/>
                <w:bCs/>
                <w:sz w:val="22"/>
                <w:szCs w:val="22"/>
                <w:rtl/>
                <w:lang w:eastAsia="he-IL"/>
              </w:rPr>
              <w:t xml:space="preserve"> </w:t>
            </w:r>
            <w:r w:rsidRPr="00BD6799">
              <w:rPr>
                <w:rFonts w:hint="cs"/>
                <w:b/>
                <w:bCs/>
                <w:sz w:val="22"/>
                <w:szCs w:val="22"/>
                <w:rtl/>
                <w:lang w:eastAsia="he-IL"/>
              </w:rPr>
              <w:t>מבקר</w:t>
            </w:r>
            <w:r w:rsidRPr="00BD6799">
              <w:rPr>
                <w:b/>
                <w:bCs/>
                <w:sz w:val="22"/>
                <w:szCs w:val="22"/>
                <w:rtl/>
                <w:lang w:eastAsia="he-IL"/>
              </w:rPr>
              <w:t xml:space="preserve"> </w:t>
            </w:r>
            <w:r w:rsidRPr="00BD6799">
              <w:rPr>
                <w:rFonts w:hint="cs"/>
                <w:b/>
                <w:bCs/>
                <w:sz w:val="22"/>
                <w:szCs w:val="22"/>
                <w:rtl/>
                <w:lang w:eastAsia="he-IL"/>
              </w:rPr>
              <w:t>המדינה</w:t>
            </w:r>
            <w:r w:rsidRPr="00BD6799">
              <w:rPr>
                <w:b/>
                <w:bCs/>
                <w:sz w:val="22"/>
                <w:szCs w:val="22"/>
                <w:rtl/>
                <w:lang w:eastAsia="he-IL"/>
              </w:rPr>
              <w:t xml:space="preserve"> </w:t>
            </w:r>
            <w:r w:rsidRPr="00BD6799">
              <w:rPr>
                <w:rFonts w:hint="cs"/>
                <w:b/>
                <w:bCs/>
                <w:sz w:val="22"/>
                <w:szCs w:val="22"/>
                <w:rtl/>
                <w:lang w:eastAsia="he-IL"/>
              </w:rPr>
              <w:t>בעניין</w:t>
            </w:r>
            <w:r w:rsidRPr="00BD6799">
              <w:rPr>
                <w:b/>
                <w:bCs/>
                <w:sz w:val="22"/>
                <w:szCs w:val="22"/>
                <w:rtl/>
                <w:lang w:eastAsia="he-IL"/>
              </w:rPr>
              <w:t xml:space="preserve"> </w:t>
            </w:r>
            <w:r w:rsidRPr="00BD6799">
              <w:rPr>
                <w:rFonts w:hint="cs"/>
                <w:b/>
                <w:bCs/>
                <w:sz w:val="22"/>
                <w:szCs w:val="22"/>
                <w:rtl/>
                <w:lang w:eastAsia="he-IL"/>
              </w:rPr>
              <w:t>הסיוע</w:t>
            </w:r>
            <w:r w:rsidRPr="00BD6799">
              <w:rPr>
                <w:b/>
                <w:bCs/>
                <w:sz w:val="22"/>
                <w:szCs w:val="22"/>
                <w:rtl/>
                <w:lang w:eastAsia="he-IL"/>
              </w:rPr>
              <w:t xml:space="preserve"> </w:t>
            </w:r>
            <w:r w:rsidRPr="00BD6799">
              <w:rPr>
                <w:rFonts w:hint="cs"/>
                <w:b/>
                <w:bCs/>
                <w:sz w:val="22"/>
                <w:szCs w:val="22"/>
                <w:rtl/>
                <w:lang w:eastAsia="he-IL"/>
              </w:rPr>
              <w:t>לעסקים</w:t>
            </w:r>
            <w:r w:rsidRPr="00BD6799">
              <w:rPr>
                <w:b/>
                <w:bCs/>
                <w:sz w:val="22"/>
                <w:szCs w:val="22"/>
                <w:rtl/>
                <w:lang w:eastAsia="he-IL"/>
              </w:rPr>
              <w:t xml:space="preserve"> </w:t>
            </w:r>
            <w:r w:rsidRPr="00BD6799">
              <w:rPr>
                <w:rFonts w:hint="cs"/>
                <w:b/>
                <w:bCs/>
                <w:sz w:val="22"/>
                <w:szCs w:val="22"/>
                <w:rtl/>
                <w:lang w:eastAsia="he-IL"/>
              </w:rPr>
              <w:t>קטנים</w:t>
            </w:r>
            <w:r w:rsidRPr="00BD6799">
              <w:rPr>
                <w:b/>
                <w:bCs/>
                <w:sz w:val="22"/>
                <w:szCs w:val="22"/>
                <w:rtl/>
                <w:lang w:eastAsia="he-IL"/>
              </w:rPr>
              <w:t xml:space="preserve"> </w:t>
            </w:r>
            <w:r w:rsidRPr="00BD6799">
              <w:rPr>
                <w:rFonts w:hint="cs"/>
                <w:b/>
                <w:bCs/>
                <w:sz w:val="22"/>
                <w:szCs w:val="22"/>
                <w:rtl/>
                <w:lang w:eastAsia="he-IL"/>
              </w:rPr>
              <w:t>ובינוניים</w:t>
            </w:r>
            <w:r w:rsidRPr="00BD6799">
              <w:rPr>
                <w:b/>
                <w:bCs/>
                <w:sz w:val="22"/>
                <w:szCs w:val="22"/>
                <w:rtl/>
                <w:lang w:eastAsia="he-IL"/>
              </w:rPr>
              <w:t xml:space="preserve"> </w:t>
            </w:r>
            <w:r w:rsidRPr="00BD6799">
              <w:rPr>
                <w:rFonts w:hint="cs"/>
                <w:b/>
                <w:bCs/>
                <w:sz w:val="22"/>
                <w:szCs w:val="22"/>
                <w:rtl/>
                <w:lang w:eastAsia="he-IL"/>
              </w:rPr>
              <w:t>מצביעים</w:t>
            </w:r>
            <w:r w:rsidRPr="00BD6799">
              <w:rPr>
                <w:b/>
                <w:bCs/>
                <w:sz w:val="22"/>
                <w:szCs w:val="22"/>
                <w:rtl/>
                <w:lang w:eastAsia="he-IL"/>
              </w:rPr>
              <w:t xml:space="preserve"> </w:t>
            </w:r>
            <w:r w:rsidRPr="00BD6799">
              <w:rPr>
                <w:rFonts w:hint="cs"/>
                <w:b/>
                <w:bCs/>
                <w:sz w:val="22"/>
                <w:szCs w:val="22"/>
                <w:rtl/>
                <w:lang w:eastAsia="he-IL"/>
              </w:rPr>
              <w:t>על</w:t>
            </w:r>
            <w:r w:rsidRPr="00BD6799">
              <w:rPr>
                <w:b/>
                <w:bCs/>
                <w:sz w:val="22"/>
                <w:szCs w:val="22"/>
                <w:rtl/>
                <w:lang w:eastAsia="he-IL"/>
              </w:rPr>
              <w:t xml:space="preserve"> </w:t>
            </w:r>
            <w:r w:rsidRPr="00BD6799">
              <w:rPr>
                <w:rFonts w:hint="cs"/>
                <w:b/>
                <w:bCs/>
                <w:sz w:val="22"/>
                <w:szCs w:val="22"/>
                <w:rtl/>
                <w:lang w:eastAsia="he-IL"/>
              </w:rPr>
              <w:t>כך</w:t>
            </w:r>
            <w:r w:rsidRPr="00BD6799">
              <w:rPr>
                <w:b/>
                <w:bCs/>
                <w:sz w:val="22"/>
                <w:szCs w:val="22"/>
                <w:rtl/>
                <w:lang w:eastAsia="he-IL"/>
              </w:rPr>
              <w:t xml:space="preserve"> </w:t>
            </w:r>
            <w:r w:rsidRPr="00BD6799">
              <w:rPr>
                <w:rFonts w:hint="cs"/>
                <w:b/>
                <w:bCs/>
                <w:sz w:val="22"/>
                <w:szCs w:val="22"/>
                <w:rtl/>
                <w:lang w:eastAsia="he-IL"/>
              </w:rPr>
              <w:t>שהממשלה</w:t>
            </w:r>
            <w:r w:rsidRPr="00BD6799">
              <w:rPr>
                <w:b/>
                <w:bCs/>
                <w:sz w:val="22"/>
                <w:szCs w:val="22"/>
                <w:rtl/>
                <w:lang w:eastAsia="he-IL"/>
              </w:rPr>
              <w:t xml:space="preserve"> </w:t>
            </w:r>
            <w:r w:rsidRPr="00BD6799">
              <w:rPr>
                <w:rFonts w:hint="cs"/>
                <w:b/>
                <w:bCs/>
                <w:sz w:val="22"/>
                <w:szCs w:val="22"/>
                <w:rtl/>
                <w:lang w:eastAsia="he-IL"/>
              </w:rPr>
              <w:t>אינה</w:t>
            </w:r>
            <w:r w:rsidRPr="00BD6799">
              <w:rPr>
                <w:b/>
                <w:bCs/>
                <w:sz w:val="22"/>
                <w:szCs w:val="22"/>
                <w:rtl/>
                <w:lang w:eastAsia="he-IL"/>
              </w:rPr>
              <w:t xml:space="preserve"> </w:t>
            </w:r>
            <w:r w:rsidRPr="00BD6799">
              <w:rPr>
                <w:rFonts w:hint="cs"/>
                <w:b/>
                <w:bCs/>
                <w:sz w:val="22"/>
                <w:szCs w:val="22"/>
                <w:rtl/>
                <w:lang w:eastAsia="he-IL"/>
              </w:rPr>
              <w:t>מייחדת</w:t>
            </w:r>
            <w:r w:rsidRPr="00BD6799">
              <w:rPr>
                <w:b/>
                <w:bCs/>
                <w:sz w:val="22"/>
                <w:szCs w:val="22"/>
                <w:rtl/>
                <w:lang w:eastAsia="he-IL"/>
              </w:rPr>
              <w:t xml:space="preserve"> </w:t>
            </w:r>
            <w:r w:rsidRPr="00BD6799">
              <w:rPr>
                <w:rFonts w:hint="cs"/>
                <w:b/>
                <w:bCs/>
                <w:sz w:val="22"/>
                <w:szCs w:val="22"/>
                <w:rtl/>
                <w:lang w:eastAsia="he-IL"/>
              </w:rPr>
              <w:t>לתחום</w:t>
            </w:r>
            <w:r w:rsidRPr="00BD6799">
              <w:rPr>
                <w:b/>
                <w:bCs/>
                <w:sz w:val="22"/>
                <w:szCs w:val="22"/>
                <w:rtl/>
                <w:lang w:eastAsia="he-IL"/>
              </w:rPr>
              <w:t xml:space="preserve"> </w:t>
            </w:r>
            <w:r w:rsidRPr="00BD6799">
              <w:rPr>
                <w:rFonts w:hint="cs"/>
                <w:b/>
                <w:bCs/>
                <w:sz w:val="22"/>
                <w:szCs w:val="22"/>
                <w:rtl/>
                <w:lang w:eastAsia="he-IL"/>
              </w:rPr>
              <w:t>זה</w:t>
            </w:r>
            <w:r w:rsidRPr="00BD6799">
              <w:rPr>
                <w:b/>
                <w:bCs/>
                <w:sz w:val="22"/>
                <w:szCs w:val="22"/>
                <w:rtl/>
                <w:lang w:eastAsia="he-IL"/>
              </w:rPr>
              <w:t xml:space="preserve"> </w:t>
            </w:r>
            <w:r w:rsidRPr="00BD6799">
              <w:rPr>
                <w:rFonts w:hint="cs"/>
                <w:b/>
                <w:bCs/>
                <w:sz w:val="22"/>
                <w:szCs w:val="22"/>
                <w:rtl/>
                <w:lang w:eastAsia="he-IL"/>
              </w:rPr>
              <w:t>את</w:t>
            </w:r>
            <w:r w:rsidRPr="00BD6799">
              <w:rPr>
                <w:b/>
                <w:bCs/>
                <w:sz w:val="22"/>
                <w:szCs w:val="22"/>
                <w:rtl/>
                <w:lang w:eastAsia="he-IL"/>
              </w:rPr>
              <w:t xml:space="preserve"> </w:t>
            </w:r>
            <w:r w:rsidRPr="00BD6799">
              <w:rPr>
                <w:rFonts w:hint="cs"/>
                <w:b/>
                <w:bCs/>
                <w:sz w:val="22"/>
                <w:szCs w:val="22"/>
                <w:rtl/>
                <w:lang w:eastAsia="he-IL"/>
              </w:rPr>
              <w:t>תשומת</w:t>
            </w:r>
            <w:r w:rsidRPr="00BD6799">
              <w:rPr>
                <w:b/>
                <w:bCs/>
                <w:sz w:val="22"/>
                <w:szCs w:val="22"/>
                <w:rtl/>
                <w:lang w:eastAsia="he-IL"/>
              </w:rPr>
              <w:t xml:space="preserve"> </w:t>
            </w:r>
            <w:r w:rsidRPr="00BD6799">
              <w:rPr>
                <w:rFonts w:hint="cs"/>
                <w:b/>
                <w:bCs/>
                <w:sz w:val="22"/>
                <w:szCs w:val="22"/>
                <w:rtl/>
                <w:lang w:eastAsia="he-IL"/>
              </w:rPr>
              <w:t>הלב</w:t>
            </w:r>
            <w:r w:rsidRPr="00BD6799">
              <w:rPr>
                <w:b/>
                <w:bCs/>
                <w:sz w:val="22"/>
                <w:szCs w:val="22"/>
                <w:rtl/>
                <w:lang w:eastAsia="he-IL"/>
              </w:rPr>
              <w:t xml:space="preserve"> </w:t>
            </w:r>
            <w:r w:rsidRPr="00BD6799">
              <w:rPr>
                <w:rFonts w:hint="cs"/>
                <w:b/>
                <w:bCs/>
                <w:sz w:val="22"/>
                <w:szCs w:val="22"/>
                <w:rtl/>
                <w:lang w:eastAsia="he-IL"/>
              </w:rPr>
              <w:t>הראויה</w:t>
            </w:r>
            <w:r w:rsidRPr="00BD6799">
              <w:rPr>
                <w:b/>
                <w:bCs/>
                <w:sz w:val="22"/>
                <w:szCs w:val="22"/>
                <w:rtl/>
                <w:lang w:eastAsia="he-IL"/>
              </w:rPr>
              <w:t xml:space="preserve"> </w:t>
            </w:r>
            <w:r w:rsidRPr="00BD6799">
              <w:rPr>
                <w:rFonts w:hint="cs"/>
                <w:b/>
                <w:bCs/>
                <w:sz w:val="22"/>
                <w:szCs w:val="22"/>
                <w:rtl/>
                <w:lang w:eastAsia="he-IL"/>
              </w:rPr>
              <w:t>ואינה עושה די לקידום העסקים הקטנים והבינוניים בישראל. מגזר העסקים הקטנים והבינוניים בישראל הוא אחד הקטרים לצמיחה ונודעת לו חשיבות גדולה במיוחד לפיתוח יישובי הפריפריה ולקידום אוכלוסיותיהם, ועל כן יש לתת לנושא קידום העסקים הקטנים והבינוניים את העדיפות הראויה לו.</w:t>
            </w:r>
          </w:p>
        </w:tc>
      </w:tr>
    </w:tbl>
    <w:p w:rsidR="001275A6" w:rsidP="00484EEB">
      <w:pPr>
        <w:spacing w:after="120" w:line="230" w:lineRule="exact"/>
        <w:jc w:val="both"/>
        <w:rPr>
          <w:rFonts w:cs="FrankRuehl"/>
          <w:sz w:val="20"/>
          <w:szCs w:val="22"/>
          <w:rtl/>
        </w:rPr>
      </w:pPr>
    </w:p>
    <w:p w:rsidR="001275A6" w:rsidP="00484EEB">
      <w:pPr>
        <w:pStyle w:val="KOT1"/>
        <w:keepNext w:val="0"/>
        <w:spacing w:after="0" w:line="240" w:lineRule="atLeast"/>
        <w:rPr>
          <w:rFonts w:ascii="Arial" w:hAnsi="Arial" w:cs="Arial"/>
          <w:lang w:eastAsia="en-US"/>
        </w:rPr>
      </w:pPr>
      <w:r>
        <w:rPr>
          <w:rFonts w:ascii="Arial" w:hAnsi="Arial" w:cs="Arial"/>
          <w:lang w:eastAsia="en-US"/>
        </w:rPr>
        <w:t>♦</w:t>
      </w:r>
    </w:p>
    <w:p w:rsidR="001275A6" w:rsidP="00484EEB">
      <w:pPr>
        <w:spacing w:after="120" w:line="230" w:lineRule="exact"/>
        <w:jc w:val="both"/>
        <w:rPr>
          <w:rFonts w:cs="FrankRuehl"/>
          <w:sz w:val="20"/>
          <w:szCs w:val="22"/>
          <w:rtl/>
        </w:rPr>
      </w:pPr>
    </w:p>
    <w:p w:rsidR="001275A6" w:rsidP="00484EEB">
      <w:pPr>
        <w:pStyle w:val="KOT4"/>
        <w:rPr>
          <w:rtl/>
        </w:rPr>
      </w:pPr>
      <w:bookmarkEnd w:id="0"/>
      <w:bookmarkEnd w:id="1"/>
      <w:bookmarkEnd w:id="2"/>
      <w:bookmarkEnd w:id="3"/>
      <w:bookmarkEnd w:id="4"/>
      <w:r>
        <w:rPr>
          <w:rtl/>
        </w:rPr>
        <w:br w:type="page"/>
      </w:r>
      <w:r>
        <w:rPr>
          <w:rFonts w:hint="eastAsia"/>
          <w:rtl/>
        </w:rPr>
        <w:t>מבוא</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 xml:space="preserve">לעסקים קטנים ובינוניים נודעת חשיבות רבה בהתפתחותן הכלכלית של מדינות, בייחוד בתקופות של מיתון, </w:t>
      </w:r>
      <w:r w:rsidRPr="00CB20FE">
        <w:rPr>
          <w:rFonts w:cs="FrankRuehl" w:hint="cs"/>
          <w:sz w:val="20"/>
          <w:szCs w:val="22"/>
          <w:rtl/>
        </w:rPr>
        <w:t>שכן הם נתפסים כיחידות דינמיות, חדשניות, בעלות יכולת תגובה מהירה וכושר הסתגלות לדרישות המשתנות של השווקים וכמקור ליצירת מקומות תעסוקה חדשים</w:t>
      </w:r>
      <w:r w:rsidRPr="00CB20FE">
        <w:rPr>
          <w:rFonts w:cs="FrankRuehl"/>
          <w:sz w:val="20"/>
          <w:szCs w:val="22"/>
          <w:rtl/>
          <w:lang w:eastAsia="he-IL"/>
        </w:rPr>
        <w:t>.</w:t>
      </w:r>
      <w:r w:rsidRPr="00CB20FE">
        <w:rPr>
          <w:rFonts w:cs="FrankRuehl" w:hint="cs"/>
          <w:b/>
          <w:bCs/>
          <w:sz w:val="20"/>
          <w:szCs w:val="22"/>
          <w:rtl/>
          <w:lang w:eastAsia="he-IL"/>
        </w:rPr>
        <w:t xml:space="preserve"> </w:t>
      </w:r>
      <w:r w:rsidRPr="00CB20FE">
        <w:rPr>
          <w:rFonts w:cs="FrankRuehl" w:hint="cs"/>
          <w:sz w:val="20"/>
          <w:szCs w:val="22"/>
          <w:rtl/>
          <w:lang w:eastAsia="he-IL"/>
        </w:rPr>
        <w:t xml:space="preserve">ההכרה בתרומתם הרבה של עסקים אלו למשק הניעה מדינות מתקדמות רבות לגבש מדיניות תמיכה בעסקים קטנים ובינוניים. אמצעי התמיכה </w:t>
      </w:r>
      <w:r w:rsidRPr="00CB20FE">
        <w:rPr>
          <w:rFonts w:cs="FrankRuehl" w:hint="cs"/>
          <w:spacing w:val="-2"/>
          <w:sz w:val="20"/>
          <w:szCs w:val="22"/>
          <w:rtl/>
          <w:lang w:eastAsia="he-IL"/>
        </w:rPr>
        <w:t>שניתנים הם, בין היתר, חקיקה מיוחדת להגנה על עסקים קטנים ובינוניים; בניית מערכת של תמיכה ממשלתית המורכבת בעיקרה ממרכזי מידע, מיועצים ומחונכים מקצועיים; מתן הלוואות בתנאי אשראי נוחים; יצירת מסגרת לשיתוף</w:t>
      </w:r>
      <w:r w:rsidRPr="00CB20FE">
        <w:rPr>
          <w:rFonts w:cs="FrankRuehl"/>
          <w:spacing w:val="-2"/>
          <w:sz w:val="20"/>
          <w:szCs w:val="22"/>
          <w:rtl/>
          <w:lang w:eastAsia="he-IL"/>
        </w:rPr>
        <w:t xml:space="preserve"> </w:t>
      </w:r>
      <w:r w:rsidRPr="00CB20FE">
        <w:rPr>
          <w:rFonts w:cs="FrankRuehl" w:hint="cs"/>
          <w:spacing w:val="-2"/>
          <w:sz w:val="20"/>
          <w:szCs w:val="22"/>
          <w:rtl/>
          <w:lang w:eastAsia="he-IL"/>
        </w:rPr>
        <w:t>פעולה בין בעלי העסקים במטרה לנצל את היתרונות הטמונים בגודלם, בייחוד בתחומי המחקר, הפיתוח והשיווק.</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בשנת 2013 היו בישראל כ-517,000 עסקים, מהם כ-99% עסקים קטנים ובינוניים</w:t>
      </w:r>
      <w:r>
        <w:rPr>
          <w:rStyle w:val="FootnoteReference"/>
          <w:rFonts w:cs="FrankRuehl"/>
          <w:sz w:val="20"/>
          <w:szCs w:val="22"/>
          <w:rtl/>
          <w:lang w:eastAsia="he-IL"/>
        </w:rPr>
        <w:footnoteReference w:id="5"/>
      </w:r>
      <w:r w:rsidRPr="00CB20FE">
        <w:rPr>
          <w:rFonts w:cs="FrankRuehl" w:hint="cs"/>
          <w:sz w:val="20"/>
          <w:szCs w:val="22"/>
          <w:rtl/>
          <w:lang w:eastAsia="he-IL"/>
        </w:rPr>
        <w:t xml:space="preserve"> שבכל אחד מהם פחות מ-100 עובדים</w:t>
      </w:r>
      <w:r>
        <w:rPr>
          <w:rFonts w:cs="FrankRuehl"/>
          <w:sz w:val="20"/>
          <w:szCs w:val="22"/>
          <w:vertAlign w:val="superscript"/>
          <w:rtl/>
          <w:lang w:eastAsia="he-IL"/>
        </w:rPr>
        <w:footnoteReference w:id="6"/>
      </w:r>
      <w:r w:rsidRPr="00CB20FE">
        <w:rPr>
          <w:rFonts w:cs="FrankRuehl" w:hint="cs"/>
          <w:sz w:val="20"/>
          <w:szCs w:val="22"/>
          <w:rtl/>
          <w:lang w:eastAsia="he-IL"/>
        </w:rPr>
        <w:t>. במגזר העסקים הקטנים והבינוניים מועסקים כ-70% מהעובדים במשק העסקי. בכל אחת מהשנים 2013-2011 נפתחו כ-45,000 עסקים חדשים ונסגרו כ-36,000 עסקים. מרבית העסקים הקטנים והבינוניים הם בענף המסחר והשירותים, והשאר בתיירות, בינוי ותשתיות, חקלאות, תעשייה ותחומים נוספים. כמחצית מהעסקים הקטנים והבינוניים נמצאים באזור תל אביב והמרכז, והשאר בצפון, בחיפה, בדרום ובירושלים בחלוקה דומה. לפי נתוני הלשכה המרכזית לסטטיסטיקה, פחות מ-30% מהעסקים הקטנים והבינוניים ממשיכים לשרוד יותר מחמש שנים אחרי הקמתם</w:t>
      </w:r>
      <w:r>
        <w:rPr>
          <w:rFonts w:cs="FrankRuehl"/>
          <w:sz w:val="20"/>
          <w:szCs w:val="22"/>
          <w:vertAlign w:val="superscript"/>
          <w:rtl/>
          <w:lang w:eastAsia="he-IL"/>
        </w:rPr>
        <w:footnoteReference w:id="7"/>
      </w:r>
      <w:r w:rsidRPr="00CB20FE">
        <w:rPr>
          <w:rFonts w:cs="FrankRuehl" w:hint="cs"/>
          <w:sz w:val="20"/>
          <w:szCs w:val="22"/>
          <w:rtl/>
          <w:lang w:eastAsia="he-IL"/>
        </w:rPr>
        <w:t>.</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הבנק העולמי מדרג בכל שנה את מדינות העולם לפי מידת הידידותיות שלהן לעסקים. במחקר שעשה הבנק העולמי בשנת 2014</w:t>
      </w:r>
      <w:r>
        <w:rPr>
          <w:rFonts w:cs="FrankRuehl"/>
          <w:sz w:val="20"/>
          <w:szCs w:val="22"/>
          <w:vertAlign w:val="superscript"/>
          <w:rtl/>
          <w:lang w:eastAsia="he-IL"/>
        </w:rPr>
        <w:footnoteReference w:id="8"/>
      </w:r>
      <w:r w:rsidRPr="00CB20FE">
        <w:rPr>
          <w:rFonts w:cs="FrankRuehl" w:hint="cs"/>
          <w:sz w:val="20"/>
          <w:szCs w:val="22"/>
          <w:rtl/>
          <w:lang w:eastAsia="he-IL"/>
        </w:rPr>
        <w:t xml:space="preserve"> הוא דירג 189 מדינות על פי התחומים האלה: פתיחת עסק, טיפול באישורי בנייה, חיבור לרשת החשמל, רישום בלשכת רישום מקרקעין, קבלת אשראי, הגנה על משקיעים, תשלום מסים, מסחר בין-</w:t>
      </w:r>
      <w:r w:rsidR="00BB1518">
        <w:rPr>
          <w:rFonts w:cs="FrankRuehl" w:hint="cs"/>
          <w:sz w:val="20"/>
          <w:szCs w:val="22"/>
          <w:rtl/>
          <w:lang w:eastAsia="he-IL"/>
        </w:rPr>
        <w:t>ל</w:t>
      </w:r>
      <w:r w:rsidRPr="00CB20FE">
        <w:rPr>
          <w:rFonts w:cs="FrankRuehl" w:hint="cs"/>
          <w:sz w:val="20"/>
          <w:szCs w:val="22"/>
          <w:rtl/>
          <w:lang w:eastAsia="he-IL"/>
        </w:rPr>
        <w:t>אומי, אכיפת חוזים וסגירת עסק (פשיטת רגל, הקפאת תהליכים וכד'). ישראל דורגה במחקר במקום ה-40. בבדיקה דומה שעשה הבנק בשנת 2009 דורגה ישראל במקום ה-30. בלוח שלהלן מוצגת השוואה של התחומים האמורים לעיל בדירוג של ישראל על פי הבנק בשנים 2009 ו-2014.</w:t>
      </w:r>
    </w:p>
    <w:p w:rsidR="00E21817" w:rsidRPr="00CB20FE" w:rsidP="00484EEB">
      <w:pPr>
        <w:pStyle w:val="tab-name"/>
        <w:rPr>
          <w:rtl/>
        </w:rPr>
      </w:pPr>
      <w:r>
        <w:rPr>
          <w:b w:val="0"/>
          <w:bCs w:val="0"/>
          <w:sz w:val="20"/>
          <w:szCs w:val="20"/>
          <w:rtl/>
        </w:rPr>
        <w:br w:type="page"/>
      </w:r>
      <w:r w:rsidRPr="00CB20FE">
        <w:rPr>
          <w:rFonts w:hint="cs"/>
          <w:b w:val="0"/>
          <w:bCs w:val="0"/>
          <w:sz w:val="20"/>
          <w:szCs w:val="20"/>
          <w:rtl/>
        </w:rPr>
        <w:t>לוח 1</w:t>
      </w:r>
      <w:r w:rsidRPr="00CB20FE" w:rsidR="00CB20FE">
        <w:rPr>
          <w:b w:val="0"/>
          <w:bCs w:val="0"/>
          <w:sz w:val="20"/>
          <w:szCs w:val="20"/>
        </w:rPr>
        <w:br/>
      </w:r>
      <w:r w:rsidRPr="00CB20FE">
        <w:rPr>
          <w:rFonts w:hint="cs"/>
          <w:rtl/>
        </w:rPr>
        <w:t>מידת הידידותיות של ישראל לעסקים - השוואה בין שני הדירוגים שנעשו</w:t>
      </w:r>
    </w:p>
    <w:tbl>
      <w:tblPr>
        <w:bidiVisual/>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
      <w:tblGrid>
        <w:gridCol w:w="2389"/>
        <w:gridCol w:w="2302"/>
        <w:gridCol w:w="2000"/>
      </w:tblGrid>
      <w:tr w:rsidTr="00CB20FE">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Ex>
        <w:trPr>
          <w:jc w:val="center"/>
        </w:trPr>
        <w:tc>
          <w:tcPr>
            <w:tcW w:w="2551" w:type="dxa"/>
            <w:tcBorders>
              <w:top w:val="single" w:sz="12" w:space="0" w:color="auto"/>
              <w:bottom w:val="single" w:sz="12" w:space="0" w:color="auto"/>
            </w:tcBorders>
            <w:shd w:val="pct10" w:color="auto" w:fill="auto"/>
            <w:vAlign w:val="bottom"/>
          </w:tcPr>
          <w:p w:rsidR="00E21817" w:rsidRPr="00CB20FE" w:rsidP="00484EEB">
            <w:pPr>
              <w:spacing w:before="40" w:after="40" w:line="220" w:lineRule="exact"/>
              <w:jc w:val="center"/>
              <w:rPr>
                <w:rFonts w:eastAsia="Calibri"/>
                <w:b/>
                <w:bCs/>
                <w:sz w:val="20"/>
                <w:szCs w:val="20"/>
                <w:rtl/>
                <w:lang w:eastAsia="he-IL"/>
              </w:rPr>
            </w:pPr>
            <w:r w:rsidRPr="00CB20FE">
              <w:rPr>
                <w:rFonts w:eastAsia="Calibri" w:cs="FrankRuehl" w:hint="cs"/>
                <w:b/>
                <w:bCs/>
                <w:sz w:val="20"/>
                <w:szCs w:val="20"/>
                <w:rtl/>
                <w:lang w:eastAsia="he-IL"/>
              </w:rPr>
              <w:t>התחום</w:t>
            </w:r>
          </w:p>
        </w:tc>
        <w:tc>
          <w:tcPr>
            <w:tcW w:w="2410" w:type="dxa"/>
            <w:tcBorders>
              <w:top w:val="single" w:sz="12" w:space="0" w:color="auto"/>
              <w:bottom w:val="single" w:sz="12" w:space="0" w:color="auto"/>
            </w:tcBorders>
            <w:shd w:val="pct10" w:color="auto" w:fill="auto"/>
            <w:vAlign w:val="bottom"/>
          </w:tcPr>
          <w:p w:rsidR="00E21817" w:rsidRPr="00CB20FE" w:rsidP="00484EEB">
            <w:pPr>
              <w:pStyle w:val="takzir"/>
              <w:spacing w:before="40" w:after="40" w:line="220" w:lineRule="exact"/>
              <w:jc w:val="center"/>
              <w:rPr>
                <w:rFonts w:eastAsia="Calibri" w:cs="FrankRuehl"/>
                <w:noProof w:val="0"/>
                <w:sz w:val="20"/>
                <w:szCs w:val="20"/>
                <w:rtl/>
              </w:rPr>
            </w:pPr>
            <w:r w:rsidRPr="00CB20FE">
              <w:rPr>
                <w:rFonts w:eastAsia="Calibri" w:cs="FrankRuehl" w:hint="cs"/>
                <w:noProof w:val="0"/>
                <w:sz w:val="20"/>
                <w:szCs w:val="20"/>
                <w:rtl/>
              </w:rPr>
              <w:t>הדירוג בשנת 2009</w:t>
            </w:r>
          </w:p>
        </w:tc>
        <w:tc>
          <w:tcPr>
            <w:tcW w:w="2093" w:type="dxa"/>
            <w:tcBorders>
              <w:top w:val="single" w:sz="12" w:space="0" w:color="auto"/>
              <w:bottom w:val="single" w:sz="12" w:space="0" w:color="auto"/>
            </w:tcBorders>
            <w:shd w:val="pct10" w:color="auto" w:fill="auto"/>
            <w:vAlign w:val="bottom"/>
          </w:tcPr>
          <w:p w:rsidR="00E21817" w:rsidRPr="00CB20FE" w:rsidP="00484EEB">
            <w:pPr>
              <w:spacing w:before="40" w:after="40" w:line="220" w:lineRule="exact"/>
              <w:jc w:val="center"/>
              <w:rPr>
                <w:rFonts w:eastAsia="Calibri"/>
                <w:b/>
                <w:bCs/>
                <w:sz w:val="20"/>
                <w:szCs w:val="20"/>
                <w:rtl/>
                <w:lang w:eastAsia="he-IL"/>
              </w:rPr>
            </w:pPr>
            <w:r w:rsidRPr="00CB20FE">
              <w:rPr>
                <w:rFonts w:eastAsia="Calibri" w:cs="FrankRuehl" w:hint="cs"/>
                <w:b/>
                <w:bCs/>
                <w:sz w:val="20"/>
                <w:szCs w:val="20"/>
                <w:rtl/>
                <w:lang w:eastAsia="he-IL"/>
              </w:rPr>
              <w:t>הדירוג בשנת 2014</w:t>
            </w:r>
          </w:p>
        </w:tc>
      </w:tr>
      <w:tr w:rsidTr="00CB20FE">
        <w:tblPrEx>
          <w:tblW w:w="6691" w:type="dxa"/>
          <w:jc w:val="center"/>
          <w:tblLook w:val="04A0"/>
        </w:tblPrEx>
        <w:trPr>
          <w:jc w:val="center"/>
        </w:trPr>
        <w:tc>
          <w:tcPr>
            <w:tcW w:w="2551" w:type="dxa"/>
            <w:tcBorders>
              <w:top w:val="single" w:sz="12" w:space="0" w:color="auto"/>
            </w:tcBorders>
            <w:shd w:val="clear" w:color="auto" w:fill="auto"/>
            <w:vAlign w:val="bottom"/>
          </w:tcPr>
          <w:p w:rsidR="00E21817" w:rsidRPr="00CB20FE" w:rsidP="00484EEB">
            <w:pPr>
              <w:spacing w:before="40" w:after="40" w:line="220" w:lineRule="exact"/>
              <w:jc w:val="both"/>
              <w:rPr>
                <w:rFonts w:eastAsia="Calibri"/>
                <w:sz w:val="20"/>
                <w:szCs w:val="20"/>
                <w:rtl/>
                <w:lang w:eastAsia="he-IL"/>
              </w:rPr>
            </w:pPr>
            <w:r w:rsidRPr="00CB20FE">
              <w:rPr>
                <w:rFonts w:eastAsia="Calibri" w:cs="FrankRuehl" w:hint="cs"/>
                <w:sz w:val="20"/>
                <w:szCs w:val="20"/>
                <w:rtl/>
                <w:lang w:eastAsia="he-IL"/>
              </w:rPr>
              <w:t>פתיחת עסק</w:t>
            </w:r>
          </w:p>
        </w:tc>
        <w:tc>
          <w:tcPr>
            <w:tcW w:w="2410" w:type="dxa"/>
            <w:tcBorders>
              <w:top w:val="single" w:sz="12" w:space="0" w:color="auto"/>
            </w:tcBorders>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24</w:t>
            </w:r>
          </w:p>
        </w:tc>
        <w:tc>
          <w:tcPr>
            <w:tcW w:w="2093" w:type="dxa"/>
            <w:tcBorders>
              <w:top w:val="single" w:sz="12" w:space="0" w:color="auto"/>
            </w:tcBorders>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53</w:t>
            </w:r>
          </w:p>
        </w:tc>
      </w:tr>
      <w:tr w:rsidTr="00CB20FE">
        <w:tblPrEx>
          <w:tblW w:w="6691" w:type="dxa"/>
          <w:jc w:val="center"/>
          <w:tblLook w:val="04A0"/>
        </w:tblPrEx>
        <w:trPr>
          <w:jc w:val="center"/>
        </w:trPr>
        <w:tc>
          <w:tcPr>
            <w:tcW w:w="2551" w:type="dxa"/>
            <w:shd w:val="clear" w:color="auto" w:fill="auto"/>
            <w:vAlign w:val="bottom"/>
          </w:tcPr>
          <w:p w:rsidR="00E21817" w:rsidRPr="00CB20FE" w:rsidP="00484EEB">
            <w:pPr>
              <w:spacing w:before="40" w:after="40" w:line="220" w:lineRule="exact"/>
              <w:jc w:val="both"/>
              <w:rPr>
                <w:rFonts w:eastAsia="Calibri"/>
                <w:sz w:val="20"/>
                <w:szCs w:val="20"/>
                <w:rtl/>
                <w:lang w:eastAsia="he-IL"/>
              </w:rPr>
            </w:pPr>
            <w:r w:rsidRPr="00CB20FE">
              <w:rPr>
                <w:rFonts w:eastAsia="Calibri" w:cs="FrankRuehl" w:hint="cs"/>
                <w:sz w:val="20"/>
                <w:szCs w:val="20"/>
                <w:rtl/>
                <w:lang w:eastAsia="he-IL"/>
              </w:rPr>
              <w:t>רישום בלשכת רישום מקרקעין</w:t>
            </w:r>
          </w:p>
        </w:tc>
        <w:tc>
          <w:tcPr>
            <w:tcW w:w="2410"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147</w:t>
            </w:r>
          </w:p>
        </w:tc>
        <w:tc>
          <w:tcPr>
            <w:tcW w:w="2093"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135</w:t>
            </w:r>
          </w:p>
        </w:tc>
      </w:tr>
      <w:tr w:rsidTr="00CB20FE">
        <w:tblPrEx>
          <w:tblW w:w="6691" w:type="dxa"/>
          <w:jc w:val="center"/>
          <w:tblLook w:val="04A0"/>
        </w:tblPrEx>
        <w:trPr>
          <w:jc w:val="center"/>
        </w:trPr>
        <w:tc>
          <w:tcPr>
            <w:tcW w:w="2551" w:type="dxa"/>
            <w:shd w:val="clear" w:color="auto" w:fill="auto"/>
            <w:vAlign w:val="bottom"/>
          </w:tcPr>
          <w:p w:rsidR="00E21817" w:rsidRPr="00CB20FE" w:rsidP="00484EEB">
            <w:pPr>
              <w:spacing w:before="40" w:after="40" w:line="220" w:lineRule="exact"/>
              <w:jc w:val="both"/>
              <w:rPr>
                <w:rFonts w:eastAsia="Calibri"/>
                <w:sz w:val="20"/>
                <w:szCs w:val="20"/>
                <w:rtl/>
                <w:lang w:eastAsia="he-IL"/>
              </w:rPr>
            </w:pPr>
            <w:r w:rsidRPr="00CB20FE">
              <w:rPr>
                <w:rFonts w:eastAsia="Calibri" w:cs="FrankRuehl" w:hint="cs"/>
                <w:sz w:val="20"/>
                <w:szCs w:val="20"/>
                <w:rtl/>
                <w:lang w:eastAsia="he-IL"/>
              </w:rPr>
              <w:t>טיפול באישורי בנייה</w:t>
            </w:r>
          </w:p>
        </w:tc>
        <w:tc>
          <w:tcPr>
            <w:tcW w:w="2410"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120</w:t>
            </w:r>
          </w:p>
        </w:tc>
        <w:tc>
          <w:tcPr>
            <w:tcW w:w="2093"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121</w:t>
            </w:r>
          </w:p>
        </w:tc>
      </w:tr>
      <w:tr w:rsidTr="00CB20FE">
        <w:tblPrEx>
          <w:tblW w:w="6691" w:type="dxa"/>
          <w:jc w:val="center"/>
          <w:tblLook w:val="04A0"/>
        </w:tblPrEx>
        <w:trPr>
          <w:jc w:val="center"/>
        </w:trPr>
        <w:tc>
          <w:tcPr>
            <w:tcW w:w="2551" w:type="dxa"/>
            <w:shd w:val="clear" w:color="auto" w:fill="auto"/>
            <w:vAlign w:val="bottom"/>
          </w:tcPr>
          <w:p w:rsidR="00E21817" w:rsidRPr="00CB20FE" w:rsidP="00484EEB">
            <w:pPr>
              <w:spacing w:before="40" w:after="40" w:line="220" w:lineRule="exact"/>
              <w:jc w:val="both"/>
              <w:rPr>
                <w:rFonts w:eastAsia="Calibri"/>
                <w:sz w:val="20"/>
                <w:szCs w:val="20"/>
                <w:rtl/>
                <w:lang w:eastAsia="he-IL"/>
              </w:rPr>
            </w:pPr>
            <w:r w:rsidRPr="00CB20FE">
              <w:rPr>
                <w:rFonts w:eastAsia="Calibri" w:cs="FrankRuehl" w:hint="cs"/>
                <w:sz w:val="20"/>
                <w:szCs w:val="20"/>
                <w:rtl/>
                <w:lang w:eastAsia="he-IL"/>
              </w:rPr>
              <w:t>אכיפת חוזים</w:t>
            </w:r>
          </w:p>
        </w:tc>
        <w:tc>
          <w:tcPr>
            <w:tcW w:w="2410"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99</w:t>
            </w:r>
          </w:p>
        </w:tc>
        <w:tc>
          <w:tcPr>
            <w:tcW w:w="2093"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111</w:t>
            </w:r>
          </w:p>
        </w:tc>
      </w:tr>
      <w:tr w:rsidTr="00CB20FE">
        <w:tblPrEx>
          <w:tblW w:w="6691" w:type="dxa"/>
          <w:jc w:val="center"/>
          <w:tblLook w:val="04A0"/>
        </w:tblPrEx>
        <w:trPr>
          <w:jc w:val="center"/>
        </w:trPr>
        <w:tc>
          <w:tcPr>
            <w:tcW w:w="2551" w:type="dxa"/>
            <w:shd w:val="clear" w:color="auto" w:fill="auto"/>
            <w:vAlign w:val="bottom"/>
          </w:tcPr>
          <w:p w:rsidR="00E21817" w:rsidRPr="00CB20FE" w:rsidP="00484EEB">
            <w:pPr>
              <w:spacing w:before="40" w:after="40" w:line="220" w:lineRule="exact"/>
              <w:jc w:val="both"/>
              <w:rPr>
                <w:rFonts w:eastAsia="Calibri"/>
                <w:sz w:val="20"/>
                <w:szCs w:val="20"/>
                <w:rtl/>
                <w:lang w:eastAsia="he-IL"/>
              </w:rPr>
            </w:pPr>
            <w:r w:rsidRPr="00CB20FE">
              <w:rPr>
                <w:rFonts w:eastAsia="Calibri" w:cs="FrankRuehl" w:hint="cs"/>
                <w:sz w:val="20"/>
                <w:szCs w:val="20"/>
                <w:rtl/>
                <w:lang w:eastAsia="he-IL"/>
              </w:rPr>
              <w:t>תשלום מסים</w:t>
            </w:r>
          </w:p>
        </w:tc>
        <w:tc>
          <w:tcPr>
            <w:tcW w:w="2410"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83</w:t>
            </w:r>
          </w:p>
        </w:tc>
        <w:tc>
          <w:tcPr>
            <w:tcW w:w="2093"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97</w:t>
            </w:r>
          </w:p>
        </w:tc>
      </w:tr>
      <w:tr w:rsidTr="00CB20FE">
        <w:tblPrEx>
          <w:tblW w:w="6691" w:type="dxa"/>
          <w:jc w:val="center"/>
          <w:tblLook w:val="04A0"/>
        </w:tblPrEx>
        <w:trPr>
          <w:jc w:val="center"/>
        </w:trPr>
        <w:tc>
          <w:tcPr>
            <w:tcW w:w="2551" w:type="dxa"/>
            <w:shd w:val="clear" w:color="auto" w:fill="auto"/>
            <w:vAlign w:val="bottom"/>
          </w:tcPr>
          <w:p w:rsidR="00E21817" w:rsidRPr="00CB20FE" w:rsidP="00484EEB">
            <w:pPr>
              <w:spacing w:before="40" w:after="40" w:line="220" w:lineRule="exact"/>
              <w:jc w:val="both"/>
              <w:rPr>
                <w:rFonts w:eastAsia="Calibri"/>
                <w:sz w:val="20"/>
                <w:szCs w:val="20"/>
                <w:rtl/>
                <w:lang w:eastAsia="he-IL"/>
              </w:rPr>
            </w:pPr>
            <w:r w:rsidRPr="00CB20FE">
              <w:rPr>
                <w:rFonts w:eastAsia="Calibri" w:cs="FrankRuehl" w:hint="cs"/>
                <w:sz w:val="20"/>
                <w:szCs w:val="20"/>
                <w:rtl/>
                <w:lang w:eastAsia="he-IL"/>
              </w:rPr>
              <w:t>מסחר בין-לאומי</w:t>
            </w:r>
          </w:p>
        </w:tc>
        <w:tc>
          <w:tcPr>
            <w:tcW w:w="2410"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9</w:t>
            </w:r>
          </w:p>
        </w:tc>
        <w:tc>
          <w:tcPr>
            <w:tcW w:w="2093"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12</w:t>
            </w:r>
          </w:p>
        </w:tc>
      </w:tr>
      <w:tr w:rsidTr="00CB20FE">
        <w:tblPrEx>
          <w:tblW w:w="6691" w:type="dxa"/>
          <w:jc w:val="center"/>
          <w:tblLook w:val="04A0"/>
        </w:tblPrEx>
        <w:trPr>
          <w:jc w:val="center"/>
        </w:trPr>
        <w:tc>
          <w:tcPr>
            <w:tcW w:w="2551" w:type="dxa"/>
            <w:shd w:val="clear" w:color="auto" w:fill="auto"/>
            <w:vAlign w:val="bottom"/>
          </w:tcPr>
          <w:p w:rsidR="00E21817" w:rsidRPr="00CB20FE" w:rsidP="00484EEB">
            <w:pPr>
              <w:spacing w:before="40" w:after="40" w:line="220" w:lineRule="exact"/>
              <w:jc w:val="both"/>
              <w:rPr>
                <w:rFonts w:eastAsia="Calibri"/>
                <w:sz w:val="20"/>
                <w:szCs w:val="20"/>
                <w:rtl/>
                <w:lang w:eastAsia="he-IL"/>
              </w:rPr>
            </w:pPr>
            <w:r w:rsidRPr="00CB20FE">
              <w:rPr>
                <w:rFonts w:eastAsia="Calibri" w:cs="FrankRuehl" w:hint="cs"/>
                <w:sz w:val="20"/>
                <w:szCs w:val="20"/>
                <w:rtl/>
                <w:lang w:eastAsia="he-IL"/>
              </w:rPr>
              <w:t xml:space="preserve">הגנה על משקיעים </w:t>
            </w:r>
          </w:p>
        </w:tc>
        <w:tc>
          <w:tcPr>
            <w:tcW w:w="2410"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5</w:t>
            </w:r>
          </w:p>
        </w:tc>
        <w:tc>
          <w:tcPr>
            <w:tcW w:w="2093"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11</w:t>
            </w:r>
          </w:p>
        </w:tc>
      </w:tr>
      <w:tr w:rsidTr="00CB20FE">
        <w:tblPrEx>
          <w:tblW w:w="6691" w:type="dxa"/>
          <w:jc w:val="center"/>
          <w:tblLook w:val="04A0"/>
        </w:tblPrEx>
        <w:trPr>
          <w:jc w:val="center"/>
        </w:trPr>
        <w:tc>
          <w:tcPr>
            <w:tcW w:w="2551" w:type="dxa"/>
            <w:shd w:val="clear" w:color="auto" w:fill="auto"/>
            <w:vAlign w:val="bottom"/>
          </w:tcPr>
          <w:p w:rsidR="00E21817" w:rsidRPr="00CB20FE" w:rsidP="00484EEB">
            <w:pPr>
              <w:spacing w:before="40" w:after="40" w:line="220" w:lineRule="exact"/>
              <w:jc w:val="both"/>
              <w:rPr>
                <w:rFonts w:eastAsia="Calibri"/>
                <w:sz w:val="20"/>
                <w:szCs w:val="20"/>
                <w:rtl/>
                <w:lang w:eastAsia="he-IL"/>
              </w:rPr>
            </w:pPr>
            <w:r w:rsidRPr="00CB20FE">
              <w:rPr>
                <w:rFonts w:eastAsia="Calibri" w:cs="FrankRuehl" w:hint="cs"/>
                <w:sz w:val="20"/>
                <w:szCs w:val="20"/>
                <w:rtl/>
                <w:lang w:eastAsia="he-IL"/>
              </w:rPr>
              <w:t>חיבור לרשת החשמל</w:t>
            </w:r>
          </w:p>
        </w:tc>
        <w:tc>
          <w:tcPr>
            <w:tcW w:w="2410"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אין נתונים</w:t>
            </w:r>
          </w:p>
        </w:tc>
        <w:tc>
          <w:tcPr>
            <w:tcW w:w="2093"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109</w:t>
            </w:r>
          </w:p>
        </w:tc>
      </w:tr>
      <w:tr w:rsidTr="00CB20FE">
        <w:tblPrEx>
          <w:tblW w:w="6691" w:type="dxa"/>
          <w:jc w:val="center"/>
          <w:tblLook w:val="04A0"/>
        </w:tblPrEx>
        <w:trPr>
          <w:jc w:val="center"/>
        </w:trPr>
        <w:tc>
          <w:tcPr>
            <w:tcW w:w="2551" w:type="dxa"/>
            <w:shd w:val="clear" w:color="auto" w:fill="auto"/>
            <w:vAlign w:val="bottom"/>
          </w:tcPr>
          <w:p w:rsidR="00E21817" w:rsidRPr="00CB20FE" w:rsidP="00484EEB">
            <w:pPr>
              <w:spacing w:before="40" w:after="40" w:line="220" w:lineRule="exact"/>
              <w:jc w:val="both"/>
              <w:rPr>
                <w:rFonts w:eastAsia="Calibri"/>
                <w:sz w:val="20"/>
                <w:szCs w:val="20"/>
                <w:rtl/>
                <w:lang w:eastAsia="he-IL"/>
              </w:rPr>
            </w:pPr>
            <w:r w:rsidRPr="00CB20FE">
              <w:rPr>
                <w:rFonts w:eastAsia="Calibri" w:cs="FrankRuehl" w:hint="cs"/>
                <w:sz w:val="20"/>
                <w:szCs w:val="20"/>
                <w:rtl/>
                <w:lang w:eastAsia="he-IL"/>
              </w:rPr>
              <w:t>קבלת אשראי</w:t>
            </w:r>
          </w:p>
        </w:tc>
        <w:tc>
          <w:tcPr>
            <w:tcW w:w="2410"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5</w:t>
            </w:r>
          </w:p>
        </w:tc>
        <w:tc>
          <w:tcPr>
            <w:tcW w:w="2093"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36</w:t>
            </w:r>
          </w:p>
        </w:tc>
      </w:tr>
      <w:tr w:rsidTr="00CB20FE">
        <w:tblPrEx>
          <w:tblW w:w="6691" w:type="dxa"/>
          <w:jc w:val="center"/>
          <w:tblLook w:val="04A0"/>
        </w:tblPrEx>
        <w:trPr>
          <w:jc w:val="center"/>
        </w:trPr>
        <w:tc>
          <w:tcPr>
            <w:tcW w:w="2551" w:type="dxa"/>
            <w:shd w:val="clear" w:color="auto" w:fill="auto"/>
            <w:vAlign w:val="bottom"/>
          </w:tcPr>
          <w:p w:rsidR="00E21817" w:rsidRPr="00CB20FE" w:rsidP="00484EEB">
            <w:pPr>
              <w:spacing w:before="40" w:after="40" w:line="220" w:lineRule="exact"/>
              <w:jc w:val="both"/>
              <w:rPr>
                <w:rFonts w:eastAsia="Calibri"/>
                <w:sz w:val="20"/>
                <w:szCs w:val="20"/>
                <w:rtl/>
                <w:lang w:eastAsia="he-IL"/>
              </w:rPr>
            </w:pPr>
            <w:r w:rsidRPr="00CB20FE">
              <w:rPr>
                <w:rFonts w:eastAsia="Calibri" w:cs="FrankRuehl" w:hint="cs"/>
                <w:sz w:val="20"/>
                <w:szCs w:val="20"/>
                <w:rtl/>
                <w:lang w:eastAsia="he-IL"/>
              </w:rPr>
              <w:t>סגירת עסק</w:t>
            </w:r>
          </w:p>
        </w:tc>
        <w:tc>
          <w:tcPr>
            <w:tcW w:w="2410" w:type="dxa"/>
            <w:shd w:val="clear" w:color="auto" w:fill="auto"/>
            <w:vAlign w:val="bottom"/>
          </w:tcPr>
          <w:p w:rsidR="00E21817" w:rsidRPr="00CB20FE" w:rsidP="00484EEB">
            <w:pPr>
              <w:spacing w:before="40" w:after="40" w:line="220" w:lineRule="exact"/>
              <w:ind w:left="624"/>
              <w:jc w:val="both"/>
              <w:rPr>
                <w:rFonts w:eastAsia="Calibri"/>
                <w:sz w:val="20"/>
                <w:szCs w:val="20"/>
                <w:rtl/>
                <w:lang w:eastAsia="he-IL"/>
              </w:rPr>
            </w:pPr>
            <w:r w:rsidRPr="00CB20FE">
              <w:rPr>
                <w:rFonts w:eastAsia="Calibri" w:cs="FrankRuehl" w:hint="cs"/>
                <w:sz w:val="20"/>
                <w:szCs w:val="20"/>
                <w:rtl/>
                <w:lang w:eastAsia="he-IL"/>
              </w:rPr>
              <w:t>39</w:t>
            </w:r>
          </w:p>
        </w:tc>
        <w:tc>
          <w:tcPr>
            <w:tcW w:w="2093" w:type="dxa"/>
            <w:shd w:val="clear" w:color="auto" w:fill="auto"/>
            <w:vAlign w:val="bottom"/>
          </w:tcPr>
          <w:p w:rsidR="00E21817" w:rsidRPr="00CB20FE" w:rsidP="00484EEB">
            <w:pPr>
              <w:spacing w:before="40" w:after="40" w:line="220" w:lineRule="exact"/>
              <w:ind w:left="624"/>
              <w:jc w:val="both"/>
              <w:rPr>
                <w:rFonts w:eastAsia="Calibri" w:cs="FrankRuehl"/>
                <w:sz w:val="20"/>
                <w:szCs w:val="20"/>
                <w:rtl/>
                <w:lang w:eastAsia="he-IL"/>
              </w:rPr>
            </w:pPr>
            <w:r w:rsidRPr="00CB20FE">
              <w:rPr>
                <w:rFonts w:eastAsia="Calibri" w:cs="FrankRuehl" w:hint="cs"/>
                <w:sz w:val="20"/>
                <w:szCs w:val="20"/>
                <w:rtl/>
                <w:lang w:eastAsia="he-IL"/>
              </w:rPr>
              <w:t>24</w:t>
            </w:r>
          </w:p>
        </w:tc>
      </w:tr>
    </w:tbl>
    <w:p w:rsidR="00E21817" w:rsidRPr="001C54DB" w:rsidP="00484EEB">
      <w:pPr>
        <w:pStyle w:val="BodyText"/>
        <w:spacing w:before="240"/>
        <w:rPr>
          <w:sz w:val="20"/>
          <w:rtl/>
          <w:lang w:eastAsia="he-IL"/>
        </w:rPr>
      </w:pPr>
      <w:r w:rsidRPr="001C54DB">
        <w:rPr>
          <w:rFonts w:hint="cs"/>
          <w:sz w:val="20"/>
          <w:rtl/>
          <w:lang w:eastAsia="he-IL"/>
        </w:rPr>
        <w:t>מהלוח עולה כי לא זו בלבד שהמצב בישראל בתחום הסיוע והתמיכה לעסקים לא השתפר עם השנים, אלא שהוא אף החמיר. עוד עולה מהלוח כי יש צורך בשיפור ניכר בתחומים מסוימים.</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בדוח מבקר המדינה משנת 2005</w:t>
      </w:r>
      <w:r>
        <w:rPr>
          <w:rFonts w:cs="FrankRuehl"/>
          <w:sz w:val="20"/>
          <w:szCs w:val="22"/>
          <w:vertAlign w:val="superscript"/>
          <w:rtl/>
          <w:lang w:eastAsia="he-IL"/>
        </w:rPr>
        <w:footnoteReference w:id="9"/>
      </w:r>
      <w:r w:rsidRPr="00CB20FE">
        <w:rPr>
          <w:rFonts w:cs="FrankRuehl" w:hint="cs"/>
          <w:sz w:val="20"/>
          <w:szCs w:val="22"/>
          <w:rtl/>
          <w:lang w:eastAsia="he-IL"/>
        </w:rPr>
        <w:t xml:space="preserve"> נקבע כי מתן שירותים ממשלתיים לעסקים קטנים באמצעות כמה גופים שפועלים בלי תיאום ביניהם אינו יעיל. לאחר פרסום הדוח החליטה הממשלה בשנת 2007</w:t>
      </w:r>
      <w:r>
        <w:rPr>
          <w:rFonts w:cs="FrankRuehl"/>
          <w:sz w:val="20"/>
          <w:szCs w:val="22"/>
          <w:vertAlign w:val="superscript"/>
          <w:rtl/>
          <w:lang w:eastAsia="he-IL"/>
        </w:rPr>
        <w:footnoteReference w:id="10"/>
      </w:r>
      <w:r w:rsidRPr="00CB20FE">
        <w:rPr>
          <w:rFonts w:cs="FrankRuehl" w:hint="cs"/>
          <w:sz w:val="20"/>
          <w:szCs w:val="22"/>
          <w:rtl/>
          <w:lang w:eastAsia="he-IL"/>
        </w:rPr>
        <w:t xml:space="preserve"> כי שר התעשייה, המסחר והתעסוקה</w:t>
      </w:r>
      <w:r>
        <w:rPr>
          <w:rFonts w:cs="FrankRuehl"/>
          <w:sz w:val="20"/>
          <w:szCs w:val="22"/>
          <w:vertAlign w:val="superscript"/>
          <w:rtl/>
          <w:lang w:eastAsia="he-IL"/>
        </w:rPr>
        <w:footnoteReference w:id="11"/>
      </w:r>
      <w:r w:rsidRPr="00CB20FE">
        <w:rPr>
          <w:rFonts w:cs="FrankRuehl" w:hint="cs"/>
          <w:sz w:val="20"/>
          <w:szCs w:val="22"/>
          <w:rtl/>
          <w:lang w:eastAsia="he-IL"/>
        </w:rPr>
        <w:t xml:space="preserve"> ושר האוצר ירכזו את התמיכה בעסקים קטנים ובינוניים ברשות פנים-ממשלתית אחת במשרד הכלכלה, וכך הוקמה בשנת 2009 הסוכנות. הסוכנות מפעילה, בין היתר, מוקדי שטח המרכזים את שירותי הייעוץ המסובסדים של הסוכנות, ותכניות ייעודיות לעסקים קטנים ובינוניים. הסוכנות אף משתתפת בוועדה המנהלת את קרן ההלוואות לעסקים קטנים ובינוניים. במועד סיום הביקורת הועסקו בסוכנות 22 עובדים,</w:t>
      </w:r>
      <w:r w:rsidRPr="00CB20FE">
        <w:rPr>
          <w:rFonts w:cs="FrankRuehl" w:hint="cs"/>
          <w:sz w:val="20"/>
          <w:szCs w:val="22"/>
          <w:rtl/>
          <w:lang w:eastAsia="he-IL"/>
        </w:rPr>
        <w:t xml:space="preserve"> </w:t>
      </w:r>
      <w:r w:rsidRPr="00CB20FE">
        <w:rPr>
          <w:rFonts w:cs="FrankRuehl" w:hint="cs"/>
          <w:sz w:val="20"/>
          <w:szCs w:val="22"/>
          <w:rtl/>
          <w:lang w:eastAsia="he-IL"/>
        </w:rPr>
        <w:t xml:space="preserve">ומנהלה היה מר רן </w:t>
      </w:r>
      <w:r w:rsidRPr="00CB20FE">
        <w:rPr>
          <w:rFonts w:cs="FrankRuehl" w:hint="cs"/>
          <w:sz w:val="20"/>
          <w:szCs w:val="22"/>
          <w:rtl/>
          <w:lang w:eastAsia="he-IL"/>
        </w:rPr>
        <w:t>קויתי</w:t>
      </w:r>
      <w:r w:rsidRPr="00CB20FE">
        <w:rPr>
          <w:rFonts w:cs="FrankRuehl" w:hint="cs"/>
          <w:sz w:val="20"/>
          <w:szCs w:val="22"/>
          <w:rtl/>
          <w:lang w:eastAsia="he-IL"/>
        </w:rPr>
        <w:t xml:space="preserve">. </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 xml:space="preserve">בשנת 2014 הקצה משרד הכלכלה כ-150 מיליון ש"ח לעידוד העסקים הקטנים והבינוניים. לשם השוואה יצוין שבשנת 2008 הקצה המשרד לנושא כ-47 מיליון ש"ח בלבד, וגם בשנים שקדמו לשנת 2008 הוא הקצה סכום דומה לנושא זה. </w:t>
      </w:r>
    </w:p>
    <w:p w:rsidR="00E21817" w:rsidRPr="00CB20FE" w:rsidP="00484EEB">
      <w:pPr>
        <w:spacing w:after="120" w:line="230" w:lineRule="exact"/>
        <w:jc w:val="both"/>
        <w:rPr>
          <w:rFonts w:cs="FrankRuehl"/>
          <w:sz w:val="20"/>
          <w:szCs w:val="22"/>
          <w:lang w:eastAsia="he-IL"/>
        </w:rPr>
      </w:pPr>
      <w:r w:rsidRPr="00CB20FE">
        <w:rPr>
          <w:rFonts w:cs="FrankRuehl" w:hint="cs"/>
          <w:sz w:val="20"/>
          <w:szCs w:val="22"/>
          <w:rtl/>
        </w:rPr>
        <w:t>בחודשים</w:t>
      </w:r>
      <w:r w:rsidRPr="00CB20FE">
        <w:rPr>
          <w:rFonts w:cs="FrankRuehl"/>
          <w:sz w:val="20"/>
          <w:szCs w:val="22"/>
          <w:rtl/>
        </w:rPr>
        <w:t xml:space="preserve"> פברואר-דצמבר 2014 בדק משרד מבקר המדינה את הסיוע ל</w:t>
      </w:r>
      <w:r w:rsidRPr="00CB20FE">
        <w:rPr>
          <w:rFonts w:cs="FrankRuehl" w:hint="cs"/>
          <w:sz w:val="20"/>
          <w:szCs w:val="22"/>
          <w:rtl/>
        </w:rPr>
        <w:t>עסק</w:t>
      </w:r>
      <w:r w:rsidRPr="00CB20FE">
        <w:rPr>
          <w:rFonts w:cs="FrankRuehl"/>
          <w:sz w:val="20"/>
          <w:szCs w:val="22"/>
          <w:rtl/>
        </w:rPr>
        <w:t xml:space="preserve">ים קטנים ובינוניים </w:t>
      </w:r>
      <w:r w:rsidRPr="00CB20FE">
        <w:rPr>
          <w:rFonts w:cs="FrankRuehl" w:hint="cs"/>
          <w:sz w:val="20"/>
          <w:szCs w:val="22"/>
          <w:rtl/>
        </w:rPr>
        <w:t>ו</w:t>
      </w:r>
      <w:r w:rsidRPr="00CB20FE">
        <w:rPr>
          <w:rFonts w:cs="FrankRuehl"/>
          <w:sz w:val="20"/>
          <w:szCs w:val="22"/>
          <w:rtl/>
        </w:rPr>
        <w:t>את ניהול קרן ההלוואות</w:t>
      </w:r>
      <w:r w:rsidRPr="00CB20FE">
        <w:rPr>
          <w:rFonts w:cs="FrankRuehl" w:hint="cs"/>
          <w:sz w:val="20"/>
          <w:szCs w:val="22"/>
          <w:rtl/>
        </w:rPr>
        <w:t xml:space="preserve"> בערבות המדינה</w:t>
      </w:r>
      <w:r w:rsidRPr="00CB20FE">
        <w:rPr>
          <w:rFonts w:cs="FrankRuehl"/>
          <w:sz w:val="20"/>
          <w:szCs w:val="22"/>
          <w:rtl/>
        </w:rPr>
        <w:t xml:space="preserve"> לעסקים קטנים ובינוניים</w:t>
      </w:r>
      <w:r w:rsidRPr="00CB20FE">
        <w:rPr>
          <w:rFonts w:cs="FrankRuehl" w:hint="cs"/>
          <w:sz w:val="20"/>
          <w:szCs w:val="22"/>
          <w:rtl/>
        </w:rPr>
        <w:t>.</w:t>
      </w:r>
      <w:r w:rsidRPr="00CB20FE">
        <w:rPr>
          <w:rFonts w:cs="FrankRuehl" w:hint="cs"/>
          <w:sz w:val="20"/>
          <w:szCs w:val="22"/>
          <w:rtl/>
          <w:lang w:eastAsia="he-IL"/>
        </w:rPr>
        <w:t xml:space="preserve"> הביקורת נעשתה במשרד הכלכלה, באגף </w:t>
      </w:r>
      <w:r w:rsidRPr="00CB20FE">
        <w:rPr>
          <w:rFonts w:cs="FrankRuehl" w:hint="cs"/>
          <w:sz w:val="20"/>
          <w:szCs w:val="22"/>
          <w:rtl/>
          <w:lang w:eastAsia="he-IL"/>
        </w:rPr>
        <w:t>החשכ"ל</w:t>
      </w:r>
      <w:r w:rsidRPr="00CB20FE">
        <w:rPr>
          <w:rFonts w:cs="FrankRuehl" w:hint="cs"/>
          <w:sz w:val="20"/>
          <w:szCs w:val="22"/>
          <w:rtl/>
          <w:lang w:eastAsia="he-IL"/>
        </w:rPr>
        <w:t xml:space="preserve"> ובחברות</w:t>
      </w:r>
      <w:r w:rsidRPr="00CB20FE">
        <w:rPr>
          <w:rFonts w:cs="FrankRuehl"/>
          <w:sz w:val="20"/>
          <w:szCs w:val="22"/>
          <w:rtl/>
          <w:lang w:eastAsia="he-IL"/>
        </w:rPr>
        <w:t xml:space="preserve"> </w:t>
      </w:r>
      <w:r w:rsidRPr="00CB20FE">
        <w:rPr>
          <w:rFonts w:cs="FrankRuehl" w:hint="cs"/>
          <w:sz w:val="20"/>
          <w:szCs w:val="22"/>
          <w:rtl/>
          <w:lang w:eastAsia="he-IL"/>
        </w:rPr>
        <w:t>שנתנו</w:t>
      </w:r>
      <w:r w:rsidRPr="00CB20FE">
        <w:rPr>
          <w:rFonts w:cs="FrankRuehl"/>
          <w:sz w:val="20"/>
          <w:szCs w:val="22"/>
          <w:rtl/>
          <w:lang w:eastAsia="he-IL"/>
        </w:rPr>
        <w:t xml:space="preserve"> </w:t>
      </w:r>
      <w:r w:rsidRPr="00CB20FE">
        <w:rPr>
          <w:rFonts w:cs="FrankRuehl" w:hint="cs"/>
          <w:sz w:val="20"/>
          <w:szCs w:val="22"/>
          <w:rtl/>
          <w:lang w:eastAsia="he-IL"/>
        </w:rPr>
        <w:t>שירותים</w:t>
      </w:r>
      <w:r w:rsidRPr="00CB20FE">
        <w:rPr>
          <w:rFonts w:cs="FrankRuehl"/>
          <w:sz w:val="20"/>
          <w:szCs w:val="22"/>
          <w:rtl/>
          <w:lang w:eastAsia="he-IL"/>
        </w:rPr>
        <w:t xml:space="preserve"> </w:t>
      </w:r>
      <w:r w:rsidRPr="00CB20FE">
        <w:rPr>
          <w:rFonts w:cs="FrankRuehl" w:hint="cs"/>
          <w:sz w:val="20"/>
          <w:szCs w:val="22"/>
          <w:rtl/>
          <w:lang w:eastAsia="he-IL"/>
        </w:rPr>
        <w:t>לסוכנות</w:t>
      </w:r>
      <w:r w:rsidRPr="00CB20FE">
        <w:rPr>
          <w:rFonts w:cs="FrankRuehl"/>
          <w:sz w:val="20"/>
          <w:szCs w:val="22"/>
          <w:rtl/>
          <w:lang w:eastAsia="he-IL"/>
        </w:rPr>
        <w:t>.</w:t>
      </w:r>
      <w:r w:rsidRPr="00CB20FE">
        <w:rPr>
          <w:rFonts w:cs="FrankRuehl" w:hint="cs"/>
          <w:sz w:val="20"/>
          <w:szCs w:val="22"/>
          <w:rtl/>
          <w:lang w:eastAsia="he-IL"/>
        </w:rPr>
        <w:t xml:space="preserve"> </w:t>
      </w:r>
      <w:r w:rsidRPr="00CB20FE">
        <w:rPr>
          <w:rFonts w:cs="FrankRuehl" w:hint="cs"/>
          <w:sz w:val="20"/>
          <w:szCs w:val="22"/>
          <w:rtl/>
        </w:rPr>
        <w:t>הביקורת</w:t>
      </w:r>
      <w:r w:rsidRPr="00CB20FE">
        <w:rPr>
          <w:rFonts w:cs="FrankRuehl"/>
          <w:sz w:val="20"/>
          <w:szCs w:val="22"/>
          <w:rtl/>
        </w:rPr>
        <w:t xml:space="preserve"> </w:t>
      </w:r>
      <w:r w:rsidRPr="00CB20FE">
        <w:rPr>
          <w:rFonts w:cs="FrankRuehl" w:hint="cs"/>
          <w:sz w:val="20"/>
          <w:szCs w:val="22"/>
          <w:rtl/>
        </w:rPr>
        <w:t>כללה</w:t>
      </w:r>
      <w:r w:rsidRPr="00CB20FE">
        <w:rPr>
          <w:rFonts w:cs="FrankRuehl"/>
          <w:sz w:val="20"/>
          <w:szCs w:val="22"/>
          <w:rtl/>
        </w:rPr>
        <w:t xml:space="preserve"> </w:t>
      </w:r>
      <w:r w:rsidRPr="00CB20FE">
        <w:rPr>
          <w:rFonts w:cs="FrankRuehl" w:hint="cs"/>
          <w:sz w:val="20"/>
          <w:szCs w:val="22"/>
          <w:rtl/>
        </w:rPr>
        <w:t>גם מעקב</w:t>
      </w:r>
      <w:r w:rsidRPr="00CB20FE">
        <w:rPr>
          <w:rFonts w:cs="FrankRuehl"/>
          <w:sz w:val="20"/>
          <w:szCs w:val="22"/>
          <w:rtl/>
        </w:rPr>
        <w:t xml:space="preserve"> </w:t>
      </w:r>
      <w:r w:rsidRPr="00CB20FE">
        <w:rPr>
          <w:rFonts w:cs="FrankRuehl" w:hint="cs"/>
          <w:sz w:val="20"/>
          <w:szCs w:val="22"/>
          <w:rtl/>
        </w:rPr>
        <w:t>אחר</w:t>
      </w:r>
      <w:r w:rsidRPr="00CB20FE">
        <w:rPr>
          <w:rFonts w:cs="FrankRuehl"/>
          <w:sz w:val="20"/>
          <w:szCs w:val="22"/>
          <w:rtl/>
        </w:rPr>
        <w:t xml:space="preserve"> </w:t>
      </w:r>
      <w:r w:rsidRPr="00CB20FE">
        <w:rPr>
          <w:rFonts w:cs="FrankRuehl" w:hint="cs"/>
          <w:sz w:val="20"/>
          <w:szCs w:val="22"/>
          <w:rtl/>
        </w:rPr>
        <w:t>תיקון</w:t>
      </w:r>
      <w:r w:rsidRPr="00CB20FE">
        <w:rPr>
          <w:rFonts w:cs="FrankRuehl"/>
          <w:sz w:val="20"/>
          <w:szCs w:val="22"/>
          <w:rtl/>
        </w:rPr>
        <w:t xml:space="preserve"> </w:t>
      </w:r>
      <w:r w:rsidRPr="00CB20FE">
        <w:rPr>
          <w:rFonts w:cs="FrankRuehl" w:hint="cs"/>
          <w:sz w:val="20"/>
          <w:szCs w:val="22"/>
          <w:rtl/>
        </w:rPr>
        <w:t>ליקויים</w:t>
      </w:r>
      <w:r w:rsidRPr="00CB20FE">
        <w:rPr>
          <w:rFonts w:cs="FrankRuehl"/>
          <w:sz w:val="20"/>
          <w:szCs w:val="22"/>
          <w:rtl/>
        </w:rPr>
        <w:t xml:space="preserve"> </w:t>
      </w:r>
      <w:r w:rsidRPr="00CB20FE">
        <w:rPr>
          <w:rFonts w:cs="FrankRuehl" w:hint="cs"/>
          <w:sz w:val="20"/>
          <w:szCs w:val="22"/>
          <w:rtl/>
        </w:rPr>
        <w:t>שנמצאו</w:t>
      </w:r>
      <w:r w:rsidRPr="00CB20FE">
        <w:rPr>
          <w:rFonts w:cs="FrankRuehl"/>
          <w:sz w:val="20"/>
          <w:szCs w:val="22"/>
          <w:rtl/>
        </w:rPr>
        <w:t xml:space="preserve"> </w:t>
      </w:r>
      <w:r w:rsidRPr="00CB20FE">
        <w:rPr>
          <w:rFonts w:cs="FrankRuehl" w:hint="cs"/>
          <w:sz w:val="20"/>
          <w:szCs w:val="22"/>
          <w:rtl/>
        </w:rPr>
        <w:t>בדוח</w:t>
      </w:r>
      <w:r w:rsidRPr="00CB20FE">
        <w:rPr>
          <w:rFonts w:cs="FrankRuehl"/>
          <w:sz w:val="20"/>
          <w:szCs w:val="22"/>
          <w:rtl/>
        </w:rPr>
        <w:t xml:space="preserve"> </w:t>
      </w:r>
      <w:r w:rsidRPr="00CB20FE">
        <w:rPr>
          <w:rFonts w:cs="FrankRuehl" w:hint="cs"/>
          <w:sz w:val="20"/>
          <w:szCs w:val="22"/>
          <w:rtl/>
        </w:rPr>
        <w:t>ביקורת</w:t>
      </w:r>
      <w:r w:rsidRPr="00CB20FE">
        <w:rPr>
          <w:rFonts w:cs="FrankRuehl"/>
          <w:sz w:val="20"/>
          <w:szCs w:val="22"/>
          <w:rtl/>
        </w:rPr>
        <w:t xml:space="preserve"> </w:t>
      </w:r>
      <w:r w:rsidRPr="00CB20FE">
        <w:rPr>
          <w:rFonts w:cs="FrankRuehl" w:hint="cs"/>
          <w:sz w:val="20"/>
          <w:szCs w:val="22"/>
          <w:rtl/>
        </w:rPr>
        <w:t>קודם</w:t>
      </w:r>
      <w:r w:rsidRPr="00CB20FE">
        <w:rPr>
          <w:rFonts w:cs="FrankRuehl"/>
          <w:sz w:val="20"/>
          <w:szCs w:val="22"/>
          <w:rtl/>
        </w:rPr>
        <w:t xml:space="preserve"> </w:t>
      </w:r>
      <w:r w:rsidRPr="00CB20FE">
        <w:rPr>
          <w:rFonts w:cs="FrankRuehl" w:hint="cs"/>
          <w:sz w:val="20"/>
          <w:szCs w:val="22"/>
          <w:rtl/>
        </w:rPr>
        <w:t>בנושא</w:t>
      </w:r>
      <w:r w:rsidRPr="00CB20FE">
        <w:rPr>
          <w:rFonts w:cs="FrankRuehl"/>
          <w:sz w:val="20"/>
          <w:szCs w:val="22"/>
          <w:rtl/>
        </w:rPr>
        <w:t xml:space="preserve"> </w:t>
      </w:r>
      <w:r w:rsidRPr="00CB20FE">
        <w:rPr>
          <w:rFonts w:cs="FrankRuehl" w:hint="cs"/>
          <w:sz w:val="20"/>
          <w:szCs w:val="22"/>
          <w:rtl/>
        </w:rPr>
        <w:t>שפורסם</w:t>
      </w:r>
      <w:r w:rsidRPr="00CB20FE">
        <w:rPr>
          <w:rFonts w:cs="FrankRuehl"/>
          <w:sz w:val="20"/>
          <w:szCs w:val="22"/>
          <w:rtl/>
        </w:rPr>
        <w:t xml:space="preserve"> </w:t>
      </w:r>
      <w:r w:rsidRPr="00CB20FE">
        <w:rPr>
          <w:rFonts w:cs="FrankRuehl" w:hint="cs"/>
          <w:sz w:val="20"/>
          <w:szCs w:val="22"/>
          <w:rtl/>
        </w:rPr>
        <w:t>בשנת</w:t>
      </w:r>
      <w:r w:rsidRPr="00CB20FE">
        <w:rPr>
          <w:rFonts w:cs="FrankRuehl"/>
          <w:sz w:val="20"/>
          <w:szCs w:val="22"/>
          <w:rtl/>
        </w:rPr>
        <w:t xml:space="preserve"> 2011</w:t>
      </w:r>
      <w:r>
        <w:rPr>
          <w:rStyle w:val="FootnoteReference"/>
          <w:rFonts w:cs="FrankRuehl"/>
          <w:sz w:val="20"/>
          <w:szCs w:val="22"/>
          <w:rtl/>
        </w:rPr>
        <w:footnoteReference w:id="12"/>
      </w:r>
      <w:r w:rsidRPr="00CB20FE">
        <w:rPr>
          <w:rFonts w:cs="FrankRuehl"/>
          <w:sz w:val="20"/>
          <w:szCs w:val="22"/>
          <w:rtl/>
        </w:rPr>
        <w:t>.</w:t>
      </w:r>
      <w:r w:rsidRPr="00CB20FE">
        <w:rPr>
          <w:rFonts w:cs="FrankRuehl" w:hint="cs"/>
          <w:sz w:val="20"/>
          <w:szCs w:val="22"/>
          <w:rtl/>
          <w:lang w:eastAsia="he-IL"/>
        </w:rPr>
        <w:t xml:space="preserve"> </w:t>
      </w:r>
    </w:p>
    <w:p w:rsidR="00CA3BB5" w:rsidRPr="00CB20FE" w:rsidP="00484EEB">
      <w:pPr>
        <w:spacing w:after="120" w:line="230" w:lineRule="exact"/>
        <w:jc w:val="both"/>
        <w:rPr>
          <w:rFonts w:cs="FrankRuehl"/>
          <w:sz w:val="20"/>
          <w:szCs w:val="22"/>
          <w:lang w:eastAsia="he-IL"/>
        </w:rPr>
      </w:pPr>
    </w:p>
    <w:p w:rsidR="00CA3BB5" w:rsidRPr="00CB20FE" w:rsidP="00484EEB">
      <w:pPr>
        <w:spacing w:after="120" w:line="230" w:lineRule="exact"/>
        <w:jc w:val="both"/>
        <w:rPr>
          <w:rFonts w:cs="FrankRuehl"/>
          <w:sz w:val="20"/>
          <w:szCs w:val="22"/>
          <w:rtl/>
          <w:lang w:eastAsia="he-IL"/>
        </w:rPr>
      </w:pPr>
    </w:p>
    <w:p w:rsidR="00E21817" w:rsidRPr="00DA4D76" w:rsidP="00484EEB">
      <w:pPr>
        <w:pStyle w:val="KOT4"/>
        <w:rPr>
          <w:rtl/>
        </w:rPr>
      </w:pPr>
      <w:r w:rsidRPr="00DA4D76">
        <w:rPr>
          <w:rFonts w:hint="cs"/>
          <w:rtl/>
        </w:rPr>
        <w:t xml:space="preserve">הפחתת החסמים </w:t>
      </w:r>
      <w:r>
        <w:rPr>
          <w:rFonts w:hint="cs"/>
          <w:rtl/>
        </w:rPr>
        <w:t xml:space="preserve">להשתתפות במכרזי רכש </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מדינת ישראל היא הקניין הגדול ביותר במשק. אף שמגזר העסקים הקטנים והבינוניים כולל כ-99% מהעסקים במשק, לאורך שנים סיפק מגזר זה רק חלק קטן ביותר מהטובין והשירותים שרכשה המדינה. בשנת 2006, הקים משרד הכלכלה את הוועדה לבחינת חסמים לעסקים קטנים ובינוניים ברכש הממשלתי (להלן - הוועדה לבחינת חסמים) כדי לבחון מה הם החסמים המונעים את הנגישות של העסקים הקטנים והבינוניים למכרזים ממשלתיים וכיצד אפשר להגדיל את נגישותם. משרד הכלכלה ומשרד האוצר החליטו לאמץ בחקיקה חלק מהמלצות הוועדה, ואלו הן: קביעת תנאי סף רלוונטיים להתקשרות, הגבלת תנאי האשראי שהמדינה דורשת מהספקים, הקטנת העלות של מסמכי המכרז, קידום השימוש בסחר אלקטרוני והנהגת ערבות ביצוע פוחתת לפי החשיפה</w:t>
      </w:r>
      <w:r>
        <w:rPr>
          <w:rStyle w:val="FootnoteReference"/>
          <w:rFonts w:cs="FrankRuehl"/>
          <w:sz w:val="20"/>
          <w:szCs w:val="22"/>
          <w:rtl/>
          <w:lang w:eastAsia="he-IL"/>
        </w:rPr>
        <w:footnoteReference w:id="13"/>
      </w:r>
      <w:r w:rsidRPr="00CB20FE">
        <w:rPr>
          <w:rFonts w:cs="FrankRuehl" w:hint="cs"/>
          <w:sz w:val="20"/>
          <w:szCs w:val="22"/>
          <w:rtl/>
          <w:lang w:eastAsia="he-IL"/>
        </w:rPr>
        <w:t xml:space="preserve"> של עורך המכרז. לא אומצו המלצות הוועדה לגבי שימוש במסמכי מכרז</w:t>
      </w:r>
      <w:r>
        <w:rPr>
          <w:rFonts w:cs="FrankRuehl"/>
          <w:sz w:val="20"/>
          <w:szCs w:val="22"/>
          <w:vertAlign w:val="superscript"/>
          <w:rtl/>
          <w:lang w:eastAsia="he-IL"/>
        </w:rPr>
        <w:footnoteReference w:id="14"/>
      </w:r>
      <w:r w:rsidRPr="00CB20FE">
        <w:rPr>
          <w:rFonts w:cs="FrankRuehl" w:hint="cs"/>
          <w:sz w:val="20"/>
          <w:szCs w:val="22"/>
          <w:rtl/>
          <w:lang w:eastAsia="he-IL"/>
        </w:rPr>
        <w:t>, הסכמי התקשרות סטנדרטיים, גמישות בנוגע לדרישות לפיצוי על נזקים ולביטוח ומתן עדיפות להשתתפותם של עסקים קטנים ברכש גומלין</w:t>
      </w:r>
      <w:r>
        <w:rPr>
          <w:rFonts w:cs="FrankRuehl"/>
          <w:sz w:val="20"/>
          <w:szCs w:val="22"/>
          <w:vertAlign w:val="superscript"/>
          <w:rtl/>
          <w:lang w:eastAsia="he-IL"/>
        </w:rPr>
        <w:footnoteReference w:id="15"/>
      </w:r>
      <w:r w:rsidRPr="00CB20FE">
        <w:rPr>
          <w:rFonts w:cs="FrankRuehl" w:hint="cs"/>
          <w:sz w:val="20"/>
          <w:szCs w:val="22"/>
          <w:rtl/>
          <w:lang w:eastAsia="he-IL"/>
        </w:rPr>
        <w:t>. התיקונים שנעשו בעקבות קבלת המלצות הוועדה הוכנסו לחוק חובת המכרזים, התשנ"ב-1992 (להלן - חוק חובת המכרזים), ותקנותיו.</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בתשובה</w:t>
      </w:r>
      <w:r w:rsidRPr="00CB20FE">
        <w:rPr>
          <w:rFonts w:cs="FrankRuehl"/>
          <w:sz w:val="20"/>
          <w:szCs w:val="22"/>
          <w:rtl/>
          <w:lang w:eastAsia="he-IL"/>
        </w:rPr>
        <w:t xml:space="preserve"> </w:t>
      </w:r>
      <w:r w:rsidRPr="00CB20FE">
        <w:rPr>
          <w:rFonts w:cs="FrankRuehl" w:hint="cs"/>
          <w:sz w:val="20"/>
          <w:szCs w:val="22"/>
          <w:rtl/>
          <w:lang w:eastAsia="he-IL"/>
        </w:rPr>
        <w:t>שמסר</w:t>
      </w:r>
      <w:r w:rsidRPr="00CB20FE">
        <w:rPr>
          <w:rFonts w:cs="FrankRuehl"/>
          <w:sz w:val="20"/>
          <w:szCs w:val="22"/>
          <w:rtl/>
          <w:lang w:eastAsia="he-IL"/>
        </w:rPr>
        <w:t xml:space="preserve"> </w:t>
      </w:r>
      <w:r w:rsidRPr="00CB20FE">
        <w:rPr>
          <w:rFonts w:cs="FrankRuehl" w:hint="cs"/>
          <w:sz w:val="20"/>
          <w:szCs w:val="22"/>
          <w:rtl/>
          <w:lang w:eastAsia="he-IL"/>
        </w:rPr>
        <w:t xml:space="preserve">אגף </w:t>
      </w:r>
      <w:r w:rsidRPr="00CB20FE">
        <w:rPr>
          <w:rFonts w:cs="FrankRuehl" w:hint="cs"/>
          <w:sz w:val="20"/>
          <w:szCs w:val="22"/>
          <w:rtl/>
          <w:lang w:eastAsia="he-IL"/>
        </w:rPr>
        <w:t>החשכ</w:t>
      </w:r>
      <w:r w:rsidRPr="00CB20FE">
        <w:rPr>
          <w:rFonts w:cs="FrankRuehl"/>
          <w:sz w:val="20"/>
          <w:szCs w:val="22"/>
          <w:rtl/>
          <w:lang w:eastAsia="he-IL"/>
        </w:rPr>
        <w:t>"ל</w:t>
      </w:r>
      <w:r w:rsidRPr="00CB20FE">
        <w:rPr>
          <w:rFonts w:cs="FrankRuehl"/>
          <w:sz w:val="20"/>
          <w:szCs w:val="22"/>
          <w:rtl/>
          <w:lang w:eastAsia="he-IL"/>
        </w:rPr>
        <w:t xml:space="preserve"> </w:t>
      </w:r>
      <w:r w:rsidRPr="00CB20FE">
        <w:rPr>
          <w:rFonts w:cs="FrankRuehl" w:hint="cs"/>
          <w:sz w:val="20"/>
          <w:szCs w:val="22"/>
          <w:rtl/>
          <w:lang w:eastAsia="he-IL"/>
        </w:rPr>
        <w:t>למשרד מבקר המדינה ב</w:t>
      </w:r>
      <w:r w:rsidRPr="00CB20FE">
        <w:rPr>
          <w:rFonts w:cs="FrankRuehl"/>
          <w:sz w:val="20"/>
          <w:szCs w:val="22"/>
          <w:rtl/>
          <w:lang w:eastAsia="he-IL"/>
        </w:rPr>
        <w:t>מאי 2015</w:t>
      </w:r>
      <w:r w:rsidRPr="00CB20FE">
        <w:rPr>
          <w:rFonts w:cs="FrankRuehl" w:hint="cs"/>
          <w:sz w:val="20"/>
          <w:szCs w:val="22"/>
          <w:rtl/>
          <w:lang w:eastAsia="he-IL"/>
        </w:rPr>
        <w:t xml:space="preserve"> (להלן </w:t>
      </w:r>
      <w:r w:rsidRPr="00CB20FE">
        <w:rPr>
          <w:rFonts w:cs="FrankRuehl"/>
          <w:sz w:val="20"/>
          <w:szCs w:val="22"/>
          <w:rtl/>
          <w:lang w:eastAsia="he-IL"/>
        </w:rPr>
        <w:t>-</w:t>
      </w:r>
      <w:r w:rsidRPr="00CB20FE">
        <w:rPr>
          <w:rFonts w:cs="FrankRuehl" w:hint="cs"/>
          <w:sz w:val="20"/>
          <w:szCs w:val="22"/>
          <w:rtl/>
          <w:lang w:eastAsia="he-IL"/>
        </w:rPr>
        <w:t xml:space="preserve"> תשובת </w:t>
      </w:r>
      <w:r w:rsidRPr="00CB20FE">
        <w:rPr>
          <w:rFonts w:cs="FrankRuehl" w:hint="cs"/>
          <w:sz w:val="20"/>
          <w:szCs w:val="22"/>
          <w:rtl/>
          <w:lang w:eastAsia="he-IL"/>
        </w:rPr>
        <w:t>החשכ"ל</w:t>
      </w:r>
      <w:r w:rsidRPr="00CB20FE">
        <w:rPr>
          <w:rFonts w:cs="FrankRuehl" w:hint="cs"/>
          <w:sz w:val="20"/>
          <w:szCs w:val="22"/>
          <w:rtl/>
          <w:lang w:eastAsia="he-IL"/>
        </w:rPr>
        <w:t>)</w:t>
      </w:r>
      <w:r w:rsidRPr="00CB20FE">
        <w:rPr>
          <w:rFonts w:cs="FrankRuehl"/>
          <w:sz w:val="20"/>
          <w:szCs w:val="22"/>
          <w:rtl/>
          <w:lang w:eastAsia="he-IL"/>
        </w:rPr>
        <w:t xml:space="preserve"> </w:t>
      </w:r>
      <w:r w:rsidRPr="00CB20FE">
        <w:rPr>
          <w:rFonts w:cs="FrankRuehl" w:hint="cs"/>
          <w:sz w:val="20"/>
          <w:szCs w:val="22"/>
          <w:rtl/>
          <w:lang w:eastAsia="he-IL"/>
        </w:rPr>
        <w:t xml:space="preserve">צוין </w:t>
      </w:r>
      <w:r w:rsidRPr="00CB20FE">
        <w:rPr>
          <w:rFonts w:cs="FrankRuehl"/>
          <w:sz w:val="20"/>
          <w:szCs w:val="22"/>
          <w:rtl/>
          <w:lang w:eastAsia="he-IL"/>
        </w:rPr>
        <w:t>כי מסוף שנת 2013 מתבצעת עבודה מקיפה במשרד האוצר במטרה לנסח מסמכי מכרז סטנדרטי</w:t>
      </w:r>
      <w:r w:rsidRPr="00CB20FE">
        <w:rPr>
          <w:rFonts w:cs="FrankRuehl" w:hint="cs"/>
          <w:sz w:val="20"/>
          <w:szCs w:val="22"/>
          <w:rtl/>
          <w:lang w:eastAsia="he-IL"/>
        </w:rPr>
        <w:t>י</w:t>
      </w:r>
      <w:r w:rsidRPr="00CB20FE">
        <w:rPr>
          <w:rFonts w:cs="FrankRuehl"/>
          <w:sz w:val="20"/>
          <w:szCs w:val="22"/>
          <w:rtl/>
          <w:lang w:eastAsia="he-IL"/>
        </w:rPr>
        <w:t xml:space="preserve">ם לפי תחומי התקשרות </w:t>
      </w:r>
      <w:r w:rsidRPr="00CB20FE">
        <w:rPr>
          <w:rFonts w:cs="FrankRuehl" w:hint="cs"/>
          <w:sz w:val="20"/>
          <w:szCs w:val="22"/>
          <w:rtl/>
          <w:lang w:eastAsia="he-IL"/>
        </w:rPr>
        <w:t xml:space="preserve">ולפי </w:t>
      </w:r>
      <w:r w:rsidRPr="00CB20FE">
        <w:rPr>
          <w:rFonts w:cs="FrankRuehl"/>
          <w:sz w:val="20"/>
          <w:szCs w:val="22"/>
          <w:rtl/>
          <w:lang w:eastAsia="he-IL"/>
        </w:rPr>
        <w:t xml:space="preserve">סעיפי האחריות בהתקשרויות. </w:t>
      </w:r>
      <w:r w:rsidRPr="00CB20FE">
        <w:rPr>
          <w:rFonts w:cs="FrankRuehl" w:hint="cs"/>
          <w:sz w:val="20"/>
          <w:szCs w:val="22"/>
          <w:rtl/>
          <w:lang w:eastAsia="he-IL"/>
        </w:rPr>
        <w:t>עוד</w:t>
      </w:r>
      <w:r w:rsidRPr="00CB20FE">
        <w:rPr>
          <w:rFonts w:cs="FrankRuehl"/>
          <w:sz w:val="20"/>
          <w:szCs w:val="22"/>
          <w:rtl/>
          <w:lang w:eastAsia="he-IL"/>
        </w:rPr>
        <w:t xml:space="preserve"> </w:t>
      </w:r>
      <w:r w:rsidRPr="00CB20FE">
        <w:rPr>
          <w:rFonts w:cs="FrankRuehl" w:hint="cs"/>
          <w:sz w:val="20"/>
          <w:szCs w:val="22"/>
          <w:rtl/>
          <w:lang w:eastAsia="he-IL"/>
        </w:rPr>
        <w:t>מסר</w:t>
      </w:r>
      <w:r w:rsidRPr="00CB20FE">
        <w:rPr>
          <w:rFonts w:cs="FrankRuehl"/>
          <w:sz w:val="20"/>
          <w:szCs w:val="22"/>
          <w:rtl/>
          <w:lang w:eastAsia="he-IL"/>
        </w:rPr>
        <w:t xml:space="preserve"> </w:t>
      </w:r>
      <w:r w:rsidRPr="00CB20FE">
        <w:rPr>
          <w:rFonts w:cs="FrankRuehl" w:hint="cs"/>
          <w:sz w:val="20"/>
          <w:szCs w:val="22"/>
          <w:rtl/>
          <w:lang w:eastAsia="he-IL"/>
        </w:rPr>
        <w:t xml:space="preserve">אגף </w:t>
      </w:r>
      <w:r w:rsidRPr="00CB20FE">
        <w:rPr>
          <w:rFonts w:cs="FrankRuehl" w:hint="cs"/>
          <w:sz w:val="20"/>
          <w:szCs w:val="22"/>
          <w:rtl/>
          <w:lang w:eastAsia="he-IL"/>
        </w:rPr>
        <w:t>החשכ</w:t>
      </w:r>
      <w:r w:rsidRPr="00CB20FE">
        <w:rPr>
          <w:rFonts w:cs="FrankRuehl"/>
          <w:sz w:val="20"/>
          <w:szCs w:val="22"/>
          <w:rtl/>
          <w:lang w:eastAsia="he-IL"/>
        </w:rPr>
        <w:t>"ל</w:t>
      </w:r>
      <w:r w:rsidRPr="00CB20FE">
        <w:rPr>
          <w:rFonts w:cs="FrankRuehl"/>
          <w:sz w:val="20"/>
          <w:szCs w:val="22"/>
          <w:rtl/>
          <w:lang w:eastAsia="he-IL"/>
        </w:rPr>
        <w:t xml:space="preserve"> בתשובתו כי </w:t>
      </w:r>
      <w:r w:rsidRPr="00CB20FE">
        <w:rPr>
          <w:rFonts w:cs="FrankRuehl" w:hint="cs"/>
          <w:sz w:val="20"/>
          <w:szCs w:val="22"/>
          <w:rtl/>
          <w:lang w:eastAsia="he-IL"/>
        </w:rPr>
        <w:t>כדי</w:t>
      </w:r>
      <w:r w:rsidRPr="00CB20FE">
        <w:rPr>
          <w:rFonts w:cs="FrankRuehl"/>
          <w:sz w:val="20"/>
          <w:szCs w:val="22"/>
          <w:rtl/>
          <w:lang w:eastAsia="he-IL"/>
        </w:rPr>
        <w:t xml:space="preserve"> ל</w:t>
      </w:r>
      <w:r w:rsidRPr="00CB20FE">
        <w:rPr>
          <w:rFonts w:cs="FrankRuehl" w:hint="cs"/>
          <w:sz w:val="20"/>
          <w:szCs w:val="22"/>
          <w:rtl/>
          <w:lang w:eastAsia="he-IL"/>
        </w:rPr>
        <w:t>י</w:t>
      </w:r>
      <w:r w:rsidRPr="00CB20FE">
        <w:rPr>
          <w:rFonts w:cs="FrankRuehl"/>
          <w:sz w:val="20"/>
          <w:szCs w:val="22"/>
          <w:rtl/>
          <w:lang w:eastAsia="he-IL"/>
        </w:rPr>
        <w:t>יעל את פעילות הרכש הממשלתית ולאפשר לעסקים נוספים להשתתף במכרזי</w:t>
      </w:r>
      <w:r w:rsidRPr="00CB20FE">
        <w:rPr>
          <w:rFonts w:cs="FrankRuehl" w:hint="cs"/>
          <w:sz w:val="20"/>
          <w:szCs w:val="22"/>
          <w:rtl/>
          <w:lang w:eastAsia="he-IL"/>
        </w:rPr>
        <w:t>ם שמפרסמים משרדי</w:t>
      </w:r>
      <w:r w:rsidRPr="00CB20FE">
        <w:rPr>
          <w:rFonts w:cs="FrankRuehl"/>
          <w:sz w:val="20"/>
          <w:szCs w:val="22"/>
          <w:rtl/>
          <w:lang w:eastAsia="he-IL"/>
        </w:rPr>
        <w:t xml:space="preserve"> הממשלה בלי להגדיל באופן משמעותי את החשיפה כתוצאה מהתקשרויות אלו, הוקם צוות עבודה מיוחד </w:t>
      </w:r>
      <w:r w:rsidRPr="00CB20FE">
        <w:rPr>
          <w:rFonts w:cs="FrankRuehl" w:hint="cs"/>
          <w:sz w:val="20"/>
          <w:szCs w:val="22"/>
          <w:rtl/>
          <w:lang w:eastAsia="he-IL"/>
        </w:rPr>
        <w:t>בחשכ</w:t>
      </w:r>
      <w:r w:rsidRPr="00CB20FE">
        <w:rPr>
          <w:rFonts w:cs="FrankRuehl"/>
          <w:sz w:val="20"/>
          <w:szCs w:val="22"/>
          <w:rtl/>
          <w:lang w:eastAsia="he-IL"/>
        </w:rPr>
        <w:t>"ל</w:t>
      </w:r>
      <w:r w:rsidRPr="00CB20FE">
        <w:rPr>
          <w:rFonts w:cs="FrankRuehl"/>
          <w:sz w:val="20"/>
          <w:szCs w:val="22"/>
          <w:rtl/>
          <w:lang w:eastAsia="he-IL"/>
        </w:rPr>
        <w:t xml:space="preserve">. הצוות בוחן את האפשרות לפרסם הוראת </w:t>
      </w:r>
      <w:r w:rsidRPr="00CB20FE">
        <w:rPr>
          <w:rFonts w:cs="FrankRuehl" w:hint="cs"/>
          <w:sz w:val="20"/>
          <w:szCs w:val="22"/>
          <w:rtl/>
          <w:lang w:eastAsia="he-IL"/>
        </w:rPr>
        <w:t>תכ</w:t>
      </w:r>
      <w:r w:rsidRPr="00CB20FE">
        <w:rPr>
          <w:rFonts w:cs="FrankRuehl"/>
          <w:sz w:val="20"/>
          <w:szCs w:val="22"/>
          <w:rtl/>
          <w:lang w:eastAsia="he-IL"/>
        </w:rPr>
        <w:t>"</w:t>
      </w:r>
      <w:r w:rsidRPr="00CB20FE">
        <w:rPr>
          <w:rFonts w:cs="FrankRuehl" w:hint="cs"/>
          <w:sz w:val="20"/>
          <w:szCs w:val="22"/>
          <w:rtl/>
          <w:lang w:eastAsia="he-IL"/>
        </w:rPr>
        <w:t>ם</w:t>
      </w:r>
      <w:r w:rsidRPr="00CB20FE">
        <w:rPr>
          <w:rFonts w:cs="FrankRuehl"/>
          <w:sz w:val="20"/>
          <w:szCs w:val="22"/>
          <w:rtl/>
          <w:lang w:eastAsia="he-IL"/>
        </w:rPr>
        <w:t xml:space="preserve"> חדשה אשר תכלול לראשונה רשימה של סוגי התקשרויות </w:t>
      </w:r>
      <w:r w:rsidRPr="00CB20FE">
        <w:rPr>
          <w:rFonts w:cs="FrankRuehl" w:hint="cs"/>
          <w:sz w:val="20"/>
          <w:szCs w:val="22"/>
          <w:rtl/>
          <w:lang w:eastAsia="he-IL"/>
        </w:rPr>
        <w:t>ש</w:t>
      </w:r>
      <w:r w:rsidRPr="00CB20FE">
        <w:rPr>
          <w:rFonts w:cs="FrankRuehl"/>
          <w:sz w:val="20"/>
          <w:szCs w:val="22"/>
          <w:rtl/>
          <w:lang w:eastAsia="he-IL"/>
        </w:rPr>
        <w:t xml:space="preserve">בהן </w:t>
      </w:r>
      <w:r w:rsidRPr="00CB20FE">
        <w:rPr>
          <w:rFonts w:cs="FrankRuehl" w:hint="cs"/>
          <w:sz w:val="20"/>
          <w:szCs w:val="22"/>
          <w:rtl/>
          <w:lang w:eastAsia="he-IL"/>
        </w:rPr>
        <w:t>לא יחויבו המשתתפים במכרזים</w:t>
      </w:r>
      <w:r w:rsidRPr="00CB20FE">
        <w:rPr>
          <w:rFonts w:cs="FrankRuehl"/>
          <w:sz w:val="20"/>
          <w:szCs w:val="22"/>
          <w:rtl/>
          <w:lang w:eastAsia="he-IL"/>
        </w:rPr>
        <w:t xml:space="preserve"> </w:t>
      </w:r>
      <w:r w:rsidRPr="00CB20FE">
        <w:rPr>
          <w:rFonts w:cs="FrankRuehl" w:hint="cs"/>
          <w:sz w:val="20"/>
          <w:szCs w:val="22"/>
          <w:rtl/>
          <w:lang w:eastAsia="he-IL"/>
        </w:rPr>
        <w:t>ב</w:t>
      </w:r>
      <w:r w:rsidRPr="00CB20FE">
        <w:rPr>
          <w:rFonts w:cs="FrankRuehl"/>
          <w:sz w:val="20"/>
          <w:szCs w:val="22"/>
          <w:rtl/>
          <w:lang w:eastAsia="he-IL"/>
        </w:rPr>
        <w:t xml:space="preserve">דרישות ביטוח או </w:t>
      </w:r>
      <w:r w:rsidRPr="00CB20FE">
        <w:rPr>
          <w:rFonts w:cs="FrankRuehl" w:hint="cs"/>
          <w:sz w:val="20"/>
          <w:szCs w:val="22"/>
          <w:rtl/>
          <w:lang w:eastAsia="he-IL"/>
        </w:rPr>
        <w:t xml:space="preserve">שיוכלו </w:t>
      </w:r>
      <w:r w:rsidRPr="00CB20FE">
        <w:rPr>
          <w:rFonts w:cs="FrankRuehl"/>
          <w:sz w:val="20"/>
          <w:szCs w:val="22"/>
          <w:rtl/>
          <w:lang w:eastAsia="he-IL"/>
        </w:rPr>
        <w:t>להשתמש בתבנית ביטוח קבועה.</w:t>
      </w:r>
      <w:r w:rsidRPr="00CB20FE">
        <w:rPr>
          <w:rFonts w:cs="FrankRuehl" w:hint="cs"/>
          <w:sz w:val="20"/>
          <w:szCs w:val="22"/>
          <w:rtl/>
          <w:lang w:eastAsia="he-IL"/>
        </w:rPr>
        <w:t xml:space="preserve"> </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חוק</w:t>
      </w:r>
      <w:r w:rsidRPr="00CB20FE">
        <w:rPr>
          <w:rFonts w:cs="FrankRuehl"/>
          <w:sz w:val="20"/>
          <w:szCs w:val="22"/>
          <w:rtl/>
          <w:lang w:eastAsia="he-IL"/>
        </w:rPr>
        <w:t xml:space="preserve"> </w:t>
      </w:r>
      <w:r w:rsidRPr="00CB20FE">
        <w:rPr>
          <w:rFonts w:cs="FrankRuehl" w:hint="cs"/>
          <w:sz w:val="20"/>
          <w:szCs w:val="22"/>
          <w:rtl/>
          <w:lang w:eastAsia="he-IL"/>
        </w:rPr>
        <w:t>חובת</w:t>
      </w:r>
      <w:r w:rsidRPr="00CB20FE">
        <w:rPr>
          <w:rFonts w:cs="FrankRuehl"/>
          <w:sz w:val="20"/>
          <w:szCs w:val="22"/>
          <w:rtl/>
          <w:lang w:eastAsia="he-IL"/>
        </w:rPr>
        <w:t xml:space="preserve"> </w:t>
      </w:r>
      <w:r w:rsidRPr="00CB20FE">
        <w:rPr>
          <w:rFonts w:cs="FrankRuehl" w:hint="cs"/>
          <w:sz w:val="20"/>
          <w:szCs w:val="22"/>
          <w:rtl/>
          <w:lang w:eastAsia="he-IL"/>
        </w:rPr>
        <w:t>המכרזים</w:t>
      </w:r>
      <w:r>
        <w:rPr>
          <w:rFonts w:cs="FrankRuehl"/>
          <w:sz w:val="20"/>
          <w:szCs w:val="22"/>
          <w:vertAlign w:val="superscript"/>
          <w:rtl/>
          <w:lang w:eastAsia="he-IL"/>
        </w:rPr>
        <w:footnoteReference w:id="16"/>
      </w:r>
      <w:r w:rsidRPr="00CB20FE">
        <w:rPr>
          <w:rFonts w:cs="FrankRuehl" w:hint="cs"/>
          <w:sz w:val="20"/>
          <w:szCs w:val="22"/>
          <w:rtl/>
          <w:lang w:eastAsia="he-IL"/>
        </w:rPr>
        <w:t xml:space="preserve"> קובע</w:t>
      </w:r>
      <w:r w:rsidRPr="00CB20FE">
        <w:rPr>
          <w:rFonts w:cs="FrankRuehl"/>
          <w:sz w:val="20"/>
          <w:szCs w:val="22"/>
          <w:rtl/>
          <w:lang w:eastAsia="he-IL"/>
        </w:rPr>
        <w:t xml:space="preserve"> </w:t>
      </w:r>
      <w:r w:rsidRPr="00CB20FE">
        <w:rPr>
          <w:rFonts w:cs="FrankRuehl" w:hint="cs"/>
          <w:sz w:val="20"/>
          <w:szCs w:val="22"/>
          <w:rtl/>
          <w:lang w:eastAsia="he-IL"/>
        </w:rPr>
        <w:t>כי</w:t>
      </w:r>
      <w:r w:rsidRPr="00CB20FE">
        <w:rPr>
          <w:rFonts w:cs="FrankRuehl"/>
          <w:sz w:val="20"/>
          <w:szCs w:val="22"/>
          <w:rtl/>
          <w:lang w:eastAsia="he-IL"/>
        </w:rPr>
        <w:t xml:space="preserve"> </w:t>
      </w:r>
      <w:r w:rsidRPr="00CB20FE">
        <w:rPr>
          <w:rFonts w:cs="FrankRuehl" w:hint="cs"/>
          <w:sz w:val="20"/>
          <w:szCs w:val="22"/>
          <w:rtl/>
          <w:lang w:eastAsia="he-IL"/>
        </w:rPr>
        <w:t>עורך</w:t>
      </w:r>
      <w:r w:rsidRPr="00CB20FE">
        <w:rPr>
          <w:rFonts w:cs="FrankRuehl"/>
          <w:sz w:val="20"/>
          <w:szCs w:val="22"/>
          <w:rtl/>
          <w:lang w:eastAsia="he-IL"/>
        </w:rPr>
        <w:t xml:space="preserve"> </w:t>
      </w:r>
      <w:r w:rsidRPr="00CB20FE">
        <w:rPr>
          <w:rFonts w:cs="FrankRuehl" w:hint="cs"/>
          <w:sz w:val="20"/>
          <w:szCs w:val="22"/>
          <w:rtl/>
          <w:lang w:eastAsia="he-IL"/>
        </w:rPr>
        <w:t>המכרז</w:t>
      </w:r>
      <w:r>
        <w:rPr>
          <w:rFonts w:cs="FrankRuehl"/>
          <w:sz w:val="20"/>
          <w:szCs w:val="22"/>
          <w:vertAlign w:val="superscript"/>
          <w:rtl/>
          <w:lang w:eastAsia="he-IL"/>
        </w:rPr>
        <w:footnoteReference w:id="17"/>
      </w:r>
      <w:r w:rsidRPr="00CB20FE">
        <w:rPr>
          <w:rFonts w:cs="FrankRuehl"/>
          <w:sz w:val="20"/>
          <w:szCs w:val="22"/>
          <w:rtl/>
          <w:lang w:eastAsia="he-IL"/>
        </w:rPr>
        <w:t xml:space="preserve"> לא יקבע תנאי סף שאינם מתחייבים מאופיו או ממהותו של המכרז. עוד קובע </w:t>
      </w:r>
      <w:r w:rsidRPr="00CB20FE">
        <w:rPr>
          <w:rFonts w:cs="FrankRuehl" w:hint="cs"/>
          <w:sz w:val="20"/>
          <w:szCs w:val="22"/>
          <w:rtl/>
          <w:lang w:eastAsia="he-IL"/>
        </w:rPr>
        <w:t>החוק</w:t>
      </w:r>
      <w:r w:rsidRPr="00CB20FE">
        <w:rPr>
          <w:rFonts w:cs="FrankRuehl"/>
          <w:sz w:val="20"/>
          <w:szCs w:val="22"/>
          <w:rtl/>
          <w:lang w:eastAsia="he-IL"/>
        </w:rPr>
        <w:t xml:space="preserve"> כי אם עורך המכרז</w:t>
      </w:r>
      <w:r w:rsidRPr="00CB20FE">
        <w:rPr>
          <w:rFonts w:cs="FrankRuehl" w:hint="cs"/>
          <w:sz w:val="20"/>
          <w:szCs w:val="22"/>
          <w:rtl/>
          <w:lang w:eastAsia="he-IL"/>
        </w:rPr>
        <w:t xml:space="preserve"> קובע </w:t>
      </w:r>
      <w:r w:rsidRPr="00CB20FE">
        <w:rPr>
          <w:rFonts w:cs="FrankRuehl"/>
          <w:sz w:val="20"/>
          <w:szCs w:val="22"/>
          <w:rtl/>
          <w:lang w:eastAsia="he-IL"/>
        </w:rPr>
        <w:t>תנאי סף בנושאי ותק, ניסיון קודם, היקף המחזור הכספי או היקף הייצור או ה</w:t>
      </w:r>
      <w:r w:rsidRPr="00CB20FE">
        <w:rPr>
          <w:rFonts w:cs="FrankRuehl" w:hint="cs"/>
          <w:sz w:val="20"/>
          <w:szCs w:val="22"/>
          <w:rtl/>
          <w:lang w:eastAsia="he-IL"/>
        </w:rPr>
        <w:t>א</w:t>
      </w:r>
      <w:r w:rsidRPr="00CB20FE">
        <w:rPr>
          <w:rFonts w:cs="FrankRuehl"/>
          <w:sz w:val="20"/>
          <w:szCs w:val="22"/>
          <w:rtl/>
          <w:lang w:eastAsia="he-IL"/>
        </w:rPr>
        <w:t>ספקה</w:t>
      </w:r>
      <w:r w:rsidRPr="00CB20FE">
        <w:rPr>
          <w:rFonts w:cs="FrankRuehl" w:hint="cs"/>
          <w:sz w:val="20"/>
          <w:szCs w:val="22"/>
          <w:rtl/>
          <w:lang w:eastAsia="he-IL"/>
        </w:rPr>
        <w:t xml:space="preserve">, </w:t>
      </w:r>
      <w:r w:rsidRPr="00CB20FE">
        <w:rPr>
          <w:rFonts w:cs="FrankRuehl"/>
          <w:sz w:val="20"/>
          <w:szCs w:val="22"/>
          <w:rtl/>
          <w:lang w:eastAsia="he-IL"/>
        </w:rPr>
        <w:t>המצ</w:t>
      </w:r>
      <w:r w:rsidRPr="00CB20FE">
        <w:rPr>
          <w:rFonts w:cs="FrankRuehl" w:hint="cs"/>
          <w:sz w:val="20"/>
          <w:szCs w:val="22"/>
          <w:rtl/>
          <w:lang w:eastAsia="he-IL"/>
        </w:rPr>
        <w:t>י</w:t>
      </w:r>
      <w:r w:rsidRPr="00CB20FE">
        <w:rPr>
          <w:rFonts w:cs="FrankRuehl"/>
          <w:sz w:val="20"/>
          <w:szCs w:val="22"/>
          <w:rtl/>
          <w:lang w:eastAsia="he-IL"/>
        </w:rPr>
        <w:t>בים דרישה מחמירה יותר מזו הכתובה בתוספת לחוק</w:t>
      </w:r>
      <w:r w:rsidRPr="00CB20FE">
        <w:rPr>
          <w:rFonts w:cs="FrankRuehl" w:hint="cs"/>
          <w:sz w:val="20"/>
          <w:szCs w:val="22"/>
          <w:rtl/>
          <w:lang w:eastAsia="he-IL"/>
        </w:rPr>
        <w:t>,</w:t>
      </w:r>
      <w:r w:rsidRPr="00CB20FE">
        <w:rPr>
          <w:rFonts w:cs="FrankRuehl"/>
          <w:sz w:val="20"/>
          <w:szCs w:val="22"/>
          <w:rtl/>
          <w:lang w:eastAsia="he-IL"/>
        </w:rPr>
        <w:t xml:space="preserve"> או </w:t>
      </w:r>
      <w:r w:rsidRPr="00CB20FE">
        <w:rPr>
          <w:rFonts w:cs="FrankRuehl" w:hint="cs"/>
          <w:sz w:val="20"/>
          <w:szCs w:val="22"/>
          <w:rtl/>
          <w:lang w:eastAsia="he-IL"/>
        </w:rPr>
        <w:t xml:space="preserve">קובע </w:t>
      </w:r>
      <w:r w:rsidRPr="00CB20FE">
        <w:rPr>
          <w:rFonts w:cs="FrankRuehl"/>
          <w:sz w:val="20"/>
          <w:szCs w:val="22"/>
          <w:rtl/>
          <w:lang w:eastAsia="he-IL"/>
        </w:rPr>
        <w:t>תנאי הדורש ניסיון מוכח בעבודה עם</w:t>
      </w:r>
      <w:r w:rsidRPr="00CB20FE">
        <w:rPr>
          <w:rFonts w:cs="FrankRuehl" w:hint="cs"/>
          <w:sz w:val="20"/>
          <w:szCs w:val="22"/>
          <w:rtl/>
          <w:lang w:eastAsia="he-IL"/>
        </w:rPr>
        <w:t xml:space="preserve"> עורך המכרז או עם גופים ציבוריים אחרים שהחוק חל עליהם</w:t>
      </w:r>
      <w:r w:rsidRPr="00CB20FE">
        <w:rPr>
          <w:rFonts w:cs="FrankRuehl"/>
          <w:sz w:val="20"/>
          <w:szCs w:val="22"/>
          <w:rtl/>
          <w:lang w:eastAsia="he-IL"/>
        </w:rPr>
        <w:t xml:space="preserve">, </w:t>
      </w:r>
      <w:r w:rsidRPr="00CB20FE">
        <w:rPr>
          <w:rFonts w:cs="FrankRuehl" w:hint="cs"/>
          <w:sz w:val="20"/>
          <w:szCs w:val="22"/>
          <w:rtl/>
          <w:lang w:eastAsia="he-IL"/>
        </w:rPr>
        <w:t>עליו ל</w:t>
      </w:r>
      <w:r w:rsidRPr="00CB20FE">
        <w:rPr>
          <w:rFonts w:cs="FrankRuehl"/>
          <w:sz w:val="20"/>
          <w:szCs w:val="22"/>
          <w:rtl/>
          <w:lang w:eastAsia="he-IL"/>
        </w:rPr>
        <w:t xml:space="preserve">נמק את החלטתו במסמכי המכרז. סעיף </w:t>
      </w:r>
      <w:r w:rsidRPr="00CB20FE">
        <w:rPr>
          <w:rFonts w:cs="FrankRuehl" w:hint="cs"/>
          <w:sz w:val="20"/>
          <w:szCs w:val="22"/>
          <w:rtl/>
          <w:lang w:eastAsia="he-IL"/>
        </w:rPr>
        <w:t>זה בחוק</w:t>
      </w:r>
      <w:r w:rsidRPr="00CB20FE">
        <w:rPr>
          <w:rFonts w:cs="FrankRuehl"/>
          <w:sz w:val="20"/>
          <w:szCs w:val="22"/>
          <w:rtl/>
          <w:lang w:eastAsia="he-IL"/>
        </w:rPr>
        <w:t xml:space="preserve"> </w:t>
      </w:r>
      <w:r w:rsidRPr="00CB20FE">
        <w:rPr>
          <w:rFonts w:cs="FrankRuehl" w:hint="cs"/>
          <w:sz w:val="20"/>
          <w:szCs w:val="22"/>
          <w:rtl/>
          <w:lang w:eastAsia="he-IL"/>
        </w:rPr>
        <w:t>עשוי</w:t>
      </w:r>
      <w:r w:rsidRPr="00CB20FE">
        <w:rPr>
          <w:rFonts w:cs="FrankRuehl"/>
          <w:sz w:val="20"/>
          <w:szCs w:val="22"/>
          <w:rtl/>
          <w:lang w:eastAsia="he-IL"/>
        </w:rPr>
        <w:t xml:space="preserve"> להקל על עסקים קטנים</w:t>
      </w:r>
      <w:r w:rsidRPr="00CB20FE">
        <w:rPr>
          <w:rFonts w:cs="FrankRuehl" w:hint="cs"/>
          <w:sz w:val="20"/>
          <w:szCs w:val="22"/>
          <w:rtl/>
          <w:lang w:eastAsia="he-IL"/>
        </w:rPr>
        <w:t xml:space="preserve">, בינוניים </w:t>
      </w:r>
      <w:r w:rsidRPr="00CB20FE">
        <w:rPr>
          <w:rFonts w:cs="FrankRuehl"/>
          <w:sz w:val="20"/>
          <w:szCs w:val="22"/>
          <w:rtl/>
          <w:lang w:eastAsia="he-IL"/>
        </w:rPr>
        <w:t xml:space="preserve">או חדשים </w:t>
      </w:r>
      <w:r w:rsidRPr="00CB20FE">
        <w:rPr>
          <w:rFonts w:cs="FrankRuehl" w:hint="cs"/>
          <w:sz w:val="20"/>
          <w:szCs w:val="22"/>
          <w:rtl/>
          <w:lang w:eastAsia="he-IL"/>
        </w:rPr>
        <w:t xml:space="preserve">את ההשתתפות </w:t>
      </w:r>
      <w:r w:rsidRPr="00CB20FE">
        <w:rPr>
          <w:rFonts w:cs="FrankRuehl"/>
          <w:sz w:val="20"/>
          <w:szCs w:val="22"/>
          <w:rtl/>
          <w:lang w:eastAsia="he-IL"/>
        </w:rPr>
        <w:t xml:space="preserve">במכרזים </w:t>
      </w:r>
      <w:r w:rsidRPr="00CB20FE">
        <w:rPr>
          <w:rFonts w:cs="FrankRuehl" w:hint="cs"/>
          <w:sz w:val="20"/>
          <w:szCs w:val="22"/>
          <w:rtl/>
          <w:lang w:eastAsia="he-IL"/>
        </w:rPr>
        <w:t>של גופים שחוק חובת המכרזים חל עליהם</w:t>
      </w:r>
      <w:r>
        <w:rPr>
          <w:rStyle w:val="FootnoteReference"/>
          <w:rFonts w:cs="FrankRuehl"/>
          <w:sz w:val="20"/>
          <w:szCs w:val="22"/>
          <w:rtl/>
          <w:lang w:eastAsia="he-IL"/>
        </w:rPr>
        <w:footnoteReference w:id="18"/>
      </w:r>
      <w:r w:rsidRPr="00CB20FE">
        <w:rPr>
          <w:rFonts w:cs="FrankRuehl" w:hint="cs"/>
          <w:sz w:val="20"/>
          <w:szCs w:val="22"/>
          <w:rtl/>
          <w:lang w:eastAsia="he-IL"/>
        </w:rPr>
        <w:t>.</w:t>
      </w:r>
      <w:r w:rsidRPr="00CB20FE">
        <w:rPr>
          <w:rFonts w:cs="FrankRuehl"/>
          <w:sz w:val="20"/>
          <w:szCs w:val="22"/>
          <w:rtl/>
          <w:lang w:eastAsia="he-IL"/>
        </w:rPr>
        <w:t xml:space="preserve"> </w:t>
      </w:r>
      <w:r w:rsidRPr="00CB20FE">
        <w:rPr>
          <w:rFonts w:cs="FrankRuehl" w:hint="cs"/>
          <w:sz w:val="20"/>
          <w:szCs w:val="22"/>
          <w:rtl/>
          <w:lang w:eastAsia="he-IL"/>
        </w:rPr>
        <w:t>בתיקון</w:t>
      </w:r>
      <w:r w:rsidRPr="00CB20FE">
        <w:rPr>
          <w:rFonts w:cs="FrankRuehl"/>
          <w:sz w:val="20"/>
          <w:szCs w:val="22"/>
          <w:rtl/>
          <w:lang w:eastAsia="he-IL"/>
        </w:rPr>
        <w:t xml:space="preserve"> </w:t>
      </w:r>
      <w:r w:rsidRPr="00CB20FE">
        <w:rPr>
          <w:rFonts w:cs="FrankRuehl" w:hint="cs"/>
          <w:sz w:val="20"/>
          <w:szCs w:val="22"/>
          <w:rtl/>
          <w:lang w:eastAsia="he-IL"/>
        </w:rPr>
        <w:t>לתקנות</w:t>
      </w:r>
      <w:r w:rsidRPr="00CB20FE">
        <w:rPr>
          <w:rFonts w:cs="FrankRuehl"/>
          <w:sz w:val="20"/>
          <w:szCs w:val="22"/>
          <w:rtl/>
          <w:lang w:eastAsia="he-IL"/>
        </w:rPr>
        <w:t xml:space="preserve"> </w:t>
      </w:r>
      <w:r w:rsidRPr="00CB20FE">
        <w:rPr>
          <w:rFonts w:cs="FrankRuehl" w:hint="cs"/>
          <w:sz w:val="20"/>
          <w:szCs w:val="22"/>
          <w:rtl/>
          <w:lang w:eastAsia="he-IL"/>
        </w:rPr>
        <w:t>חובת</w:t>
      </w:r>
      <w:r w:rsidRPr="00CB20FE">
        <w:rPr>
          <w:rFonts w:cs="FrankRuehl"/>
          <w:sz w:val="20"/>
          <w:szCs w:val="22"/>
          <w:rtl/>
          <w:lang w:eastAsia="he-IL"/>
        </w:rPr>
        <w:t xml:space="preserve"> </w:t>
      </w:r>
      <w:r w:rsidRPr="00CB20FE">
        <w:rPr>
          <w:rFonts w:cs="FrankRuehl" w:hint="cs"/>
          <w:sz w:val="20"/>
          <w:szCs w:val="22"/>
          <w:rtl/>
          <w:lang w:eastAsia="he-IL"/>
        </w:rPr>
        <w:t>המכרזים</w:t>
      </w:r>
      <w:r w:rsidRPr="00CB20FE">
        <w:rPr>
          <w:rFonts w:cs="FrankRuehl"/>
          <w:sz w:val="20"/>
          <w:szCs w:val="22"/>
          <w:rtl/>
          <w:lang w:eastAsia="he-IL"/>
        </w:rPr>
        <w:t xml:space="preserve">, </w:t>
      </w:r>
      <w:r w:rsidRPr="00CB20FE">
        <w:rPr>
          <w:rFonts w:cs="FrankRuehl" w:hint="cs"/>
          <w:sz w:val="20"/>
          <w:szCs w:val="22"/>
          <w:rtl/>
          <w:lang w:eastAsia="he-IL"/>
        </w:rPr>
        <w:t>התשנ</w:t>
      </w:r>
      <w:r w:rsidRPr="00CB20FE">
        <w:rPr>
          <w:rFonts w:cs="FrankRuehl"/>
          <w:sz w:val="20"/>
          <w:szCs w:val="22"/>
          <w:rtl/>
          <w:lang w:eastAsia="he-IL"/>
        </w:rPr>
        <w:t>"ג-1993</w:t>
      </w:r>
      <w:r>
        <w:rPr>
          <w:rFonts w:cs="FrankRuehl"/>
          <w:sz w:val="20"/>
          <w:szCs w:val="22"/>
          <w:vertAlign w:val="superscript"/>
          <w:rtl/>
          <w:lang w:eastAsia="he-IL"/>
        </w:rPr>
        <w:footnoteReference w:id="19"/>
      </w:r>
      <w:r w:rsidRPr="00CB20FE">
        <w:rPr>
          <w:rFonts w:cs="FrankRuehl"/>
          <w:sz w:val="20"/>
          <w:szCs w:val="22"/>
          <w:rtl/>
          <w:lang w:eastAsia="he-IL"/>
        </w:rPr>
        <w:t xml:space="preserve">, </w:t>
      </w:r>
      <w:r w:rsidRPr="00CB20FE">
        <w:rPr>
          <w:rFonts w:cs="FrankRuehl" w:hint="cs"/>
          <w:sz w:val="20"/>
          <w:szCs w:val="22"/>
          <w:rtl/>
          <w:lang w:eastAsia="he-IL"/>
        </w:rPr>
        <w:t xml:space="preserve">שנעשה בעקבות המלצות הוועדה </w:t>
      </w:r>
      <w:r w:rsidRPr="00CB20FE">
        <w:rPr>
          <w:rFonts w:cs="FrankRuehl"/>
          <w:sz w:val="20"/>
          <w:szCs w:val="22"/>
          <w:rtl/>
          <w:lang w:eastAsia="he-IL"/>
        </w:rPr>
        <w:t xml:space="preserve">תוקנו </w:t>
      </w:r>
      <w:r w:rsidRPr="00CB20FE">
        <w:rPr>
          <w:rFonts w:cs="FrankRuehl" w:hint="cs"/>
          <w:sz w:val="20"/>
          <w:szCs w:val="22"/>
          <w:rtl/>
          <w:lang w:eastAsia="he-IL"/>
        </w:rPr>
        <w:t>תקנות 15 ו-17,</w:t>
      </w:r>
      <w:r w:rsidRPr="00CB20FE">
        <w:rPr>
          <w:rFonts w:cs="FrankRuehl"/>
          <w:sz w:val="20"/>
          <w:szCs w:val="22"/>
          <w:rtl/>
          <w:lang w:eastAsia="he-IL"/>
        </w:rPr>
        <w:t xml:space="preserve"> </w:t>
      </w:r>
      <w:r w:rsidRPr="00CB20FE">
        <w:rPr>
          <w:rFonts w:cs="FrankRuehl" w:hint="cs"/>
          <w:sz w:val="20"/>
          <w:szCs w:val="22"/>
          <w:rtl/>
          <w:lang w:eastAsia="he-IL"/>
        </w:rPr>
        <w:t>ונקבע בהן כי</w:t>
      </w:r>
      <w:r w:rsidRPr="00CB20FE">
        <w:rPr>
          <w:rFonts w:cs="FrankRuehl"/>
          <w:sz w:val="20"/>
          <w:szCs w:val="22"/>
          <w:rtl/>
          <w:lang w:eastAsia="he-IL"/>
        </w:rPr>
        <w:t xml:space="preserve"> הודעות על מכרזים פומביים </w:t>
      </w:r>
      <w:r w:rsidRPr="00CB20FE">
        <w:rPr>
          <w:rFonts w:cs="FrankRuehl" w:hint="cs"/>
          <w:sz w:val="20"/>
          <w:szCs w:val="22"/>
          <w:rtl/>
          <w:lang w:eastAsia="he-IL"/>
        </w:rPr>
        <w:t xml:space="preserve">יפורסמו גם ברשת האינטרנט, וכי </w:t>
      </w:r>
      <w:r w:rsidRPr="00CB20FE">
        <w:rPr>
          <w:rFonts w:cs="FrankRuehl"/>
          <w:sz w:val="20"/>
          <w:szCs w:val="22"/>
          <w:rtl/>
          <w:lang w:eastAsia="he-IL"/>
        </w:rPr>
        <w:t xml:space="preserve">מסמכי המכרזים </w:t>
      </w:r>
      <w:r w:rsidRPr="00CB20FE">
        <w:rPr>
          <w:rFonts w:cs="FrankRuehl" w:hint="cs"/>
          <w:sz w:val="20"/>
          <w:szCs w:val="22"/>
          <w:rtl/>
          <w:lang w:eastAsia="he-IL"/>
        </w:rPr>
        <w:t xml:space="preserve">יסופקו ללא תשלום במשרד הגוף הציבורי וככל הניתן </w:t>
      </w:r>
      <w:r w:rsidRPr="00CB20FE">
        <w:rPr>
          <w:rFonts w:cs="FrankRuehl"/>
          <w:sz w:val="20"/>
          <w:szCs w:val="22"/>
          <w:rtl/>
          <w:lang w:eastAsia="he-IL"/>
        </w:rPr>
        <w:t>גם באינטרנט</w:t>
      </w:r>
      <w:r w:rsidRPr="00CB20FE">
        <w:rPr>
          <w:rFonts w:cs="FrankRuehl" w:hint="cs"/>
          <w:sz w:val="20"/>
          <w:szCs w:val="22"/>
          <w:rtl/>
          <w:lang w:eastAsia="he-IL"/>
        </w:rPr>
        <w:t>,</w:t>
      </w:r>
      <w:r w:rsidRPr="00CB20FE">
        <w:rPr>
          <w:rFonts w:cs="FrankRuehl"/>
          <w:sz w:val="20"/>
          <w:szCs w:val="22"/>
          <w:rtl/>
          <w:lang w:eastAsia="he-IL"/>
        </w:rPr>
        <w:t xml:space="preserve"> או </w:t>
      </w:r>
      <w:r w:rsidRPr="00CB20FE">
        <w:rPr>
          <w:rFonts w:cs="FrankRuehl" w:hint="cs"/>
          <w:sz w:val="20"/>
          <w:szCs w:val="22"/>
          <w:rtl/>
          <w:lang w:eastAsia="he-IL"/>
        </w:rPr>
        <w:t xml:space="preserve">לחלופין </w:t>
      </w:r>
      <w:r w:rsidRPr="00CB20FE">
        <w:rPr>
          <w:rFonts w:cs="FrankRuehl"/>
          <w:sz w:val="20"/>
          <w:szCs w:val="22"/>
          <w:rtl/>
          <w:lang w:eastAsia="he-IL"/>
        </w:rPr>
        <w:t>תמורת תשלום</w:t>
      </w:r>
      <w:r w:rsidRPr="00CB20FE">
        <w:rPr>
          <w:rFonts w:cs="FrankRuehl" w:hint="cs"/>
          <w:sz w:val="20"/>
          <w:szCs w:val="22"/>
          <w:rtl/>
          <w:lang w:eastAsia="he-IL"/>
        </w:rPr>
        <w:t xml:space="preserve"> </w:t>
      </w:r>
      <w:r w:rsidRPr="00CB20FE">
        <w:rPr>
          <w:rFonts w:cs="FrankRuehl"/>
          <w:sz w:val="20"/>
          <w:szCs w:val="22"/>
          <w:rtl/>
          <w:lang w:eastAsia="he-IL"/>
        </w:rPr>
        <w:t xml:space="preserve">לפי עלות הדפסתם. תיקונים אלו מנגישים את המכרזים הממשלתיים לעסקים </w:t>
      </w:r>
      <w:r w:rsidRPr="00CB20FE">
        <w:rPr>
          <w:rFonts w:cs="FrankRuehl" w:hint="cs"/>
          <w:sz w:val="20"/>
          <w:szCs w:val="22"/>
          <w:rtl/>
          <w:lang w:eastAsia="he-IL"/>
        </w:rPr>
        <w:t>קטנים ובינוניים ואף מקלים עליהם את ההשתתפות בהם.</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 xml:space="preserve">בנובמבר 2009 פורסמה הוראה זמנית מיוחדת של </w:t>
      </w:r>
      <w:r w:rsidRPr="00CB20FE">
        <w:rPr>
          <w:rFonts w:cs="FrankRuehl" w:hint="cs"/>
          <w:sz w:val="20"/>
          <w:szCs w:val="22"/>
          <w:rtl/>
          <w:lang w:eastAsia="he-IL"/>
        </w:rPr>
        <w:t>החשכ"ל</w:t>
      </w:r>
      <w:r w:rsidRPr="00CB20FE">
        <w:rPr>
          <w:rFonts w:cs="FrankRuehl" w:hint="cs"/>
          <w:sz w:val="20"/>
          <w:szCs w:val="22"/>
          <w:rtl/>
          <w:lang w:eastAsia="he-IL"/>
        </w:rPr>
        <w:t xml:space="preserve"> (להלן </w:t>
      </w:r>
      <w:r w:rsidRPr="00CB20FE">
        <w:rPr>
          <w:rFonts w:cs="FrankRuehl"/>
          <w:sz w:val="20"/>
          <w:szCs w:val="22"/>
          <w:rtl/>
          <w:lang w:eastAsia="he-IL"/>
        </w:rPr>
        <w:t>-</w:t>
      </w:r>
      <w:r w:rsidRPr="00CB20FE">
        <w:rPr>
          <w:rFonts w:cs="FrankRuehl" w:hint="cs"/>
          <w:sz w:val="20"/>
          <w:szCs w:val="22"/>
          <w:rtl/>
          <w:lang w:eastAsia="he-IL"/>
        </w:rPr>
        <w:t xml:space="preserve"> ההוראה הזמנית) בעניין שילוב עסקים קטנים ובינוניים במכרזים ממשלתיים</w:t>
      </w:r>
      <w:r>
        <w:rPr>
          <w:rFonts w:cs="FrankRuehl"/>
          <w:sz w:val="20"/>
          <w:szCs w:val="22"/>
          <w:vertAlign w:val="superscript"/>
          <w:rtl/>
          <w:lang w:eastAsia="he-IL"/>
        </w:rPr>
        <w:footnoteReference w:id="20"/>
      </w:r>
      <w:r w:rsidRPr="00CB20FE">
        <w:rPr>
          <w:rFonts w:cs="FrankRuehl" w:hint="cs"/>
          <w:sz w:val="20"/>
          <w:szCs w:val="22"/>
          <w:rtl/>
          <w:lang w:eastAsia="he-IL"/>
        </w:rPr>
        <w:t xml:space="preserve"> ברוח המלצות הוועדה לבחינת חסמים.</w:t>
      </w:r>
      <w:r w:rsidRPr="00CB20FE">
        <w:rPr>
          <w:rFonts w:cs="FrankRuehl" w:hint="cs"/>
          <w:color w:val="FF0000"/>
          <w:sz w:val="20"/>
          <w:szCs w:val="22"/>
          <w:rtl/>
          <w:lang w:eastAsia="he-IL"/>
        </w:rPr>
        <w:t xml:space="preserve"> </w:t>
      </w:r>
      <w:r w:rsidRPr="00CB20FE">
        <w:rPr>
          <w:rFonts w:cs="FrankRuehl" w:hint="cs"/>
          <w:sz w:val="20"/>
          <w:szCs w:val="22"/>
          <w:rtl/>
          <w:lang w:eastAsia="he-IL"/>
        </w:rPr>
        <w:t>על פי ההוראה הזמנית,</w:t>
      </w:r>
      <w:r w:rsidRPr="00CB20FE">
        <w:rPr>
          <w:rFonts w:cs="FrankRuehl" w:hint="cs"/>
          <w:color w:val="FF0000"/>
          <w:sz w:val="20"/>
          <w:szCs w:val="22"/>
          <w:rtl/>
          <w:lang w:eastAsia="he-IL"/>
        </w:rPr>
        <w:t xml:space="preserve"> </w:t>
      </w:r>
      <w:r w:rsidRPr="00CB20FE">
        <w:rPr>
          <w:rFonts w:cs="FrankRuehl" w:hint="cs"/>
          <w:sz w:val="20"/>
          <w:szCs w:val="22"/>
          <w:rtl/>
          <w:lang w:eastAsia="he-IL"/>
        </w:rPr>
        <w:t xml:space="preserve">קודם לקיום מכרז או הליך תחרותי אחר להתקשרות </w:t>
      </w:r>
      <w:r w:rsidRPr="00CB20FE">
        <w:rPr>
          <w:rFonts w:cs="FrankRuehl"/>
          <w:sz w:val="20"/>
          <w:szCs w:val="22"/>
          <w:rtl/>
          <w:lang w:eastAsia="he-IL"/>
        </w:rPr>
        <w:t xml:space="preserve">תאסוף ועדת המכרזים מידע על הענף שבו מתקיים המכרז, תבדוק את היקף הפעילות בו, את מידת התחרות בו ואת מידת הרלוונטיות של שילוב עסקים קטנים </w:t>
      </w:r>
      <w:r w:rsidRPr="00CB20FE">
        <w:rPr>
          <w:rFonts w:cs="FrankRuehl" w:hint="cs"/>
          <w:sz w:val="20"/>
          <w:szCs w:val="22"/>
          <w:rtl/>
          <w:lang w:eastAsia="he-IL"/>
        </w:rPr>
        <w:t xml:space="preserve">ובינוניים </w:t>
      </w:r>
      <w:r w:rsidRPr="00CB20FE">
        <w:rPr>
          <w:rFonts w:cs="FrankRuehl"/>
          <w:sz w:val="20"/>
          <w:szCs w:val="22"/>
          <w:rtl/>
          <w:lang w:eastAsia="he-IL"/>
        </w:rPr>
        <w:t>במכרז</w:t>
      </w:r>
      <w:r w:rsidRPr="00CB20FE">
        <w:rPr>
          <w:rFonts w:cs="FrankRuehl" w:hint="cs"/>
          <w:sz w:val="20"/>
          <w:szCs w:val="22"/>
          <w:rtl/>
          <w:lang w:eastAsia="he-IL"/>
        </w:rPr>
        <w:t xml:space="preserve">. </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 xml:space="preserve">בהחלטה שקיבלה הממשלה ביולי 2011 (להלן </w:t>
      </w:r>
      <w:r w:rsidRPr="00CB20FE">
        <w:rPr>
          <w:rFonts w:cs="FrankRuehl"/>
          <w:sz w:val="20"/>
          <w:szCs w:val="22"/>
          <w:rtl/>
          <w:lang w:eastAsia="he-IL"/>
        </w:rPr>
        <w:t>-</w:t>
      </w:r>
      <w:r w:rsidRPr="00CB20FE">
        <w:rPr>
          <w:rFonts w:cs="FrankRuehl" w:hint="cs"/>
          <w:sz w:val="20"/>
          <w:szCs w:val="22"/>
          <w:rtl/>
          <w:lang w:eastAsia="he-IL"/>
        </w:rPr>
        <w:t xml:space="preserve"> החלטת הממשלה מ-2011)</w:t>
      </w:r>
      <w:r>
        <w:rPr>
          <w:rFonts w:cs="FrankRuehl"/>
          <w:sz w:val="20"/>
          <w:szCs w:val="22"/>
          <w:vertAlign w:val="superscript"/>
          <w:rtl/>
          <w:lang w:eastAsia="he-IL"/>
        </w:rPr>
        <w:footnoteReference w:id="21"/>
      </w:r>
      <w:r w:rsidRPr="00CB20FE">
        <w:rPr>
          <w:rFonts w:cs="FrankRuehl" w:hint="cs"/>
          <w:sz w:val="20"/>
          <w:szCs w:val="22"/>
          <w:rtl/>
          <w:lang w:eastAsia="he-IL"/>
        </w:rPr>
        <w:t xml:space="preserve"> נקבע שיש להגדיל את השתתפות העסקים הקטנים והבינוניים ברכש הממשלתי באמצעות הגברת שילובם במכרזים הממשלתיים לרכישת שירותים. נקבע כי השילוב ייעשה באמצעות הסוכנות. הממשלה החליטה להטיל על שר האוצר לקבוע, בתיאום עם שר הכלכלה, הוראות לביצוע הליכי בקרה ודיווח על מצב שילובם של עסקים קטנים ובינוניים במכרזים כאמור. השרים החליטו על אופן עיגון ההוראות האמורות. יצוין כי לסוכנות אין נתונים על סך הרכישות של הממשלה וגופים ציבוריים אחרים מעסקים קטנים ובינוניים, וכי היעדר נתונים כאמור מקשה על הסוכנות ועל מקבלי ההחלטות לקבוע מדיניות לעידוד רכישות ציבוריות מעסקים אלו.</w:t>
      </w:r>
    </w:p>
    <w:p w:rsidR="00E21817" w:rsidRPr="00CB20FE" w:rsidP="00484EEB">
      <w:pPr>
        <w:tabs>
          <w:tab w:val="left" w:pos="5310"/>
        </w:tabs>
        <w:spacing w:after="120" w:line="230" w:lineRule="exact"/>
        <w:jc w:val="both"/>
        <w:rPr>
          <w:rFonts w:cs="FrankRuehl"/>
          <w:sz w:val="20"/>
          <w:szCs w:val="22"/>
          <w:rtl/>
        </w:rPr>
      </w:pPr>
      <w:r w:rsidRPr="00CB20FE">
        <w:rPr>
          <w:rFonts w:cs="FrankRuehl" w:hint="cs"/>
          <w:sz w:val="20"/>
          <w:szCs w:val="22"/>
          <w:rtl/>
          <w:lang w:eastAsia="he-IL"/>
        </w:rPr>
        <w:t>על</w:t>
      </w:r>
      <w:r w:rsidRPr="00CB20FE">
        <w:rPr>
          <w:rFonts w:cs="FrankRuehl"/>
          <w:sz w:val="20"/>
          <w:szCs w:val="22"/>
          <w:rtl/>
          <w:lang w:eastAsia="he-IL"/>
        </w:rPr>
        <w:t xml:space="preserve"> בסיס החלטת הממשלה</w:t>
      </w:r>
      <w:r w:rsidRPr="00CB20FE">
        <w:rPr>
          <w:rFonts w:cs="FrankRuehl" w:hint="cs"/>
          <w:sz w:val="20"/>
          <w:szCs w:val="22"/>
          <w:rtl/>
          <w:lang w:eastAsia="he-IL"/>
        </w:rPr>
        <w:t xml:space="preserve"> מ-2011</w:t>
      </w:r>
      <w:r w:rsidRPr="00CB20FE">
        <w:rPr>
          <w:rFonts w:cs="FrankRuehl"/>
          <w:sz w:val="20"/>
          <w:szCs w:val="22"/>
          <w:rtl/>
          <w:lang w:eastAsia="he-IL"/>
        </w:rPr>
        <w:t xml:space="preserve"> </w:t>
      </w:r>
      <w:r w:rsidRPr="00CB20FE">
        <w:rPr>
          <w:rFonts w:cs="FrankRuehl" w:hint="cs"/>
          <w:sz w:val="20"/>
          <w:szCs w:val="22"/>
          <w:rtl/>
          <w:lang w:eastAsia="he-IL"/>
        </w:rPr>
        <w:t>קבע</w:t>
      </w:r>
      <w:r w:rsidRPr="00CB20FE">
        <w:rPr>
          <w:rFonts w:cs="FrankRuehl"/>
          <w:sz w:val="20"/>
          <w:szCs w:val="22"/>
          <w:rtl/>
          <w:lang w:eastAsia="he-IL"/>
        </w:rPr>
        <w:t xml:space="preserve"> </w:t>
      </w:r>
      <w:r w:rsidRPr="00CB20FE">
        <w:rPr>
          <w:rFonts w:cs="FrankRuehl" w:hint="cs"/>
          <w:sz w:val="20"/>
          <w:szCs w:val="22"/>
          <w:rtl/>
          <w:lang w:eastAsia="he-IL"/>
        </w:rPr>
        <w:t>החשכ"ל</w:t>
      </w:r>
      <w:r w:rsidRPr="00CB20FE">
        <w:rPr>
          <w:rFonts w:cs="FrankRuehl"/>
          <w:sz w:val="20"/>
          <w:szCs w:val="22"/>
          <w:rtl/>
          <w:lang w:eastAsia="he-IL"/>
        </w:rPr>
        <w:t xml:space="preserve"> </w:t>
      </w:r>
      <w:r w:rsidRPr="00CB20FE">
        <w:rPr>
          <w:rFonts w:cs="FrankRuehl" w:hint="cs"/>
          <w:sz w:val="20"/>
          <w:szCs w:val="22"/>
          <w:rtl/>
          <w:lang w:eastAsia="he-IL"/>
        </w:rPr>
        <w:t>באוגוסט</w:t>
      </w:r>
      <w:r w:rsidRPr="00CB20FE">
        <w:rPr>
          <w:rFonts w:cs="FrankRuehl"/>
          <w:sz w:val="20"/>
          <w:szCs w:val="22"/>
          <w:rtl/>
          <w:lang w:eastAsia="he-IL"/>
        </w:rPr>
        <w:t xml:space="preserve"> 2013 </w:t>
      </w:r>
      <w:r w:rsidRPr="00CB20FE">
        <w:rPr>
          <w:rFonts w:cs="FrankRuehl" w:hint="cs"/>
          <w:sz w:val="20"/>
          <w:szCs w:val="22"/>
          <w:rtl/>
          <w:lang w:eastAsia="he-IL"/>
        </w:rPr>
        <w:t>בהוראות</w:t>
      </w:r>
      <w:r w:rsidRPr="00CB20FE">
        <w:rPr>
          <w:rFonts w:cs="FrankRuehl"/>
          <w:sz w:val="20"/>
          <w:szCs w:val="22"/>
          <w:rtl/>
          <w:lang w:eastAsia="he-IL"/>
        </w:rPr>
        <w:t xml:space="preserve"> </w:t>
      </w:r>
      <w:r w:rsidRPr="00CB20FE">
        <w:rPr>
          <w:rFonts w:cs="FrankRuehl" w:hint="cs"/>
          <w:sz w:val="20"/>
          <w:szCs w:val="22"/>
          <w:rtl/>
          <w:lang w:eastAsia="he-IL"/>
        </w:rPr>
        <w:t>תכ</w:t>
      </w:r>
      <w:r w:rsidRPr="00CB20FE">
        <w:rPr>
          <w:rFonts w:cs="FrankRuehl"/>
          <w:sz w:val="20"/>
          <w:szCs w:val="22"/>
          <w:rtl/>
          <w:lang w:eastAsia="he-IL"/>
        </w:rPr>
        <w:t>"</w:t>
      </w:r>
      <w:r w:rsidRPr="00CB20FE">
        <w:rPr>
          <w:rFonts w:cs="FrankRuehl" w:hint="cs"/>
          <w:sz w:val="20"/>
          <w:szCs w:val="22"/>
          <w:rtl/>
          <w:lang w:eastAsia="he-IL"/>
        </w:rPr>
        <w:t>ם</w:t>
      </w:r>
      <w:r>
        <w:rPr>
          <w:rFonts w:cs="FrankRuehl"/>
          <w:sz w:val="20"/>
          <w:szCs w:val="22"/>
          <w:vertAlign w:val="superscript"/>
          <w:rtl/>
          <w:lang w:eastAsia="he-IL"/>
        </w:rPr>
        <w:footnoteReference w:id="22"/>
      </w:r>
      <w:r w:rsidRPr="00CB20FE">
        <w:rPr>
          <w:rFonts w:cs="FrankRuehl" w:hint="cs"/>
          <w:sz w:val="20"/>
          <w:szCs w:val="22"/>
          <w:rtl/>
          <w:lang w:eastAsia="he-IL"/>
        </w:rPr>
        <w:t xml:space="preserve"> </w:t>
      </w:r>
      <w:r w:rsidRPr="00CB20FE">
        <w:rPr>
          <w:rFonts w:cs="FrankRuehl"/>
          <w:sz w:val="20"/>
          <w:szCs w:val="22"/>
          <w:rtl/>
          <w:lang w:eastAsia="he-IL"/>
        </w:rPr>
        <w:t>כללים לשילוב עסקים קטנים ובינוניים במכרזים ממשלתיים</w:t>
      </w:r>
      <w:r w:rsidRPr="00CB20FE">
        <w:rPr>
          <w:rFonts w:cs="FrankRuehl" w:hint="cs"/>
          <w:sz w:val="20"/>
          <w:szCs w:val="22"/>
          <w:rtl/>
          <w:lang w:eastAsia="he-IL"/>
        </w:rPr>
        <w:t xml:space="preserve"> אשר מבוססים על ההוראה הזמנית (להלן - הוראות </w:t>
      </w:r>
      <w:r w:rsidRPr="00CB20FE">
        <w:rPr>
          <w:rFonts w:cs="FrankRuehl" w:hint="cs"/>
          <w:sz w:val="20"/>
          <w:szCs w:val="22"/>
          <w:rtl/>
          <w:lang w:eastAsia="he-IL"/>
        </w:rPr>
        <w:t>החשכ"ל</w:t>
      </w:r>
      <w:r w:rsidRPr="00CB20FE">
        <w:rPr>
          <w:rFonts w:cs="FrankRuehl" w:hint="cs"/>
          <w:sz w:val="20"/>
          <w:szCs w:val="22"/>
          <w:rtl/>
          <w:lang w:eastAsia="he-IL"/>
        </w:rPr>
        <w:t>).</w:t>
      </w:r>
      <w:r w:rsidRPr="00CB20FE">
        <w:rPr>
          <w:rFonts w:cs="FrankRuehl"/>
          <w:sz w:val="20"/>
          <w:szCs w:val="22"/>
          <w:rtl/>
          <w:lang w:eastAsia="he-IL"/>
        </w:rPr>
        <w:t xml:space="preserve"> על פי </w:t>
      </w:r>
      <w:r w:rsidRPr="00CB20FE">
        <w:rPr>
          <w:rFonts w:cs="FrankRuehl" w:hint="cs"/>
          <w:sz w:val="20"/>
          <w:szCs w:val="22"/>
          <w:rtl/>
          <w:lang w:eastAsia="he-IL"/>
        </w:rPr>
        <w:t xml:space="preserve">ההוראה הזמנית של </w:t>
      </w:r>
      <w:r w:rsidRPr="00CB20FE">
        <w:rPr>
          <w:rFonts w:cs="FrankRuehl" w:hint="cs"/>
          <w:sz w:val="20"/>
          <w:szCs w:val="22"/>
          <w:rtl/>
          <w:lang w:eastAsia="he-IL"/>
        </w:rPr>
        <w:t>החשכ"ל</w:t>
      </w:r>
      <w:r w:rsidRPr="00CB20FE">
        <w:rPr>
          <w:rFonts w:cs="FrankRuehl" w:hint="cs"/>
          <w:sz w:val="20"/>
          <w:szCs w:val="22"/>
          <w:rtl/>
          <w:lang w:eastAsia="he-IL"/>
        </w:rPr>
        <w:t>,</w:t>
      </w:r>
      <w:r w:rsidRPr="00CB20FE">
        <w:rPr>
          <w:rFonts w:cs="FrankRuehl"/>
          <w:sz w:val="20"/>
          <w:szCs w:val="22"/>
          <w:rtl/>
          <w:lang w:eastAsia="he-IL"/>
        </w:rPr>
        <w:t xml:space="preserve"> על ועדת המכרזים בכל משרד </w:t>
      </w:r>
      <w:r w:rsidRPr="00CB20FE">
        <w:rPr>
          <w:rFonts w:cs="FrankRuehl" w:hint="cs"/>
          <w:sz w:val="20"/>
          <w:szCs w:val="22"/>
          <w:rtl/>
          <w:lang w:eastAsia="he-IL"/>
        </w:rPr>
        <w:t>ממשלתי לבחון</w:t>
      </w:r>
      <w:r w:rsidRPr="00CB20FE">
        <w:rPr>
          <w:rFonts w:cs="FrankRuehl"/>
          <w:sz w:val="20"/>
          <w:szCs w:val="22"/>
          <w:rtl/>
          <w:lang w:eastAsia="he-IL"/>
        </w:rPr>
        <w:t xml:space="preserve"> </w:t>
      </w:r>
      <w:r w:rsidRPr="00CB20FE">
        <w:rPr>
          <w:rFonts w:cs="FrankRuehl" w:hint="cs"/>
          <w:sz w:val="20"/>
          <w:szCs w:val="22"/>
          <w:rtl/>
          <w:lang w:eastAsia="he-IL"/>
        </w:rPr>
        <w:t>ב</w:t>
      </w:r>
      <w:r w:rsidRPr="00CB20FE">
        <w:rPr>
          <w:rFonts w:cs="FrankRuehl"/>
          <w:sz w:val="20"/>
          <w:szCs w:val="22"/>
          <w:rtl/>
          <w:lang w:eastAsia="he-IL"/>
        </w:rPr>
        <w:t>טרם החלטה על יציאה למכרז</w:t>
      </w:r>
      <w:r w:rsidRPr="00CB20FE">
        <w:rPr>
          <w:rFonts w:cs="FrankRuehl" w:hint="cs"/>
          <w:sz w:val="20"/>
          <w:szCs w:val="22"/>
          <w:rtl/>
          <w:lang w:eastAsia="he-IL"/>
        </w:rPr>
        <w:t xml:space="preserve"> את השאלות האלה</w:t>
      </w:r>
      <w:r w:rsidRPr="00CB20FE">
        <w:rPr>
          <w:rFonts w:cs="FrankRuehl"/>
          <w:sz w:val="20"/>
          <w:szCs w:val="22"/>
          <w:rtl/>
          <w:lang w:eastAsia="he-IL"/>
        </w:rPr>
        <w:t xml:space="preserve">: </w:t>
      </w:r>
      <w:r w:rsidR="000C468B">
        <w:rPr>
          <w:rFonts w:cs="FrankRuehl" w:hint="cs"/>
          <w:sz w:val="20"/>
          <w:szCs w:val="22"/>
          <w:rtl/>
          <w:lang w:eastAsia="he-IL"/>
        </w:rPr>
        <w:t xml:space="preserve">  </w:t>
      </w:r>
      <w:r w:rsidRPr="00CB20FE">
        <w:rPr>
          <w:rFonts w:cs="FrankRuehl" w:hint="cs"/>
          <w:sz w:val="20"/>
          <w:szCs w:val="22"/>
          <w:rtl/>
          <w:lang w:eastAsia="he-IL"/>
        </w:rPr>
        <w:t xml:space="preserve">(א) </w:t>
      </w:r>
      <w:r w:rsidR="000C468B">
        <w:rPr>
          <w:rFonts w:cs="FrankRuehl" w:hint="cs"/>
          <w:sz w:val="20"/>
          <w:szCs w:val="22"/>
          <w:rtl/>
          <w:lang w:eastAsia="he-IL"/>
        </w:rPr>
        <w:t xml:space="preserve"> </w:t>
      </w:r>
      <w:r w:rsidRPr="00CB20FE">
        <w:rPr>
          <w:rFonts w:cs="FrankRuehl"/>
          <w:sz w:val="20"/>
          <w:szCs w:val="22"/>
          <w:rtl/>
          <w:lang w:eastAsia="he-IL"/>
        </w:rPr>
        <w:t>האם ההתקשרות מתאימה לביצוע על ידי עסקים קטנים ובינוניים בלי לפגוע בתוצרים המבוקשים</w:t>
      </w:r>
      <w:r w:rsidRPr="00CB20FE">
        <w:rPr>
          <w:rFonts w:cs="FrankRuehl" w:hint="cs"/>
          <w:sz w:val="20"/>
          <w:szCs w:val="22"/>
          <w:rtl/>
          <w:lang w:eastAsia="he-IL"/>
        </w:rPr>
        <w:t xml:space="preserve">; </w:t>
      </w:r>
      <w:r w:rsidR="000C468B">
        <w:rPr>
          <w:rFonts w:cs="FrankRuehl" w:hint="cs"/>
          <w:sz w:val="20"/>
          <w:szCs w:val="22"/>
          <w:rtl/>
          <w:lang w:eastAsia="he-IL"/>
        </w:rPr>
        <w:t xml:space="preserve">  </w:t>
      </w:r>
      <w:r w:rsidRPr="00CB20FE">
        <w:rPr>
          <w:rFonts w:cs="FrankRuehl" w:hint="cs"/>
          <w:sz w:val="20"/>
          <w:szCs w:val="22"/>
          <w:rtl/>
          <w:lang w:eastAsia="he-IL"/>
        </w:rPr>
        <w:t xml:space="preserve">(ב) </w:t>
      </w:r>
      <w:r w:rsidR="000C468B">
        <w:rPr>
          <w:rFonts w:cs="FrankRuehl" w:hint="cs"/>
          <w:sz w:val="20"/>
          <w:szCs w:val="22"/>
          <w:rtl/>
          <w:lang w:eastAsia="he-IL"/>
        </w:rPr>
        <w:t xml:space="preserve"> </w:t>
      </w:r>
      <w:bookmarkStart w:id="5" w:name="_GoBack"/>
      <w:bookmarkEnd w:id="5"/>
      <w:r w:rsidRPr="00CB20FE">
        <w:rPr>
          <w:rFonts w:cs="FrankRuehl" w:hint="cs"/>
          <w:sz w:val="20"/>
          <w:szCs w:val="22"/>
          <w:rtl/>
          <w:lang w:eastAsia="he-IL"/>
        </w:rPr>
        <w:t>האם היקף</w:t>
      </w:r>
      <w:r w:rsidRPr="00CB20FE">
        <w:rPr>
          <w:rFonts w:cs="FrankRuehl"/>
          <w:sz w:val="20"/>
          <w:szCs w:val="22"/>
          <w:rtl/>
          <w:lang w:eastAsia="he-IL"/>
        </w:rPr>
        <w:t xml:space="preserve"> </w:t>
      </w:r>
      <w:r w:rsidRPr="00CB20FE">
        <w:rPr>
          <w:rFonts w:cs="FrankRuehl" w:hint="cs"/>
          <w:sz w:val="20"/>
          <w:szCs w:val="22"/>
          <w:rtl/>
          <w:lang w:eastAsia="he-IL"/>
        </w:rPr>
        <w:t>ההתקשרות</w:t>
      </w:r>
      <w:r w:rsidRPr="00CB20FE">
        <w:rPr>
          <w:rFonts w:cs="FrankRuehl"/>
          <w:sz w:val="20"/>
          <w:szCs w:val="22"/>
          <w:rtl/>
          <w:lang w:eastAsia="he-IL"/>
        </w:rPr>
        <w:t xml:space="preserve"> </w:t>
      </w:r>
      <w:r w:rsidRPr="00CB20FE">
        <w:rPr>
          <w:rFonts w:cs="FrankRuehl" w:hint="cs"/>
          <w:sz w:val="20"/>
          <w:szCs w:val="22"/>
          <w:rtl/>
          <w:lang w:eastAsia="he-IL"/>
        </w:rPr>
        <w:t>אינו</w:t>
      </w:r>
      <w:r w:rsidRPr="00CB20FE">
        <w:rPr>
          <w:rFonts w:cs="FrankRuehl"/>
          <w:sz w:val="20"/>
          <w:szCs w:val="22"/>
          <w:rtl/>
          <w:lang w:eastAsia="he-IL"/>
        </w:rPr>
        <w:t xml:space="preserve"> </w:t>
      </w:r>
      <w:r w:rsidRPr="00CB20FE">
        <w:rPr>
          <w:rFonts w:cs="FrankRuehl" w:hint="cs"/>
          <w:sz w:val="20"/>
          <w:szCs w:val="22"/>
          <w:rtl/>
          <w:lang w:eastAsia="he-IL"/>
        </w:rPr>
        <w:t>מהווה</w:t>
      </w:r>
      <w:r w:rsidRPr="00CB20FE">
        <w:rPr>
          <w:rFonts w:cs="FrankRuehl"/>
          <w:sz w:val="20"/>
          <w:szCs w:val="22"/>
          <w:rtl/>
          <w:lang w:eastAsia="he-IL"/>
        </w:rPr>
        <w:t xml:space="preserve"> </w:t>
      </w:r>
      <w:r w:rsidRPr="00CB20FE">
        <w:rPr>
          <w:rFonts w:cs="FrankRuehl" w:hint="cs"/>
          <w:sz w:val="20"/>
          <w:szCs w:val="22"/>
          <w:rtl/>
          <w:lang w:eastAsia="he-IL"/>
        </w:rPr>
        <w:t>חסם</w:t>
      </w:r>
      <w:r w:rsidRPr="00CB20FE">
        <w:rPr>
          <w:rFonts w:cs="FrankRuehl"/>
          <w:sz w:val="20"/>
          <w:szCs w:val="22"/>
          <w:rtl/>
          <w:lang w:eastAsia="he-IL"/>
        </w:rPr>
        <w:t xml:space="preserve"> </w:t>
      </w:r>
      <w:r w:rsidRPr="00CB20FE">
        <w:rPr>
          <w:rFonts w:cs="FrankRuehl" w:hint="cs"/>
          <w:sz w:val="20"/>
          <w:szCs w:val="22"/>
          <w:rtl/>
          <w:lang w:eastAsia="he-IL"/>
        </w:rPr>
        <w:t>להשתתפות</w:t>
      </w:r>
      <w:r w:rsidRPr="00CB20FE">
        <w:rPr>
          <w:rFonts w:cs="FrankRuehl"/>
          <w:sz w:val="20"/>
          <w:szCs w:val="22"/>
          <w:rtl/>
          <w:lang w:eastAsia="he-IL"/>
        </w:rPr>
        <w:t xml:space="preserve"> </w:t>
      </w:r>
      <w:r w:rsidRPr="00CB20FE">
        <w:rPr>
          <w:rFonts w:cs="FrankRuehl" w:hint="cs"/>
          <w:sz w:val="20"/>
          <w:szCs w:val="22"/>
          <w:rtl/>
          <w:lang w:eastAsia="he-IL"/>
        </w:rPr>
        <w:t>עסקים</w:t>
      </w:r>
      <w:r w:rsidRPr="00CB20FE">
        <w:rPr>
          <w:rFonts w:cs="FrankRuehl"/>
          <w:sz w:val="20"/>
          <w:szCs w:val="22"/>
          <w:rtl/>
          <w:lang w:eastAsia="he-IL"/>
        </w:rPr>
        <w:t xml:space="preserve"> </w:t>
      </w:r>
      <w:r w:rsidRPr="00CB20FE">
        <w:rPr>
          <w:rFonts w:cs="FrankRuehl" w:hint="cs"/>
          <w:sz w:val="20"/>
          <w:szCs w:val="22"/>
          <w:rtl/>
          <w:lang w:eastAsia="he-IL"/>
        </w:rPr>
        <w:t>קטנים ובינוניים,</w:t>
      </w:r>
      <w:r w:rsidRPr="00CB20FE">
        <w:rPr>
          <w:rFonts w:cs="FrankRuehl"/>
          <w:sz w:val="20"/>
          <w:szCs w:val="22"/>
          <w:rtl/>
          <w:lang w:eastAsia="he-IL"/>
        </w:rPr>
        <w:t xml:space="preserve"> </w:t>
      </w:r>
      <w:r w:rsidRPr="00CB20FE">
        <w:rPr>
          <w:rFonts w:cs="FrankRuehl" w:hint="cs"/>
          <w:sz w:val="20"/>
          <w:szCs w:val="22"/>
          <w:rtl/>
          <w:lang w:eastAsia="he-IL"/>
        </w:rPr>
        <w:t>ואם</w:t>
      </w:r>
      <w:r w:rsidRPr="00CB20FE">
        <w:rPr>
          <w:rFonts w:cs="FrankRuehl"/>
          <w:sz w:val="20"/>
          <w:szCs w:val="22"/>
          <w:rtl/>
          <w:lang w:eastAsia="he-IL"/>
        </w:rPr>
        <w:t xml:space="preserve"> </w:t>
      </w:r>
      <w:r w:rsidRPr="00CB20FE">
        <w:rPr>
          <w:rFonts w:cs="FrankRuehl" w:hint="cs"/>
          <w:sz w:val="20"/>
          <w:szCs w:val="22"/>
          <w:rtl/>
          <w:lang w:eastAsia="he-IL"/>
        </w:rPr>
        <w:t>כן, האם אפשר</w:t>
      </w:r>
      <w:r w:rsidRPr="00CB20FE">
        <w:rPr>
          <w:rFonts w:cs="FrankRuehl" w:hint="cs"/>
          <w:sz w:val="20"/>
          <w:szCs w:val="22"/>
          <w:rtl/>
        </w:rPr>
        <w:t xml:space="preserve"> לצמצמו. בהוראה הזמנית של </w:t>
      </w:r>
      <w:r w:rsidRPr="00CB20FE">
        <w:rPr>
          <w:rFonts w:cs="FrankRuehl" w:hint="cs"/>
          <w:sz w:val="20"/>
          <w:szCs w:val="22"/>
          <w:rtl/>
        </w:rPr>
        <w:t>החשכ"ל</w:t>
      </w:r>
      <w:r w:rsidRPr="00CB20FE">
        <w:rPr>
          <w:rFonts w:cs="FrankRuehl" w:hint="cs"/>
          <w:sz w:val="20"/>
          <w:szCs w:val="22"/>
          <w:rtl/>
        </w:rPr>
        <w:t xml:space="preserve"> נקבע כי תוצאות הבחינה האמורה לעיל יובאו בפרוטוקול ועדת המכרזים של כל משרד. ועדה זו אמורה לסייע לעורכי המכרז לנסח את מסמכי המכרז בהתאם להוראות </w:t>
      </w:r>
      <w:r w:rsidRPr="00CB20FE">
        <w:rPr>
          <w:rFonts w:cs="FrankRuehl" w:hint="cs"/>
          <w:sz w:val="20"/>
          <w:szCs w:val="22"/>
          <w:rtl/>
        </w:rPr>
        <w:t>החשכ"ל</w:t>
      </w:r>
      <w:r w:rsidRPr="00CB20FE">
        <w:rPr>
          <w:rFonts w:cs="FrankRuehl" w:hint="cs"/>
          <w:sz w:val="20"/>
          <w:szCs w:val="22"/>
          <w:rtl/>
        </w:rPr>
        <w:t xml:space="preserve"> לפני פרסומו. עוד נאמר בהוראות כי על חשבי המשרדים הממשלתיים להעביר </w:t>
      </w:r>
      <w:r w:rsidRPr="00CB20FE">
        <w:rPr>
          <w:rFonts w:cs="FrankRuehl" w:hint="cs"/>
          <w:sz w:val="20"/>
          <w:szCs w:val="22"/>
          <w:rtl/>
        </w:rPr>
        <w:t>למינהל</w:t>
      </w:r>
      <w:r w:rsidRPr="00CB20FE">
        <w:rPr>
          <w:rFonts w:cs="FrankRuehl" w:hint="cs"/>
          <w:sz w:val="20"/>
          <w:szCs w:val="22"/>
          <w:rtl/>
        </w:rPr>
        <w:t xml:space="preserve"> הרכש </w:t>
      </w:r>
      <w:r w:rsidRPr="00CB20FE">
        <w:rPr>
          <w:rFonts w:cs="FrankRuehl" w:hint="cs"/>
          <w:sz w:val="20"/>
          <w:szCs w:val="22"/>
          <w:rtl/>
        </w:rPr>
        <w:t>בחשכ"ל</w:t>
      </w:r>
      <w:r w:rsidRPr="00CB20FE">
        <w:rPr>
          <w:rFonts w:cs="FrankRuehl" w:hint="cs"/>
          <w:sz w:val="20"/>
          <w:szCs w:val="22"/>
          <w:rtl/>
        </w:rPr>
        <w:t xml:space="preserve"> אחת לחצי שנה דוח שבו יפורט יישום הוראות </w:t>
      </w:r>
      <w:r w:rsidRPr="00CB20FE">
        <w:rPr>
          <w:rFonts w:cs="FrankRuehl" w:hint="cs"/>
          <w:sz w:val="20"/>
          <w:szCs w:val="22"/>
          <w:rtl/>
        </w:rPr>
        <w:t>החשכ"ל</w:t>
      </w:r>
      <w:r w:rsidRPr="00CB20FE">
        <w:rPr>
          <w:rFonts w:cs="FrankRuehl" w:hint="cs"/>
          <w:sz w:val="20"/>
          <w:szCs w:val="22"/>
          <w:rtl/>
        </w:rPr>
        <w:t xml:space="preserve"> על ידי ועדת המכרזים המשרדית. </w:t>
      </w:r>
      <w:r w:rsidRPr="00CB20FE">
        <w:rPr>
          <w:rFonts w:cs="FrankRuehl" w:hint="cs"/>
          <w:sz w:val="20"/>
          <w:szCs w:val="22"/>
          <w:rtl/>
          <w:lang w:eastAsia="he-IL"/>
        </w:rPr>
        <w:t xml:space="preserve">הדיווח הנדרש בכללי </w:t>
      </w:r>
      <w:r w:rsidRPr="00CB20FE">
        <w:rPr>
          <w:rFonts w:cs="FrankRuehl" w:hint="cs"/>
          <w:sz w:val="20"/>
          <w:szCs w:val="22"/>
          <w:rtl/>
          <w:lang w:eastAsia="he-IL"/>
        </w:rPr>
        <w:t>החשכ"ל</w:t>
      </w:r>
      <w:r w:rsidRPr="00CB20FE">
        <w:rPr>
          <w:rFonts w:cs="FrankRuehl" w:hint="cs"/>
          <w:sz w:val="20"/>
          <w:szCs w:val="22"/>
          <w:rtl/>
          <w:lang w:eastAsia="he-IL"/>
        </w:rPr>
        <w:t xml:space="preserve"> נועד לאיתור מקרים שבהם עדיין קיימים חסמים להשתתפות עסקים קטנים ובינוניים במכרזים של המשרדים הממשלתיים. </w:t>
      </w:r>
      <w:r w:rsidRPr="00CB20FE">
        <w:rPr>
          <w:rFonts w:cs="FrankRuehl" w:hint="cs"/>
          <w:sz w:val="20"/>
          <w:szCs w:val="22"/>
          <w:rtl/>
        </w:rPr>
        <w:t>מינהל</w:t>
      </w:r>
      <w:r w:rsidRPr="00CB20FE">
        <w:rPr>
          <w:rFonts w:cs="FrankRuehl" w:hint="cs"/>
          <w:sz w:val="20"/>
          <w:szCs w:val="22"/>
          <w:rtl/>
        </w:rPr>
        <w:t xml:space="preserve"> הרכש יקיים דיון אחת לחצי שנה בנושא הדוחות שהתקבלו ויפרסם את עיקרי הממצאים באתר האינטרנט של משרד האוצר.</w:t>
      </w:r>
    </w:p>
    <w:p w:rsidR="00E21817" w:rsidRPr="00CB20FE" w:rsidP="00484EEB">
      <w:pPr>
        <w:spacing w:after="240" w:line="230" w:lineRule="exact"/>
        <w:jc w:val="both"/>
        <w:rPr>
          <w:rFonts w:cs="FrankRuehl"/>
          <w:sz w:val="20"/>
          <w:szCs w:val="22"/>
          <w:rtl/>
          <w:lang w:eastAsia="he-IL"/>
        </w:rPr>
      </w:pPr>
      <w:r w:rsidRPr="00CB20FE">
        <w:rPr>
          <w:rFonts w:cs="FrankRuehl" w:hint="cs"/>
          <w:sz w:val="20"/>
          <w:szCs w:val="22"/>
          <w:rtl/>
          <w:lang w:eastAsia="he-IL"/>
        </w:rPr>
        <w:t>משרד</w:t>
      </w:r>
      <w:r w:rsidRPr="00CB20FE">
        <w:rPr>
          <w:rFonts w:cs="FrankRuehl"/>
          <w:sz w:val="20"/>
          <w:szCs w:val="22"/>
          <w:rtl/>
          <w:lang w:eastAsia="he-IL"/>
        </w:rPr>
        <w:t xml:space="preserve"> </w:t>
      </w:r>
      <w:r w:rsidRPr="00CB20FE">
        <w:rPr>
          <w:rFonts w:cs="FrankRuehl" w:hint="cs"/>
          <w:sz w:val="20"/>
          <w:szCs w:val="22"/>
          <w:rtl/>
          <w:lang w:eastAsia="he-IL"/>
        </w:rPr>
        <w:t>מבקר</w:t>
      </w:r>
      <w:r w:rsidRPr="00CB20FE">
        <w:rPr>
          <w:rFonts w:cs="FrankRuehl"/>
          <w:sz w:val="20"/>
          <w:szCs w:val="22"/>
          <w:rtl/>
          <w:lang w:eastAsia="he-IL"/>
        </w:rPr>
        <w:t xml:space="preserve"> </w:t>
      </w:r>
      <w:r w:rsidRPr="00CB20FE">
        <w:rPr>
          <w:rFonts w:cs="FrankRuehl" w:hint="cs"/>
          <w:sz w:val="20"/>
          <w:szCs w:val="22"/>
          <w:rtl/>
          <w:lang w:eastAsia="he-IL"/>
        </w:rPr>
        <w:t>המדינה</w:t>
      </w:r>
      <w:r w:rsidRPr="00CB20FE">
        <w:rPr>
          <w:rFonts w:cs="FrankRuehl"/>
          <w:sz w:val="20"/>
          <w:szCs w:val="22"/>
          <w:rtl/>
          <w:lang w:eastAsia="he-IL"/>
        </w:rPr>
        <w:t xml:space="preserve"> </w:t>
      </w:r>
      <w:r w:rsidRPr="00CB20FE">
        <w:rPr>
          <w:rFonts w:cs="FrankRuehl" w:hint="cs"/>
          <w:sz w:val="20"/>
          <w:szCs w:val="22"/>
          <w:rtl/>
          <w:lang w:eastAsia="he-IL"/>
        </w:rPr>
        <w:t>בדק</w:t>
      </w:r>
      <w:r w:rsidRPr="00CB20FE">
        <w:rPr>
          <w:rFonts w:cs="FrankRuehl"/>
          <w:sz w:val="20"/>
          <w:szCs w:val="22"/>
          <w:rtl/>
          <w:lang w:eastAsia="he-IL"/>
        </w:rPr>
        <w:t xml:space="preserve"> </w:t>
      </w:r>
      <w:r w:rsidRPr="00CB20FE">
        <w:rPr>
          <w:rFonts w:cs="FrankRuehl" w:hint="cs"/>
          <w:sz w:val="20"/>
          <w:szCs w:val="22"/>
          <w:rtl/>
          <w:lang w:eastAsia="he-IL"/>
        </w:rPr>
        <w:t>את</w:t>
      </w:r>
      <w:r w:rsidRPr="00CB20FE">
        <w:rPr>
          <w:rFonts w:cs="FrankRuehl"/>
          <w:sz w:val="20"/>
          <w:szCs w:val="22"/>
          <w:rtl/>
          <w:lang w:eastAsia="he-IL"/>
        </w:rPr>
        <w:t xml:space="preserve"> </w:t>
      </w:r>
      <w:r w:rsidRPr="00CB20FE">
        <w:rPr>
          <w:rFonts w:cs="FrankRuehl" w:hint="cs"/>
          <w:sz w:val="20"/>
          <w:szCs w:val="22"/>
          <w:rtl/>
          <w:lang w:eastAsia="he-IL"/>
        </w:rPr>
        <w:t>יישום</w:t>
      </w:r>
      <w:r w:rsidRPr="00CB20FE">
        <w:rPr>
          <w:rFonts w:cs="FrankRuehl"/>
          <w:sz w:val="20"/>
          <w:szCs w:val="22"/>
          <w:rtl/>
          <w:lang w:eastAsia="he-IL"/>
        </w:rPr>
        <w:t xml:space="preserve"> </w:t>
      </w:r>
      <w:r w:rsidRPr="00CB20FE">
        <w:rPr>
          <w:rFonts w:cs="FrankRuehl" w:hint="cs"/>
          <w:sz w:val="20"/>
          <w:szCs w:val="22"/>
          <w:rtl/>
          <w:lang w:eastAsia="he-IL"/>
        </w:rPr>
        <w:t xml:space="preserve">הוראות </w:t>
      </w:r>
      <w:r w:rsidRPr="00CB20FE">
        <w:rPr>
          <w:rFonts w:cs="FrankRuehl" w:hint="cs"/>
          <w:sz w:val="20"/>
          <w:szCs w:val="22"/>
          <w:rtl/>
          <w:lang w:eastAsia="he-IL"/>
        </w:rPr>
        <w:t>החשכ"ל</w:t>
      </w:r>
      <w:r w:rsidRPr="00CB20FE">
        <w:rPr>
          <w:rFonts w:cs="FrankRuehl" w:hint="cs"/>
          <w:sz w:val="20"/>
          <w:szCs w:val="22"/>
          <w:rtl/>
          <w:lang w:eastAsia="he-IL"/>
        </w:rPr>
        <w:t>. להלן מפורטים ממצאי הבדיקה.</w:t>
      </w:r>
    </w:p>
    <w:p w:rsidR="00E21817" w:rsidRPr="00CB20FE" w:rsidP="00484EEB">
      <w:pPr>
        <w:pStyle w:val="RESHET"/>
        <w:rPr>
          <w:rtl/>
        </w:rPr>
      </w:pPr>
      <w:r w:rsidRPr="00CB20FE">
        <w:rPr>
          <w:rFonts w:hint="cs"/>
          <w:rtl/>
        </w:rPr>
        <w:t xml:space="preserve">בדוח הקודם של מבקר המדינה נאמר שהחשבים של משרדי הממשלה לא העבירו את הדיווחים על ביצוע ההוראה הזמנית </w:t>
      </w:r>
      <w:r w:rsidRPr="00CB20FE">
        <w:rPr>
          <w:rFonts w:hint="cs"/>
          <w:rtl/>
        </w:rPr>
        <w:t>למינהל</w:t>
      </w:r>
      <w:r w:rsidRPr="00CB20FE">
        <w:rPr>
          <w:rFonts w:hint="cs"/>
          <w:rtl/>
        </w:rPr>
        <w:t xml:space="preserve"> הרכש כפי שנדרש בהוראות </w:t>
      </w:r>
      <w:r w:rsidRPr="00CB20FE">
        <w:rPr>
          <w:rFonts w:hint="cs"/>
          <w:rtl/>
        </w:rPr>
        <w:t>החשכ"ל</w:t>
      </w:r>
      <w:r w:rsidRPr="00CB20FE">
        <w:rPr>
          <w:rFonts w:hint="cs"/>
          <w:rtl/>
        </w:rPr>
        <w:t xml:space="preserve">. הביקורת הנוכחית העלתה כי </w:t>
      </w:r>
      <w:r w:rsidRPr="00CB20FE">
        <w:rPr>
          <w:rFonts w:hint="cs"/>
          <w:rtl/>
        </w:rPr>
        <w:t>מינהל</w:t>
      </w:r>
      <w:r w:rsidRPr="00CB20FE">
        <w:rPr>
          <w:rtl/>
        </w:rPr>
        <w:t xml:space="preserve"> הרכש אינו עושה בקרה על ועדות המכרזים המשרדי</w:t>
      </w:r>
      <w:r w:rsidRPr="00CB20FE">
        <w:rPr>
          <w:rFonts w:hint="cs"/>
          <w:rtl/>
        </w:rPr>
        <w:t>ות</w:t>
      </w:r>
      <w:r w:rsidRPr="00CB20FE">
        <w:rPr>
          <w:rtl/>
        </w:rPr>
        <w:t xml:space="preserve"> כדי </w:t>
      </w:r>
      <w:r w:rsidRPr="00CB20FE">
        <w:rPr>
          <w:rFonts w:hint="cs"/>
          <w:rtl/>
        </w:rPr>
        <w:t>לבחון</w:t>
      </w:r>
      <w:r w:rsidRPr="00CB20FE">
        <w:rPr>
          <w:rtl/>
        </w:rPr>
        <w:t xml:space="preserve"> </w:t>
      </w:r>
      <w:r w:rsidRPr="00CB20FE">
        <w:rPr>
          <w:rFonts w:hint="cs"/>
          <w:rtl/>
        </w:rPr>
        <w:t>האם</w:t>
      </w:r>
      <w:r w:rsidRPr="00CB20FE">
        <w:rPr>
          <w:rtl/>
        </w:rPr>
        <w:t xml:space="preserve"> </w:t>
      </w:r>
      <w:r w:rsidRPr="00CB20FE">
        <w:rPr>
          <w:rFonts w:hint="cs"/>
          <w:rtl/>
        </w:rPr>
        <w:t>הן</w:t>
      </w:r>
      <w:r w:rsidRPr="00CB20FE">
        <w:rPr>
          <w:rtl/>
        </w:rPr>
        <w:t xml:space="preserve"> </w:t>
      </w:r>
      <w:r w:rsidRPr="00CB20FE">
        <w:rPr>
          <w:rFonts w:hint="cs"/>
          <w:rtl/>
        </w:rPr>
        <w:t>פועלות</w:t>
      </w:r>
      <w:r w:rsidRPr="00CB20FE">
        <w:rPr>
          <w:rtl/>
        </w:rPr>
        <w:t xml:space="preserve"> </w:t>
      </w:r>
      <w:r w:rsidRPr="00CB20FE">
        <w:rPr>
          <w:rFonts w:hint="cs"/>
          <w:rtl/>
        </w:rPr>
        <w:t>בהתאם</w:t>
      </w:r>
      <w:r w:rsidRPr="00CB20FE">
        <w:rPr>
          <w:rtl/>
        </w:rPr>
        <w:t xml:space="preserve"> </w:t>
      </w:r>
      <w:r w:rsidRPr="00CB20FE">
        <w:rPr>
          <w:rFonts w:hint="cs"/>
          <w:rtl/>
        </w:rPr>
        <w:t xml:space="preserve">להוראות </w:t>
      </w:r>
      <w:r w:rsidRPr="00CB20FE">
        <w:rPr>
          <w:rFonts w:hint="cs"/>
          <w:rtl/>
        </w:rPr>
        <w:t>החשכ"ל</w:t>
      </w:r>
      <w:r w:rsidRPr="00CB20FE">
        <w:rPr>
          <w:rtl/>
        </w:rPr>
        <w:t>, וממילא אינו מפרסם באתר האינטרנט את ע</w:t>
      </w:r>
      <w:r w:rsidRPr="00CB20FE">
        <w:rPr>
          <w:rFonts w:hint="cs"/>
          <w:rtl/>
        </w:rPr>
        <w:t>יקרי</w:t>
      </w:r>
      <w:r w:rsidRPr="00CB20FE">
        <w:rPr>
          <w:rtl/>
        </w:rPr>
        <w:t xml:space="preserve"> </w:t>
      </w:r>
      <w:r w:rsidRPr="00CB20FE">
        <w:rPr>
          <w:rFonts w:hint="cs"/>
          <w:rtl/>
        </w:rPr>
        <w:t>הממצאים</w:t>
      </w:r>
      <w:r w:rsidRPr="00CB20FE">
        <w:rPr>
          <w:rtl/>
        </w:rPr>
        <w:t xml:space="preserve">. </w:t>
      </w:r>
      <w:r w:rsidRPr="00CB20FE">
        <w:rPr>
          <w:rFonts w:hint="cs"/>
          <w:rtl/>
        </w:rPr>
        <w:t>יצוין</w:t>
      </w:r>
      <w:r w:rsidRPr="00CB20FE">
        <w:rPr>
          <w:rtl/>
        </w:rPr>
        <w:t xml:space="preserve"> </w:t>
      </w:r>
      <w:r w:rsidRPr="00CB20FE">
        <w:rPr>
          <w:rFonts w:hint="cs"/>
          <w:rtl/>
        </w:rPr>
        <w:t xml:space="preserve">כי </w:t>
      </w:r>
      <w:r w:rsidRPr="00CB20FE">
        <w:rPr>
          <w:rtl/>
        </w:rPr>
        <w:t xml:space="preserve">בתחילת שנת 2014 פרסם </w:t>
      </w:r>
      <w:r w:rsidRPr="00CB20FE">
        <w:rPr>
          <w:rFonts w:hint="cs"/>
          <w:rtl/>
        </w:rPr>
        <w:t>מינהל</w:t>
      </w:r>
      <w:r w:rsidRPr="00CB20FE">
        <w:rPr>
          <w:rtl/>
        </w:rPr>
        <w:t xml:space="preserve"> הרכש נוסח פרוטוקול אחיד לוועדות מכרזים </w:t>
      </w:r>
      <w:r w:rsidRPr="00CB20FE">
        <w:rPr>
          <w:rFonts w:hint="cs"/>
          <w:rtl/>
        </w:rPr>
        <w:t>שנועד</w:t>
      </w:r>
      <w:r w:rsidRPr="00CB20FE">
        <w:rPr>
          <w:rtl/>
        </w:rPr>
        <w:t xml:space="preserve"> להגביר את ישימות ההוראה</w:t>
      </w:r>
      <w:r w:rsidRPr="00CB20FE">
        <w:rPr>
          <w:rFonts w:hint="cs"/>
          <w:rtl/>
        </w:rPr>
        <w:t xml:space="preserve"> הזמנית, והוא מצוי</w:t>
      </w:r>
      <w:r w:rsidRPr="00CB20FE">
        <w:rPr>
          <w:rtl/>
        </w:rPr>
        <w:t xml:space="preserve"> בתהליך הטמעה.</w:t>
      </w:r>
      <w:r w:rsidRPr="00CB20FE">
        <w:rPr>
          <w:rFonts w:hint="cs"/>
          <w:rtl/>
        </w:rPr>
        <w:t xml:space="preserve"> </w:t>
      </w:r>
    </w:p>
    <w:p w:rsidR="00E21817" w:rsidRPr="00CB20FE" w:rsidP="00484EEB">
      <w:pPr>
        <w:spacing w:before="180" w:after="120" w:line="230" w:lineRule="exact"/>
        <w:jc w:val="both"/>
        <w:rPr>
          <w:rFonts w:cs="FrankRuehl"/>
          <w:sz w:val="20"/>
          <w:szCs w:val="22"/>
          <w:rtl/>
          <w:lang w:eastAsia="he-IL"/>
        </w:rPr>
      </w:pPr>
      <w:r w:rsidRPr="00CB20FE">
        <w:rPr>
          <w:rFonts w:cs="FrankRuehl" w:hint="cs"/>
          <w:sz w:val="20"/>
          <w:szCs w:val="22"/>
          <w:rtl/>
          <w:lang w:eastAsia="he-IL"/>
        </w:rPr>
        <w:t>מינהל</w:t>
      </w:r>
      <w:r w:rsidRPr="00CB20FE">
        <w:rPr>
          <w:rFonts w:cs="FrankRuehl" w:hint="cs"/>
          <w:sz w:val="20"/>
          <w:szCs w:val="22"/>
          <w:rtl/>
          <w:lang w:eastAsia="he-IL"/>
        </w:rPr>
        <w:t xml:space="preserve"> הרכש מסר בדצמבר 2014 למשרד מבקר המדינה כי </w:t>
      </w:r>
      <w:r w:rsidRPr="00CB20FE">
        <w:rPr>
          <w:rFonts w:cs="FrankRuehl" w:hint="cs"/>
          <w:sz w:val="20"/>
          <w:szCs w:val="22"/>
          <w:rtl/>
        </w:rPr>
        <w:t>הוא</w:t>
      </w:r>
      <w:r w:rsidRPr="00CB20FE">
        <w:rPr>
          <w:rFonts w:cs="FrankRuehl"/>
          <w:sz w:val="20"/>
          <w:szCs w:val="22"/>
          <w:rtl/>
        </w:rPr>
        <w:t xml:space="preserve"> </w:t>
      </w:r>
      <w:r w:rsidRPr="00CB20FE">
        <w:rPr>
          <w:rFonts w:cs="FrankRuehl" w:hint="cs"/>
          <w:sz w:val="20"/>
          <w:szCs w:val="22"/>
          <w:rtl/>
        </w:rPr>
        <w:t>לא קיבל</w:t>
      </w:r>
      <w:r w:rsidRPr="00CB20FE">
        <w:rPr>
          <w:rFonts w:cs="FrankRuehl"/>
          <w:sz w:val="20"/>
          <w:szCs w:val="22"/>
          <w:rtl/>
        </w:rPr>
        <w:t xml:space="preserve"> את הדוחות החצי</w:t>
      </w:r>
      <w:r w:rsidRPr="00CB20FE">
        <w:rPr>
          <w:rFonts w:cs="FrankRuehl" w:hint="cs"/>
          <w:sz w:val="20"/>
          <w:szCs w:val="22"/>
          <w:rtl/>
        </w:rPr>
        <w:t>-</w:t>
      </w:r>
      <w:r w:rsidRPr="00CB20FE">
        <w:rPr>
          <w:rFonts w:cs="FrankRuehl"/>
          <w:sz w:val="20"/>
          <w:szCs w:val="22"/>
          <w:rtl/>
        </w:rPr>
        <w:t>שנתיים מוועדות המכרזי</w:t>
      </w:r>
      <w:r w:rsidRPr="00CB20FE">
        <w:rPr>
          <w:rFonts w:cs="FrankRuehl" w:hint="cs"/>
          <w:sz w:val="20"/>
          <w:szCs w:val="22"/>
          <w:rtl/>
        </w:rPr>
        <w:t>ם</w:t>
      </w:r>
      <w:r w:rsidRPr="00CB20FE">
        <w:rPr>
          <w:rFonts w:cs="FrankRuehl"/>
          <w:sz w:val="20"/>
          <w:szCs w:val="22"/>
          <w:rtl/>
        </w:rPr>
        <w:t xml:space="preserve"> </w:t>
      </w:r>
      <w:r w:rsidRPr="00CB20FE">
        <w:rPr>
          <w:rFonts w:cs="FrankRuehl" w:hint="cs"/>
          <w:sz w:val="20"/>
          <w:szCs w:val="22"/>
          <w:rtl/>
        </w:rPr>
        <w:t>של</w:t>
      </w:r>
      <w:r w:rsidRPr="00CB20FE">
        <w:rPr>
          <w:rFonts w:cs="FrankRuehl"/>
          <w:sz w:val="20"/>
          <w:szCs w:val="22"/>
          <w:rtl/>
        </w:rPr>
        <w:t xml:space="preserve"> </w:t>
      </w:r>
      <w:r w:rsidRPr="00CB20FE">
        <w:rPr>
          <w:rFonts w:cs="FrankRuehl" w:hint="cs"/>
          <w:sz w:val="20"/>
          <w:szCs w:val="22"/>
          <w:rtl/>
        </w:rPr>
        <w:t>משרדי</w:t>
      </w:r>
      <w:r w:rsidRPr="00CB20FE">
        <w:rPr>
          <w:rFonts w:cs="FrankRuehl"/>
          <w:sz w:val="20"/>
          <w:szCs w:val="22"/>
          <w:rtl/>
        </w:rPr>
        <w:t xml:space="preserve"> </w:t>
      </w:r>
      <w:r w:rsidRPr="00CB20FE">
        <w:rPr>
          <w:rFonts w:cs="FrankRuehl" w:hint="cs"/>
          <w:sz w:val="20"/>
          <w:szCs w:val="22"/>
          <w:rtl/>
        </w:rPr>
        <w:t>הממשלה</w:t>
      </w:r>
      <w:r w:rsidRPr="00CB20FE">
        <w:rPr>
          <w:rFonts w:cs="FrankRuehl"/>
          <w:sz w:val="20"/>
          <w:szCs w:val="22"/>
          <w:rtl/>
        </w:rPr>
        <w:t xml:space="preserve"> </w:t>
      </w:r>
      <w:r w:rsidRPr="00CB20FE">
        <w:rPr>
          <w:rFonts w:cs="FrankRuehl" w:hint="cs"/>
          <w:sz w:val="20"/>
          <w:szCs w:val="22"/>
          <w:rtl/>
        </w:rPr>
        <w:t>על</w:t>
      </w:r>
      <w:r w:rsidRPr="00CB20FE">
        <w:rPr>
          <w:rFonts w:cs="FrankRuehl"/>
          <w:sz w:val="20"/>
          <w:szCs w:val="22"/>
          <w:rtl/>
        </w:rPr>
        <w:t xml:space="preserve"> </w:t>
      </w:r>
      <w:r w:rsidRPr="00CB20FE">
        <w:rPr>
          <w:rFonts w:cs="FrankRuehl" w:hint="cs"/>
          <w:sz w:val="20"/>
          <w:szCs w:val="22"/>
          <w:rtl/>
        </w:rPr>
        <w:t>הפעילות</w:t>
      </w:r>
      <w:r w:rsidRPr="00CB20FE">
        <w:rPr>
          <w:rFonts w:cs="FrankRuehl"/>
          <w:sz w:val="20"/>
          <w:szCs w:val="22"/>
          <w:rtl/>
        </w:rPr>
        <w:t xml:space="preserve"> </w:t>
      </w:r>
      <w:r w:rsidRPr="00CB20FE">
        <w:rPr>
          <w:rFonts w:cs="FrankRuehl" w:hint="cs"/>
          <w:sz w:val="20"/>
          <w:szCs w:val="22"/>
          <w:rtl/>
        </w:rPr>
        <w:t>למניעת</w:t>
      </w:r>
      <w:r w:rsidRPr="00CB20FE">
        <w:rPr>
          <w:rFonts w:cs="FrankRuehl"/>
          <w:sz w:val="20"/>
          <w:szCs w:val="22"/>
          <w:rtl/>
        </w:rPr>
        <w:t xml:space="preserve"> חסמים לעסקים קטנים</w:t>
      </w:r>
      <w:r w:rsidRPr="00CB20FE">
        <w:rPr>
          <w:rFonts w:cs="FrankRuehl" w:hint="cs"/>
          <w:sz w:val="20"/>
          <w:szCs w:val="22"/>
          <w:rtl/>
        </w:rPr>
        <w:t xml:space="preserve"> ובינוניים. </w:t>
      </w:r>
      <w:r w:rsidRPr="00CB20FE">
        <w:rPr>
          <w:rFonts w:cs="FrankRuehl" w:hint="cs"/>
          <w:sz w:val="20"/>
          <w:szCs w:val="22"/>
          <w:rtl/>
        </w:rPr>
        <w:t>המינהל</w:t>
      </w:r>
      <w:r w:rsidRPr="00CB20FE">
        <w:rPr>
          <w:rFonts w:cs="FrankRuehl" w:hint="cs"/>
          <w:sz w:val="20"/>
          <w:szCs w:val="22"/>
          <w:rtl/>
        </w:rPr>
        <w:t xml:space="preserve"> הוסיף שבימים אלו הוא בוחן מחדש את מכלול הדיווחים השוטפים הנדרשים. עוד מסר </w:t>
      </w:r>
      <w:r w:rsidRPr="00CB20FE">
        <w:rPr>
          <w:rFonts w:cs="FrankRuehl" w:hint="cs"/>
          <w:sz w:val="20"/>
          <w:szCs w:val="22"/>
          <w:rtl/>
        </w:rPr>
        <w:t>מינהל</w:t>
      </w:r>
      <w:r w:rsidRPr="00CB20FE">
        <w:rPr>
          <w:rFonts w:cs="FrankRuehl" w:hint="cs"/>
          <w:sz w:val="20"/>
          <w:szCs w:val="22"/>
          <w:rtl/>
        </w:rPr>
        <w:t xml:space="preserve"> הרכש כי הוא החליט לשלב בהוראות </w:t>
      </w:r>
      <w:r w:rsidRPr="00CB20FE">
        <w:rPr>
          <w:rFonts w:cs="FrankRuehl" w:hint="cs"/>
          <w:sz w:val="20"/>
          <w:szCs w:val="22"/>
          <w:rtl/>
        </w:rPr>
        <w:t>תכ"ם</w:t>
      </w:r>
      <w:r w:rsidRPr="00CB20FE">
        <w:rPr>
          <w:rFonts w:cs="FrankRuehl" w:hint="cs"/>
          <w:sz w:val="20"/>
          <w:szCs w:val="22"/>
          <w:rtl/>
        </w:rPr>
        <w:t xml:space="preserve"> מנגנון המסדיר הליך פנייה של הסוכנות אל ועדות המכרזים המשרדיות בשאלות בנוגע להתקשרויות. מנגנון זה יאפשר לסוכנות להיות גורם מתריע בזמן אמת על חשש ליצירת חסם להשתתפות עסקים קטנים ובינוניים ברכש הממשלתי. </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החשכ"ל</w:t>
      </w:r>
      <w:r w:rsidRPr="00CB20FE">
        <w:rPr>
          <w:rFonts w:cs="FrankRuehl" w:hint="cs"/>
          <w:sz w:val="20"/>
          <w:szCs w:val="22"/>
          <w:rtl/>
          <w:lang w:eastAsia="he-IL"/>
        </w:rPr>
        <w:t xml:space="preserve"> מסר בתשובתו כי </w:t>
      </w:r>
      <w:r w:rsidRPr="00CB20FE">
        <w:rPr>
          <w:rFonts w:cs="FrankRuehl" w:hint="cs"/>
          <w:sz w:val="20"/>
          <w:szCs w:val="22"/>
          <w:rtl/>
          <w:lang w:eastAsia="he-IL"/>
        </w:rPr>
        <w:t>מינהל</w:t>
      </w:r>
      <w:r w:rsidRPr="00CB20FE">
        <w:rPr>
          <w:rFonts w:cs="FrankRuehl" w:hint="cs"/>
          <w:sz w:val="20"/>
          <w:szCs w:val="22"/>
          <w:rtl/>
          <w:lang w:eastAsia="he-IL"/>
        </w:rPr>
        <w:t xml:space="preserve"> הרכש מבצע, בסיוע רשות המסים, אפיון של ספקי הממשלה על מנת לאמוד את שיעור הרכש מספקים שהם עסקים קטנים או בינוניים מתוך סך הרכש הממשלתי. </w:t>
      </w:r>
      <w:r w:rsidRPr="00CB20FE">
        <w:rPr>
          <w:rFonts w:cs="FrankRuehl" w:hint="cs"/>
          <w:sz w:val="20"/>
          <w:szCs w:val="22"/>
          <w:rtl/>
          <w:lang w:eastAsia="he-IL"/>
        </w:rPr>
        <w:t>מינהל</w:t>
      </w:r>
      <w:r w:rsidRPr="00CB20FE">
        <w:rPr>
          <w:rFonts w:cs="FrankRuehl" w:hint="cs"/>
          <w:sz w:val="20"/>
          <w:szCs w:val="22"/>
          <w:rtl/>
          <w:lang w:eastAsia="he-IL"/>
        </w:rPr>
        <w:t xml:space="preserve"> הרכש אף שוקד על ניתוח נתוני הרכש הממשלתי מספקים שהם עסקים קטנים ובינוניים. עוד נמסר כי עד מאי 2015 התקבלו דיווחים של כ-10 משרדי ממשלה (מתוך 24 משרדים האמורים לדווח), ואיסוף הדיווחים עתיד להסתיים ביוני 2015. </w:t>
      </w:r>
    </w:p>
    <w:p w:rsidR="00E21817" w:rsidRPr="00CB20FE" w:rsidP="00484EEB">
      <w:pPr>
        <w:spacing w:after="120" w:line="230" w:lineRule="exact"/>
        <w:jc w:val="both"/>
        <w:rPr>
          <w:rFonts w:cs="FrankRuehl"/>
          <w:sz w:val="20"/>
          <w:szCs w:val="22"/>
          <w:rtl/>
        </w:rPr>
      </w:pPr>
      <w:r w:rsidRPr="001C54DB">
        <w:rPr>
          <w:rStyle w:val="Heading5Char"/>
          <w:rFonts w:cs="FrankRuehl" w:hint="cs"/>
          <w:spacing w:val="40"/>
          <w:sz w:val="20"/>
          <w:szCs w:val="22"/>
          <w:rtl/>
        </w:rPr>
        <w:t>איתור</w:t>
      </w:r>
      <w:r w:rsidRPr="001C54DB">
        <w:rPr>
          <w:rStyle w:val="Heading5Char"/>
          <w:rFonts w:cs="FrankRuehl"/>
          <w:spacing w:val="40"/>
          <w:sz w:val="20"/>
          <w:szCs w:val="22"/>
          <w:rtl/>
        </w:rPr>
        <w:t xml:space="preserve"> </w:t>
      </w:r>
      <w:r w:rsidRPr="001C54DB">
        <w:rPr>
          <w:rStyle w:val="Heading5Char"/>
          <w:rFonts w:cs="FrankRuehl" w:hint="cs"/>
          <w:spacing w:val="40"/>
          <w:sz w:val="20"/>
          <w:szCs w:val="22"/>
          <w:rtl/>
        </w:rPr>
        <w:t>חסמים</w:t>
      </w:r>
      <w:r w:rsidRPr="001C54DB">
        <w:rPr>
          <w:rStyle w:val="Heading5Char"/>
          <w:rFonts w:cs="FrankRuehl"/>
          <w:spacing w:val="40"/>
          <w:sz w:val="20"/>
          <w:szCs w:val="22"/>
          <w:rtl/>
        </w:rPr>
        <w:t xml:space="preserve"> </w:t>
      </w:r>
      <w:r w:rsidRPr="001C54DB">
        <w:rPr>
          <w:rStyle w:val="Heading5Char"/>
          <w:rFonts w:cs="FrankRuehl" w:hint="cs"/>
          <w:spacing w:val="40"/>
          <w:sz w:val="20"/>
          <w:szCs w:val="22"/>
          <w:rtl/>
        </w:rPr>
        <w:t>במכרזים</w:t>
      </w:r>
      <w:r w:rsidRPr="001C54DB">
        <w:rPr>
          <w:rStyle w:val="Heading5Char"/>
          <w:rFonts w:cs="FrankRuehl"/>
          <w:spacing w:val="40"/>
          <w:sz w:val="20"/>
          <w:szCs w:val="22"/>
          <w:rtl/>
        </w:rPr>
        <w:t xml:space="preserve"> </w:t>
      </w:r>
      <w:r w:rsidRPr="001C54DB">
        <w:rPr>
          <w:rStyle w:val="Heading5Char"/>
          <w:rFonts w:cs="FrankRuehl" w:hint="cs"/>
          <w:spacing w:val="40"/>
          <w:sz w:val="20"/>
          <w:szCs w:val="22"/>
          <w:rtl/>
        </w:rPr>
        <w:t>לרכש</w:t>
      </w:r>
      <w:r w:rsidRPr="001C54DB">
        <w:rPr>
          <w:rStyle w:val="Heading5Char"/>
          <w:rFonts w:cs="FrankRuehl"/>
          <w:spacing w:val="40"/>
          <w:sz w:val="20"/>
          <w:szCs w:val="22"/>
          <w:rtl/>
        </w:rPr>
        <w:t xml:space="preserve"> </w:t>
      </w:r>
      <w:r w:rsidRPr="001C54DB">
        <w:rPr>
          <w:rStyle w:val="Heading5Char"/>
          <w:rFonts w:cs="FrankRuehl" w:hint="cs"/>
          <w:spacing w:val="40"/>
          <w:sz w:val="20"/>
          <w:szCs w:val="22"/>
          <w:rtl/>
        </w:rPr>
        <w:t>ציבורי</w:t>
      </w:r>
      <w:r>
        <w:rPr>
          <w:rStyle w:val="FootnoteReference"/>
          <w:rFonts w:cs="FrankRuehl"/>
          <w:b/>
          <w:bCs/>
          <w:sz w:val="20"/>
          <w:szCs w:val="22"/>
          <w:rtl/>
        </w:rPr>
        <w:footnoteReference w:id="23"/>
      </w:r>
      <w:r w:rsidR="00555376">
        <w:rPr>
          <w:rStyle w:val="Heading7Char"/>
          <w:rFonts w:cs="FrankRuehl"/>
          <w:sz w:val="20"/>
          <w:szCs w:val="22"/>
          <w:rtl/>
        </w:rPr>
        <w:t>:</w:t>
      </w:r>
      <w:r w:rsidRPr="00CB20FE">
        <w:rPr>
          <w:rStyle w:val="Heading7Char"/>
          <w:rFonts w:cs="FrankRuehl"/>
          <w:sz w:val="20"/>
          <w:szCs w:val="22"/>
          <w:rtl/>
        </w:rPr>
        <w:t xml:space="preserve"> </w:t>
      </w:r>
      <w:r w:rsidRPr="00CB20FE">
        <w:rPr>
          <w:rFonts w:cs="FrankRuehl" w:hint="cs"/>
          <w:sz w:val="20"/>
          <w:szCs w:val="22"/>
          <w:rtl/>
        </w:rPr>
        <w:t xml:space="preserve">החלטת הממשלה מ-2011 לקידום השתתפות עסקים קטנים ובינוניים במכרזים חלה רק על משרדי ממשלה ולא על גופים שהמדינה שותפה לניהולם, מתקצבת אותם או מפקחת על ניהולם, כגון רשויות מקומיות, חברות ממשלתיות, קופות חולים ומוסדות להשכלה גבוהה. נמצא כי הסוכנות אינה פועלת לאתר חסמים במכרזים שמפרסמים גופים ציבוריים ואינה מטפלת בהם, וגם לא פונה </w:t>
      </w:r>
      <w:r w:rsidRPr="00CB20FE">
        <w:rPr>
          <w:rFonts w:cs="FrankRuehl" w:hint="cs"/>
          <w:sz w:val="20"/>
          <w:szCs w:val="22"/>
          <w:rtl/>
        </w:rPr>
        <w:t>למאסדרים</w:t>
      </w:r>
      <w:r w:rsidRPr="00CB20FE">
        <w:rPr>
          <w:rFonts w:cs="FrankRuehl" w:hint="cs"/>
          <w:sz w:val="20"/>
          <w:szCs w:val="22"/>
          <w:rtl/>
        </w:rPr>
        <w:t xml:space="preserve"> של הגופים הללו כדי לקדם את שילובם של עסקים קטנים ובינוניים במכרזיהם. בדיקת משרד מבקר המדינה העלתה כי משרד הפנים, המאסדר של רשויות המקומיות, אינו פועל לאתר במכרזים של רשויות מקומיות חסמים להשתתפות של עסקים קטנים ובינוניים.</w:t>
      </w:r>
    </w:p>
    <w:p w:rsidR="00E21817" w:rsidRPr="00CB20FE" w:rsidP="00484EEB">
      <w:pPr>
        <w:spacing w:after="240" w:line="230" w:lineRule="exact"/>
        <w:jc w:val="both"/>
        <w:rPr>
          <w:rFonts w:cs="FrankRuehl"/>
          <w:color w:val="000000"/>
          <w:sz w:val="20"/>
          <w:szCs w:val="22"/>
          <w:rtl/>
        </w:rPr>
      </w:pPr>
      <w:r w:rsidRPr="00CB20FE">
        <w:rPr>
          <w:rFonts w:cs="FrankRuehl" w:hint="cs"/>
          <w:color w:val="000000"/>
          <w:sz w:val="20"/>
          <w:szCs w:val="22"/>
          <w:rtl/>
        </w:rPr>
        <w:t xml:space="preserve">בתשובה שמסר משרד הפנים למשרד מבקר המדינה באפריל 2015 (להלן </w:t>
      </w:r>
      <w:r w:rsidRPr="00CB20FE">
        <w:rPr>
          <w:rFonts w:cs="FrankRuehl"/>
          <w:color w:val="000000"/>
          <w:sz w:val="20"/>
          <w:szCs w:val="22"/>
          <w:rtl/>
        </w:rPr>
        <w:t>-</w:t>
      </w:r>
      <w:r w:rsidRPr="00CB20FE">
        <w:rPr>
          <w:rFonts w:cs="FrankRuehl" w:hint="cs"/>
          <w:color w:val="000000"/>
          <w:sz w:val="20"/>
          <w:szCs w:val="22"/>
          <w:rtl/>
        </w:rPr>
        <w:t xml:space="preserve"> תשובת משרד הפנים) צוין כי "</w:t>
      </w:r>
      <w:r w:rsidRPr="00CB20FE">
        <w:rPr>
          <w:rFonts w:cs="FrankRuehl"/>
          <w:color w:val="000000"/>
          <w:sz w:val="20"/>
          <w:szCs w:val="22"/>
          <w:rtl/>
        </w:rPr>
        <w:t xml:space="preserve">רשויות מקומיות </w:t>
      </w:r>
      <w:r w:rsidRPr="00CB20FE">
        <w:rPr>
          <w:rFonts w:cs="FrankRuehl" w:hint="cs"/>
          <w:color w:val="000000"/>
          <w:sz w:val="20"/>
          <w:szCs w:val="22"/>
          <w:rtl/>
        </w:rPr>
        <w:t>הן</w:t>
      </w:r>
      <w:r w:rsidRPr="00CB20FE">
        <w:rPr>
          <w:rFonts w:cs="FrankRuehl"/>
          <w:color w:val="000000"/>
          <w:sz w:val="20"/>
          <w:szCs w:val="22"/>
          <w:rtl/>
        </w:rPr>
        <w:t xml:space="preserve"> גופים שלטוניים עצמאים וכל רשות מקומית קובעת לעצמה את התנאים במכרזים אותם היא מפרסמת בהתאם לשיקול דעתה ולצרכיה.</w:t>
      </w:r>
      <w:r w:rsidRPr="00CB20FE">
        <w:rPr>
          <w:rFonts w:cs="FrankRuehl" w:hint="cs"/>
          <w:color w:val="000000"/>
          <w:sz w:val="20"/>
          <w:szCs w:val="22"/>
          <w:rtl/>
        </w:rPr>
        <w:t xml:space="preserve"> </w:t>
      </w:r>
      <w:r w:rsidRPr="00CB20FE">
        <w:rPr>
          <w:rFonts w:cs="FrankRuehl"/>
          <w:color w:val="000000"/>
          <w:sz w:val="20"/>
          <w:szCs w:val="22"/>
          <w:rtl/>
        </w:rPr>
        <w:t>הרשויות המקומיות פועלות בהתאם לתקנות העיריות</w:t>
      </w:r>
      <w:r w:rsidRPr="00CB20FE">
        <w:rPr>
          <w:rFonts w:cs="FrankRuehl" w:hint="cs"/>
          <w:color w:val="000000"/>
          <w:sz w:val="20"/>
          <w:szCs w:val="22"/>
          <w:rtl/>
        </w:rPr>
        <w:t xml:space="preserve"> (</w:t>
      </w:r>
      <w:r w:rsidRPr="00CB20FE">
        <w:rPr>
          <w:rFonts w:cs="FrankRuehl"/>
          <w:color w:val="000000"/>
          <w:sz w:val="20"/>
          <w:szCs w:val="22"/>
          <w:rtl/>
        </w:rPr>
        <w:t>מכרזי</w:t>
      </w:r>
      <w:r w:rsidRPr="00CB20FE">
        <w:rPr>
          <w:rFonts w:cs="FrankRuehl" w:hint="cs"/>
          <w:color w:val="000000"/>
          <w:sz w:val="20"/>
          <w:szCs w:val="22"/>
          <w:rtl/>
        </w:rPr>
        <w:t>ם)</w:t>
      </w:r>
      <w:r w:rsidRPr="00CB20FE">
        <w:rPr>
          <w:rFonts w:cs="FrankRuehl"/>
          <w:color w:val="000000"/>
          <w:sz w:val="20"/>
          <w:szCs w:val="22"/>
          <w:rtl/>
        </w:rPr>
        <w:t xml:space="preserve"> ולכללים שנקבעו בתקנות וכפוף לכל דין לרבות כללי המשפט המנהלי.</w:t>
      </w:r>
      <w:r w:rsidRPr="00CB20FE">
        <w:rPr>
          <w:rFonts w:cs="FrankRuehl" w:hint="cs"/>
          <w:color w:val="000000"/>
          <w:sz w:val="20"/>
          <w:szCs w:val="22"/>
          <w:rtl/>
        </w:rPr>
        <w:t xml:space="preserve"> </w:t>
      </w:r>
      <w:r w:rsidRPr="00CB20FE">
        <w:rPr>
          <w:rFonts w:cs="FrankRuehl"/>
          <w:color w:val="000000"/>
          <w:sz w:val="20"/>
          <w:szCs w:val="22"/>
          <w:rtl/>
        </w:rPr>
        <w:t xml:space="preserve">כחלק ממדיניות המשרד </w:t>
      </w:r>
      <w:r w:rsidRPr="00CB20FE">
        <w:rPr>
          <w:rFonts w:cs="FrankRuehl" w:hint="cs"/>
          <w:color w:val="000000"/>
          <w:sz w:val="20"/>
          <w:szCs w:val="22"/>
          <w:rtl/>
        </w:rPr>
        <w:t xml:space="preserve">מבוצעות פעולות על מנת </w:t>
      </w:r>
      <w:r w:rsidRPr="00CB20FE">
        <w:rPr>
          <w:rFonts w:cs="FrankRuehl"/>
          <w:color w:val="000000"/>
          <w:sz w:val="20"/>
          <w:szCs w:val="22"/>
          <w:rtl/>
        </w:rPr>
        <w:t>לבזר סמכויות לרשויות</w:t>
      </w:r>
      <w:r w:rsidRPr="00CB20FE">
        <w:rPr>
          <w:rFonts w:cs="FrankRuehl" w:hint="cs"/>
          <w:color w:val="000000"/>
          <w:sz w:val="20"/>
          <w:szCs w:val="22"/>
          <w:rtl/>
        </w:rPr>
        <w:t xml:space="preserve"> המקומיות,</w:t>
      </w:r>
      <w:r w:rsidRPr="00CB20FE">
        <w:rPr>
          <w:rFonts w:cs="FrankRuehl"/>
          <w:color w:val="000000"/>
          <w:sz w:val="20"/>
          <w:szCs w:val="22"/>
          <w:rtl/>
        </w:rPr>
        <w:t xml:space="preserve"> עם זאת </w:t>
      </w:r>
      <w:r w:rsidRPr="00CB20FE">
        <w:rPr>
          <w:rFonts w:cs="FrankRuehl" w:hint="cs"/>
          <w:color w:val="000000"/>
          <w:sz w:val="20"/>
          <w:szCs w:val="22"/>
          <w:rtl/>
        </w:rPr>
        <w:t>ו</w:t>
      </w:r>
      <w:r w:rsidRPr="00CB20FE">
        <w:rPr>
          <w:rFonts w:cs="FrankRuehl"/>
          <w:color w:val="000000"/>
          <w:sz w:val="20"/>
          <w:szCs w:val="22"/>
          <w:rtl/>
        </w:rPr>
        <w:t>ככל שי</w:t>
      </w:r>
      <w:r w:rsidRPr="00CB20FE">
        <w:rPr>
          <w:rFonts w:cs="FrankRuehl" w:hint="cs"/>
          <w:color w:val="000000"/>
          <w:sz w:val="20"/>
          <w:szCs w:val="22"/>
          <w:rtl/>
        </w:rPr>
        <w:t>וצע</w:t>
      </w:r>
      <w:r w:rsidRPr="00CB20FE">
        <w:rPr>
          <w:rFonts w:cs="FrankRuehl"/>
          <w:color w:val="000000"/>
          <w:sz w:val="20"/>
          <w:szCs w:val="22"/>
          <w:rtl/>
        </w:rPr>
        <w:t xml:space="preserve"> </w:t>
      </w:r>
      <w:r w:rsidRPr="00CB20FE">
        <w:rPr>
          <w:rFonts w:cs="FrankRuehl" w:hint="cs"/>
          <w:color w:val="000000"/>
          <w:sz w:val="20"/>
          <w:szCs w:val="22"/>
          <w:rtl/>
        </w:rPr>
        <w:t>ל</w:t>
      </w:r>
      <w:r w:rsidRPr="00CB20FE">
        <w:rPr>
          <w:rFonts w:cs="FrankRuehl"/>
          <w:color w:val="000000"/>
          <w:sz w:val="20"/>
          <w:szCs w:val="22"/>
          <w:rtl/>
        </w:rPr>
        <w:t>משרד הפנים לקחת חלק ביוזמה של הסוכנות</w:t>
      </w:r>
      <w:r w:rsidRPr="00CB20FE">
        <w:rPr>
          <w:rFonts w:cs="FrankRuehl" w:hint="cs"/>
          <w:color w:val="000000"/>
          <w:sz w:val="20"/>
          <w:szCs w:val="22"/>
          <w:rtl/>
        </w:rPr>
        <w:t xml:space="preserve">, משרד הפנים באמצעות </w:t>
      </w:r>
      <w:r w:rsidRPr="00CB20FE">
        <w:rPr>
          <w:rFonts w:cs="FrankRuehl"/>
          <w:color w:val="000000"/>
          <w:sz w:val="20"/>
          <w:szCs w:val="22"/>
          <w:rtl/>
        </w:rPr>
        <w:t>המינהל</w:t>
      </w:r>
      <w:r w:rsidRPr="00CB20FE">
        <w:rPr>
          <w:rFonts w:cs="FrankRuehl"/>
          <w:color w:val="000000"/>
          <w:sz w:val="20"/>
          <w:szCs w:val="22"/>
          <w:rtl/>
        </w:rPr>
        <w:t xml:space="preserve"> לשלטון מקומי </w:t>
      </w:r>
      <w:r w:rsidRPr="00CB20FE">
        <w:rPr>
          <w:rFonts w:cs="FrankRuehl" w:hint="cs"/>
          <w:color w:val="000000"/>
          <w:sz w:val="20"/>
          <w:szCs w:val="22"/>
          <w:rtl/>
        </w:rPr>
        <w:t>יסייע</w:t>
      </w:r>
      <w:r w:rsidRPr="00CB20FE">
        <w:rPr>
          <w:rFonts w:cs="FrankRuehl"/>
          <w:color w:val="000000"/>
          <w:sz w:val="20"/>
          <w:szCs w:val="22"/>
          <w:rtl/>
        </w:rPr>
        <w:t xml:space="preserve"> לפי הצורך בנושא</w:t>
      </w:r>
      <w:r w:rsidRPr="00CB20FE">
        <w:rPr>
          <w:rFonts w:cs="FrankRuehl" w:hint="cs"/>
          <w:color w:val="000000"/>
          <w:sz w:val="20"/>
          <w:szCs w:val="22"/>
          <w:rtl/>
        </w:rPr>
        <w:t>".</w:t>
      </w:r>
    </w:p>
    <w:p w:rsidR="00E21817" w:rsidRPr="00CB20FE" w:rsidP="00484EEB">
      <w:pPr>
        <w:pStyle w:val="RESHET"/>
      </w:pPr>
      <w:r w:rsidRPr="00CB20FE">
        <w:rPr>
          <w:rtl/>
        </w:rPr>
        <w:t>לדעת משרד מבקר המדינה, על הסוכנות ל</w:t>
      </w:r>
      <w:r w:rsidRPr="00CB20FE">
        <w:rPr>
          <w:rFonts w:hint="cs"/>
          <w:rtl/>
        </w:rPr>
        <w:t>שקול</w:t>
      </w:r>
      <w:r w:rsidRPr="00CB20FE">
        <w:rPr>
          <w:rtl/>
        </w:rPr>
        <w:t>, בשיתוף משרד הפנים כמאסדר של הרשויות המקומיות, קביעת כללים שוויוניים לקידום שילובם של עסקים קטנים ובינוניים במכרזי הרשויות המקומיות בלי לפגוע בשאיפתן לפעול ביעילות ו</w:t>
      </w:r>
      <w:r w:rsidRPr="00CB20FE">
        <w:rPr>
          <w:rFonts w:hint="cs"/>
          <w:rtl/>
        </w:rPr>
        <w:t>ב</w:t>
      </w:r>
      <w:r w:rsidRPr="00CB20FE">
        <w:rPr>
          <w:rtl/>
        </w:rPr>
        <w:t>חיסכון, וזאת</w:t>
      </w:r>
      <w:r w:rsidRPr="00CB20FE">
        <w:rPr>
          <w:rFonts w:hint="cs"/>
          <w:rtl/>
        </w:rPr>
        <w:t xml:space="preserve"> בדומה </w:t>
      </w:r>
      <w:r w:rsidRPr="00CB20FE">
        <w:rPr>
          <w:rtl/>
        </w:rPr>
        <w:t xml:space="preserve">להחלטת הממשלה </w:t>
      </w:r>
      <w:r w:rsidRPr="00CB20FE">
        <w:rPr>
          <w:rFonts w:hint="cs"/>
          <w:rtl/>
        </w:rPr>
        <w:t>מ</w:t>
      </w:r>
      <w:r w:rsidRPr="00CB20FE">
        <w:rPr>
          <w:rtl/>
        </w:rPr>
        <w:t xml:space="preserve">-2011 </w:t>
      </w:r>
      <w:r w:rsidRPr="00CB20FE">
        <w:rPr>
          <w:rFonts w:hint="cs"/>
          <w:rtl/>
        </w:rPr>
        <w:t>והראות</w:t>
      </w:r>
      <w:r w:rsidRPr="00CB20FE">
        <w:rPr>
          <w:rtl/>
        </w:rPr>
        <w:t xml:space="preserve"> </w:t>
      </w:r>
      <w:r w:rsidRPr="00CB20FE">
        <w:rPr>
          <w:rtl/>
        </w:rPr>
        <w:t>החשכ"ל</w:t>
      </w:r>
      <w:r w:rsidRPr="00CB20FE">
        <w:rPr>
          <w:rtl/>
        </w:rPr>
        <w:t xml:space="preserve"> בנוגע למשרדי ממשלה. כמו כן על משרד הכלכלה והסוכנות לבחון את הדרך ליצור שיתוף פעולה עם </w:t>
      </w:r>
      <w:r w:rsidRPr="00CB20FE">
        <w:rPr>
          <w:rtl/>
        </w:rPr>
        <w:t>המאסדרים</w:t>
      </w:r>
      <w:r w:rsidRPr="00CB20FE">
        <w:rPr>
          <w:rtl/>
        </w:rPr>
        <w:t xml:space="preserve"> האחראים </w:t>
      </w:r>
      <w:r w:rsidRPr="00CB20FE">
        <w:rPr>
          <w:rFonts w:hint="cs"/>
          <w:rtl/>
        </w:rPr>
        <w:t xml:space="preserve">על גופים המבצעים </w:t>
      </w:r>
      <w:r w:rsidRPr="00CB20FE">
        <w:rPr>
          <w:rtl/>
        </w:rPr>
        <w:t xml:space="preserve">רכש ציבורי כדי לאתר ולהסיר חסמים המקשים על השתתפות עסקים קטנים ובינוניים במכרזים. </w:t>
      </w:r>
      <w:r w:rsidRPr="00CB20FE">
        <w:rPr>
          <w:rFonts w:hint="cs"/>
          <w:rtl/>
        </w:rPr>
        <w:t>בהתאם ל</w:t>
      </w:r>
      <w:r w:rsidRPr="00CB20FE">
        <w:rPr>
          <w:rtl/>
        </w:rPr>
        <w:t xml:space="preserve">קביעת סרגלים עבור רשויות מקומיות וגופים ציבוריים אחרים, </w:t>
      </w:r>
      <w:r w:rsidRPr="00CB20FE">
        <w:rPr>
          <w:rFonts w:hint="cs"/>
          <w:rtl/>
        </w:rPr>
        <w:t xml:space="preserve">תוכל </w:t>
      </w:r>
      <w:r w:rsidRPr="00CB20FE">
        <w:rPr>
          <w:rtl/>
        </w:rPr>
        <w:t xml:space="preserve">הסוכנות להרחיב את פעולותיה לאתר ולהתריע על מכרזים שבהם מופיעים חסמים. </w:t>
      </w:r>
    </w:p>
    <w:p w:rsidR="00E21817" w:rsidRPr="00CB20FE" w:rsidP="00484EEB">
      <w:pPr>
        <w:spacing w:before="180" w:after="120" w:line="230" w:lineRule="exact"/>
        <w:ind w:left="-1"/>
        <w:jc w:val="both"/>
        <w:rPr>
          <w:rFonts w:cs="FrankRuehl"/>
          <w:sz w:val="20"/>
          <w:szCs w:val="22"/>
          <w:rtl/>
        </w:rPr>
      </w:pPr>
      <w:r w:rsidRPr="00CB20FE">
        <w:rPr>
          <w:rFonts w:cs="FrankRuehl" w:hint="cs"/>
          <w:sz w:val="20"/>
          <w:szCs w:val="22"/>
          <w:rtl/>
        </w:rPr>
        <w:t xml:space="preserve">באוגוסט 2014 התחילה הסוכנות לבחון, באמצעות חברה המספקת לה שירותי בקרה שבועית (להלן - חברת הבקרה), את המכרזים שפרסמו 24 משרדי הממשלה באתרי האינטרנט שלהם. הבדיקה נועדה לאתר חסמים המונעים מעסקים קטנים ובינוניים להגיש הצעות למכרז או מקשים עליהם שלא לצורך. על חברת הבקרה הוטל אפוא לבחון במכרזים המיועדים גם לעסקים קטנים ובינוניים אם קיימים חסמים כגון תנאי סף או דרישות המונעים מהם להשתתף בהם. אם חברת הבקרה מוצאת חסמים כאמור, הסוכנות אמורה להודיע על כך </w:t>
      </w:r>
      <w:r w:rsidRPr="00CB20FE">
        <w:rPr>
          <w:rFonts w:cs="FrankRuehl" w:hint="cs"/>
          <w:sz w:val="20"/>
          <w:szCs w:val="22"/>
          <w:rtl/>
        </w:rPr>
        <w:t>לחשכ"ל</w:t>
      </w:r>
      <w:r w:rsidRPr="00CB20FE">
        <w:rPr>
          <w:rFonts w:cs="FrankRuehl" w:hint="cs"/>
          <w:sz w:val="20"/>
          <w:szCs w:val="22"/>
          <w:rtl/>
        </w:rPr>
        <w:t xml:space="preserve">, </w:t>
      </w:r>
      <w:r w:rsidRPr="00CB20FE">
        <w:rPr>
          <w:rFonts w:cs="FrankRuehl" w:hint="cs"/>
          <w:sz w:val="20"/>
          <w:szCs w:val="22"/>
          <w:rtl/>
        </w:rPr>
        <w:t>והחשכ"ל</w:t>
      </w:r>
      <w:r w:rsidRPr="00CB20FE">
        <w:rPr>
          <w:rFonts w:cs="FrankRuehl" w:hint="cs"/>
          <w:sz w:val="20"/>
          <w:szCs w:val="22"/>
          <w:rtl/>
        </w:rPr>
        <w:t xml:space="preserve"> אמור לפנות </w:t>
      </w:r>
      <w:r w:rsidRPr="00CB20FE">
        <w:rPr>
          <w:rFonts w:cs="FrankRuehl" w:hint="cs"/>
          <w:sz w:val="20"/>
          <w:szCs w:val="22"/>
          <w:rtl/>
        </w:rPr>
        <w:t xml:space="preserve">לוועדת המכרזים המשרדית בדרישה לשנות את תנאי המכרז ולפרסם את השינוי או לנמק מדוע אין משנים את תנאי המכרז. </w:t>
      </w:r>
    </w:p>
    <w:p w:rsidR="00E21817" w:rsidRPr="00CB20FE" w:rsidP="00484EEB">
      <w:pPr>
        <w:spacing w:after="120" w:line="230" w:lineRule="exact"/>
        <w:jc w:val="both"/>
        <w:rPr>
          <w:rFonts w:cs="FrankRuehl"/>
          <w:sz w:val="20"/>
          <w:szCs w:val="22"/>
          <w:rtl/>
        </w:rPr>
      </w:pPr>
      <w:r w:rsidRPr="00CB20FE">
        <w:rPr>
          <w:rFonts w:cs="FrankRuehl" w:hint="cs"/>
          <w:sz w:val="20"/>
          <w:szCs w:val="22"/>
          <w:rtl/>
        </w:rPr>
        <w:t>בתשובה שמסר משרד הכלכלה למשרד מבקר המדינה באפריל 2015 צוין כי "במקרים בהם ועדת המכרזים עונה באופן שאינו מניח את דעת הסוכנות, מתבצעת פניה לוועדה המייעצת</w:t>
      </w:r>
      <w:r>
        <w:rPr>
          <w:rStyle w:val="FootnoteReference"/>
          <w:rFonts w:cs="FrankRuehl"/>
          <w:sz w:val="20"/>
          <w:szCs w:val="22"/>
          <w:rtl/>
        </w:rPr>
        <w:footnoteReference w:id="24"/>
      </w:r>
      <w:r w:rsidRPr="00CB20FE">
        <w:rPr>
          <w:rFonts w:cs="FrankRuehl" w:hint="cs"/>
          <w:sz w:val="20"/>
          <w:szCs w:val="22"/>
          <w:rtl/>
        </w:rPr>
        <w:t xml:space="preserve"> ליישום סמכויות החשבת הכללית". </w:t>
      </w:r>
    </w:p>
    <w:p w:rsidR="00E21817" w:rsidRPr="00CB20FE" w:rsidP="00484EEB">
      <w:pPr>
        <w:spacing w:after="120" w:line="230" w:lineRule="exact"/>
        <w:ind w:left="-1"/>
        <w:jc w:val="both"/>
        <w:rPr>
          <w:rFonts w:cs="FrankRuehl"/>
          <w:sz w:val="20"/>
          <w:szCs w:val="22"/>
          <w:rtl/>
        </w:rPr>
      </w:pPr>
      <w:r w:rsidRPr="00CB20FE">
        <w:rPr>
          <w:rFonts w:cs="FrankRuehl"/>
          <w:sz w:val="20"/>
          <w:szCs w:val="22"/>
          <w:rtl/>
        </w:rPr>
        <w:t>הסוכנות מפרסמת באתר</w:t>
      </w:r>
      <w:r w:rsidRPr="00CB20FE">
        <w:rPr>
          <w:rFonts w:cs="FrankRuehl" w:hint="cs"/>
          <w:sz w:val="20"/>
          <w:szCs w:val="22"/>
          <w:rtl/>
        </w:rPr>
        <w:t xml:space="preserve"> האינטרנט</w:t>
      </w:r>
      <w:r w:rsidRPr="00CB20FE">
        <w:rPr>
          <w:rFonts w:cs="FrankRuehl"/>
          <w:sz w:val="20"/>
          <w:szCs w:val="22"/>
          <w:rtl/>
        </w:rPr>
        <w:t xml:space="preserve"> שלה מידע על מכרזים המתאימים לעסקים קטנים </w:t>
      </w:r>
      <w:r w:rsidRPr="00CB20FE">
        <w:rPr>
          <w:rFonts w:cs="FrankRuehl" w:hint="cs"/>
          <w:sz w:val="20"/>
          <w:szCs w:val="22"/>
          <w:rtl/>
        </w:rPr>
        <w:t xml:space="preserve">ובינוניים אשר מפרסמים </w:t>
      </w:r>
      <w:r w:rsidRPr="00CB20FE">
        <w:rPr>
          <w:rFonts w:cs="FrankRuehl"/>
          <w:sz w:val="20"/>
          <w:szCs w:val="22"/>
          <w:rtl/>
        </w:rPr>
        <w:t>24 משרדי הממשלה שהיא סוקרת</w:t>
      </w:r>
      <w:r w:rsidRPr="00CB20FE">
        <w:rPr>
          <w:rFonts w:cs="FrankRuehl" w:hint="cs"/>
          <w:sz w:val="20"/>
          <w:szCs w:val="22"/>
          <w:rtl/>
        </w:rPr>
        <w:t>, אך</w:t>
      </w:r>
      <w:r w:rsidRPr="00CB20FE">
        <w:rPr>
          <w:rFonts w:cs="FrankRuehl"/>
          <w:sz w:val="20"/>
          <w:szCs w:val="22"/>
          <w:rtl/>
        </w:rPr>
        <w:t xml:space="preserve"> אינה </w:t>
      </w:r>
      <w:r w:rsidRPr="00CB20FE">
        <w:rPr>
          <w:rFonts w:cs="FrankRuehl" w:hint="cs"/>
          <w:sz w:val="20"/>
          <w:szCs w:val="22"/>
          <w:rtl/>
        </w:rPr>
        <w:t>מ</w:t>
      </w:r>
      <w:r w:rsidRPr="00CB20FE">
        <w:rPr>
          <w:rFonts w:cs="FrankRuehl"/>
          <w:sz w:val="20"/>
          <w:szCs w:val="22"/>
          <w:rtl/>
        </w:rPr>
        <w:t xml:space="preserve">פרסמת מידע על מכרזים עבור </w:t>
      </w:r>
      <w:r w:rsidRPr="00CB20FE">
        <w:rPr>
          <w:rFonts w:cs="FrankRuehl" w:hint="cs"/>
          <w:sz w:val="20"/>
          <w:szCs w:val="22"/>
          <w:rtl/>
        </w:rPr>
        <w:t>שאר</w:t>
      </w:r>
      <w:r w:rsidRPr="00CB20FE">
        <w:rPr>
          <w:rFonts w:cs="FrankRuehl"/>
          <w:sz w:val="20"/>
          <w:szCs w:val="22"/>
          <w:rtl/>
        </w:rPr>
        <w:t xml:space="preserve"> תחומי הרכש הציבורי. </w:t>
      </w:r>
      <w:r w:rsidRPr="00CB20FE">
        <w:rPr>
          <w:rFonts w:cs="FrankRuehl" w:hint="cs"/>
          <w:sz w:val="20"/>
          <w:szCs w:val="22"/>
          <w:rtl/>
        </w:rPr>
        <w:t>החשכ</w:t>
      </w:r>
      <w:r w:rsidRPr="00CB20FE">
        <w:rPr>
          <w:rFonts w:cs="FrankRuehl"/>
          <w:sz w:val="20"/>
          <w:szCs w:val="22"/>
          <w:rtl/>
        </w:rPr>
        <w:t>"ל</w:t>
      </w:r>
      <w:r w:rsidRPr="00CB20FE">
        <w:rPr>
          <w:rFonts w:cs="FrankRuehl"/>
          <w:sz w:val="20"/>
          <w:szCs w:val="22"/>
          <w:rtl/>
        </w:rPr>
        <w:t xml:space="preserve"> </w:t>
      </w:r>
      <w:r w:rsidRPr="00CB20FE">
        <w:rPr>
          <w:rFonts w:cs="FrankRuehl" w:hint="cs"/>
          <w:sz w:val="20"/>
          <w:szCs w:val="22"/>
          <w:rtl/>
        </w:rPr>
        <w:t>מאפשר</w:t>
      </w:r>
      <w:r w:rsidRPr="00CB20FE">
        <w:rPr>
          <w:rFonts w:cs="FrankRuehl"/>
          <w:sz w:val="20"/>
          <w:szCs w:val="22"/>
          <w:rtl/>
        </w:rPr>
        <w:t xml:space="preserve"> </w:t>
      </w:r>
      <w:r w:rsidRPr="00CB20FE">
        <w:rPr>
          <w:rFonts w:cs="FrankRuehl" w:hint="cs"/>
          <w:sz w:val="20"/>
          <w:szCs w:val="22"/>
          <w:rtl/>
        </w:rPr>
        <w:t>לכל</w:t>
      </w:r>
      <w:r w:rsidRPr="00CB20FE">
        <w:rPr>
          <w:rFonts w:cs="FrankRuehl"/>
          <w:sz w:val="20"/>
          <w:szCs w:val="22"/>
          <w:rtl/>
        </w:rPr>
        <w:t xml:space="preserve"> </w:t>
      </w:r>
      <w:r w:rsidRPr="00CB20FE">
        <w:rPr>
          <w:rFonts w:cs="FrankRuehl" w:hint="cs"/>
          <w:sz w:val="20"/>
          <w:szCs w:val="22"/>
          <w:rtl/>
        </w:rPr>
        <w:t>בעלי</w:t>
      </w:r>
      <w:r w:rsidRPr="00CB20FE">
        <w:rPr>
          <w:rFonts w:cs="FrankRuehl"/>
          <w:sz w:val="20"/>
          <w:szCs w:val="22"/>
          <w:rtl/>
        </w:rPr>
        <w:t xml:space="preserve"> </w:t>
      </w:r>
      <w:r w:rsidRPr="00CB20FE">
        <w:rPr>
          <w:rFonts w:cs="FrankRuehl" w:hint="cs"/>
          <w:sz w:val="20"/>
          <w:szCs w:val="22"/>
          <w:rtl/>
        </w:rPr>
        <w:t>ה</w:t>
      </w:r>
      <w:r w:rsidRPr="00CB20FE">
        <w:rPr>
          <w:rFonts w:cs="FrankRuehl"/>
          <w:sz w:val="20"/>
          <w:szCs w:val="22"/>
          <w:rtl/>
        </w:rPr>
        <w:t xml:space="preserve">עסקים </w:t>
      </w:r>
      <w:r w:rsidRPr="00CB20FE">
        <w:rPr>
          <w:rFonts w:cs="FrankRuehl" w:hint="cs"/>
          <w:sz w:val="20"/>
          <w:szCs w:val="22"/>
          <w:rtl/>
        </w:rPr>
        <w:t>לקבל</w:t>
      </w:r>
      <w:r w:rsidRPr="00CB20FE">
        <w:rPr>
          <w:rFonts w:cs="FrankRuehl"/>
          <w:sz w:val="20"/>
          <w:szCs w:val="22"/>
          <w:rtl/>
        </w:rPr>
        <w:t xml:space="preserve"> </w:t>
      </w:r>
      <w:r w:rsidRPr="00CB20FE">
        <w:rPr>
          <w:rFonts w:cs="FrankRuehl" w:hint="cs"/>
          <w:sz w:val="20"/>
          <w:szCs w:val="22"/>
          <w:rtl/>
        </w:rPr>
        <w:t>בלי</w:t>
      </w:r>
      <w:r w:rsidRPr="00CB20FE">
        <w:rPr>
          <w:rFonts w:cs="FrankRuehl"/>
          <w:sz w:val="20"/>
          <w:szCs w:val="22"/>
          <w:rtl/>
        </w:rPr>
        <w:t xml:space="preserve"> </w:t>
      </w:r>
      <w:r w:rsidRPr="00CB20FE">
        <w:rPr>
          <w:rFonts w:cs="FrankRuehl" w:hint="cs"/>
          <w:sz w:val="20"/>
          <w:szCs w:val="22"/>
          <w:rtl/>
        </w:rPr>
        <w:t>תשלום</w:t>
      </w:r>
      <w:r w:rsidRPr="00CB20FE">
        <w:rPr>
          <w:rFonts w:cs="FrankRuehl"/>
          <w:sz w:val="20"/>
          <w:szCs w:val="22"/>
          <w:rtl/>
        </w:rPr>
        <w:t xml:space="preserve"> </w:t>
      </w:r>
      <w:r w:rsidRPr="00CB20FE">
        <w:rPr>
          <w:rFonts w:cs="FrankRuehl" w:hint="cs"/>
          <w:sz w:val="20"/>
          <w:szCs w:val="22"/>
          <w:rtl/>
        </w:rPr>
        <w:t>בדואר</w:t>
      </w:r>
      <w:r w:rsidRPr="00CB20FE">
        <w:rPr>
          <w:rFonts w:cs="FrankRuehl"/>
          <w:sz w:val="20"/>
          <w:szCs w:val="22"/>
          <w:rtl/>
        </w:rPr>
        <w:t xml:space="preserve"> </w:t>
      </w:r>
      <w:r w:rsidRPr="00CB20FE">
        <w:rPr>
          <w:rFonts w:cs="FrankRuehl" w:hint="cs"/>
          <w:sz w:val="20"/>
          <w:szCs w:val="22"/>
          <w:rtl/>
        </w:rPr>
        <w:t>האלקטרוני</w:t>
      </w:r>
      <w:r w:rsidRPr="00CB20FE">
        <w:rPr>
          <w:rFonts w:cs="FrankRuehl"/>
          <w:sz w:val="20"/>
          <w:szCs w:val="22"/>
          <w:rtl/>
        </w:rPr>
        <w:t xml:space="preserve"> </w:t>
      </w:r>
      <w:r w:rsidRPr="00CB20FE">
        <w:rPr>
          <w:rFonts w:cs="FrankRuehl" w:hint="cs"/>
          <w:sz w:val="20"/>
          <w:szCs w:val="22"/>
          <w:rtl/>
        </w:rPr>
        <w:t>הודעות</w:t>
      </w:r>
      <w:r w:rsidRPr="00CB20FE">
        <w:rPr>
          <w:rFonts w:cs="FrankRuehl"/>
          <w:sz w:val="20"/>
          <w:szCs w:val="22"/>
          <w:rtl/>
        </w:rPr>
        <w:t xml:space="preserve"> </w:t>
      </w:r>
      <w:r w:rsidRPr="00CB20FE">
        <w:rPr>
          <w:rFonts w:cs="FrankRuehl" w:hint="cs"/>
          <w:sz w:val="20"/>
          <w:szCs w:val="22"/>
          <w:rtl/>
        </w:rPr>
        <w:t>על</w:t>
      </w:r>
      <w:r w:rsidRPr="00CB20FE">
        <w:rPr>
          <w:rFonts w:cs="FrankRuehl"/>
          <w:sz w:val="20"/>
          <w:szCs w:val="22"/>
          <w:rtl/>
        </w:rPr>
        <w:t xml:space="preserve"> </w:t>
      </w:r>
      <w:r w:rsidRPr="00CB20FE">
        <w:rPr>
          <w:rFonts w:cs="FrankRuehl" w:hint="cs"/>
          <w:sz w:val="20"/>
          <w:szCs w:val="22"/>
          <w:rtl/>
        </w:rPr>
        <w:t>פרסום</w:t>
      </w:r>
      <w:r w:rsidRPr="00CB20FE">
        <w:rPr>
          <w:rFonts w:cs="FrankRuehl"/>
          <w:sz w:val="20"/>
          <w:szCs w:val="22"/>
          <w:rtl/>
        </w:rPr>
        <w:t xml:space="preserve"> </w:t>
      </w:r>
      <w:r w:rsidRPr="00CB20FE">
        <w:rPr>
          <w:rFonts w:cs="FrankRuehl" w:hint="cs"/>
          <w:sz w:val="20"/>
          <w:szCs w:val="22"/>
          <w:rtl/>
        </w:rPr>
        <w:t>מכרזים</w:t>
      </w:r>
      <w:r w:rsidRPr="00CB20FE">
        <w:rPr>
          <w:rFonts w:cs="FrankRuehl"/>
          <w:sz w:val="20"/>
          <w:szCs w:val="22"/>
          <w:rtl/>
        </w:rPr>
        <w:t xml:space="preserve"> של משרדי ממשלה בתחומים הרלוונטיים להם. מכאן שאין מקום אחד שמרכז את כל המכרזים לרכש ציבורי שעסקים קטנים ובינוניים יכולים לגשת </w:t>
      </w:r>
      <w:r w:rsidRPr="00CB20FE">
        <w:rPr>
          <w:rFonts w:cs="FrankRuehl" w:hint="cs"/>
          <w:sz w:val="20"/>
          <w:szCs w:val="22"/>
          <w:rtl/>
        </w:rPr>
        <w:t>אליהם</w:t>
      </w:r>
      <w:r w:rsidRPr="00CB20FE">
        <w:rPr>
          <w:rFonts w:cs="FrankRuehl"/>
          <w:sz w:val="20"/>
          <w:szCs w:val="22"/>
          <w:rtl/>
        </w:rPr>
        <w:t>.</w:t>
      </w:r>
    </w:p>
    <w:p w:rsidR="00E21817" w:rsidRPr="00CB20FE" w:rsidP="00484EEB">
      <w:pPr>
        <w:spacing w:after="120" w:line="230" w:lineRule="exact"/>
        <w:jc w:val="both"/>
        <w:rPr>
          <w:rFonts w:cs="FrankRuehl"/>
          <w:sz w:val="20"/>
          <w:szCs w:val="22"/>
          <w:rtl/>
          <w:lang w:eastAsia="he-IL"/>
        </w:rPr>
      </w:pPr>
      <w:r w:rsidRPr="001C54DB">
        <w:rPr>
          <w:rStyle w:val="Heading5Char"/>
          <w:rFonts w:cs="FrankRuehl" w:hint="cs"/>
          <w:spacing w:val="40"/>
          <w:sz w:val="20"/>
          <w:szCs w:val="22"/>
          <w:rtl/>
        </w:rPr>
        <w:t>עלות</w:t>
      </w:r>
      <w:r w:rsidRPr="001C54DB">
        <w:rPr>
          <w:rStyle w:val="Heading5Char"/>
          <w:rFonts w:cs="FrankRuehl"/>
          <w:spacing w:val="40"/>
          <w:sz w:val="20"/>
          <w:szCs w:val="22"/>
          <w:rtl/>
        </w:rPr>
        <w:t xml:space="preserve"> </w:t>
      </w:r>
      <w:r w:rsidRPr="001C54DB">
        <w:rPr>
          <w:rStyle w:val="Heading5Char"/>
          <w:rFonts w:cs="FrankRuehl" w:hint="cs"/>
          <w:spacing w:val="40"/>
          <w:sz w:val="20"/>
          <w:szCs w:val="22"/>
          <w:rtl/>
        </w:rPr>
        <w:t>ההשתתפות</w:t>
      </w:r>
      <w:r w:rsidRPr="001C54DB">
        <w:rPr>
          <w:rStyle w:val="Heading5Char"/>
          <w:rFonts w:cs="FrankRuehl"/>
          <w:spacing w:val="40"/>
          <w:sz w:val="20"/>
          <w:szCs w:val="22"/>
          <w:rtl/>
        </w:rPr>
        <w:t xml:space="preserve"> </w:t>
      </w:r>
      <w:r w:rsidRPr="001C54DB">
        <w:rPr>
          <w:rStyle w:val="Heading5Char"/>
          <w:rFonts w:cs="FrankRuehl" w:hint="cs"/>
          <w:spacing w:val="40"/>
          <w:sz w:val="20"/>
          <w:szCs w:val="22"/>
          <w:rtl/>
        </w:rPr>
        <w:t>במכרז</w:t>
      </w:r>
      <w:r w:rsidRPr="001C54DB">
        <w:rPr>
          <w:rStyle w:val="Heading5Char"/>
          <w:rFonts w:cs="FrankRuehl"/>
          <w:spacing w:val="40"/>
          <w:sz w:val="20"/>
          <w:szCs w:val="22"/>
          <w:rtl/>
        </w:rPr>
        <w:t>:</w:t>
      </w:r>
      <w:r w:rsidRPr="00CB20FE">
        <w:rPr>
          <w:rStyle w:val="Heading7Char"/>
          <w:rFonts w:cs="FrankRuehl"/>
          <w:sz w:val="20"/>
          <w:szCs w:val="22"/>
          <w:rtl/>
        </w:rPr>
        <w:t xml:space="preserve"> </w:t>
      </w:r>
      <w:r w:rsidRPr="00CB20FE">
        <w:rPr>
          <w:rFonts w:cs="FrankRuehl" w:hint="cs"/>
          <w:sz w:val="20"/>
          <w:szCs w:val="22"/>
          <w:rtl/>
        </w:rPr>
        <w:t>אחת</w:t>
      </w:r>
      <w:r w:rsidRPr="00CB20FE">
        <w:rPr>
          <w:rFonts w:cs="FrankRuehl"/>
          <w:sz w:val="20"/>
          <w:szCs w:val="22"/>
          <w:rtl/>
        </w:rPr>
        <w:t xml:space="preserve"> ההוצאות </w:t>
      </w:r>
      <w:r w:rsidRPr="00CB20FE">
        <w:rPr>
          <w:rFonts w:cs="FrankRuehl" w:hint="cs"/>
          <w:sz w:val="20"/>
          <w:szCs w:val="22"/>
          <w:rtl/>
        </w:rPr>
        <w:t>שעסקים הניגשים למכרז נדרשים לשאת בה היא תשלום עבור רכישת מסמכי המכרז. התשלום אינו מוחזר לעסק וכשעסק קטן או בינוני ניגש למספר רב של מכרזים, מדובר בהוצאה משמעותית ומכבידה. נושא זה עלה בהמלצות הוועדה לבחינת חסמים.</w:t>
      </w:r>
      <w:r w:rsidRPr="00CB20FE">
        <w:rPr>
          <w:rFonts w:cs="FrankRuehl" w:hint="cs"/>
          <w:sz w:val="20"/>
          <w:szCs w:val="22"/>
          <w:rtl/>
        </w:rPr>
        <w:t xml:space="preserve"> </w:t>
      </w:r>
      <w:r w:rsidRPr="00CB20FE">
        <w:rPr>
          <w:rFonts w:cs="FrankRuehl" w:hint="cs"/>
          <w:sz w:val="20"/>
          <w:szCs w:val="22"/>
          <w:rtl/>
          <w:lang w:eastAsia="he-IL"/>
        </w:rPr>
        <w:t>תקנות</w:t>
      </w:r>
      <w:r w:rsidRPr="00CB20FE">
        <w:rPr>
          <w:rFonts w:cs="FrankRuehl"/>
          <w:sz w:val="20"/>
          <w:szCs w:val="22"/>
          <w:rtl/>
          <w:lang w:eastAsia="he-IL"/>
        </w:rPr>
        <w:t xml:space="preserve"> </w:t>
      </w:r>
      <w:r w:rsidRPr="00CB20FE">
        <w:rPr>
          <w:rFonts w:cs="FrankRuehl" w:hint="cs"/>
          <w:sz w:val="20"/>
          <w:szCs w:val="22"/>
          <w:rtl/>
          <w:lang w:eastAsia="he-IL"/>
        </w:rPr>
        <w:t>חובת</w:t>
      </w:r>
      <w:r w:rsidRPr="00CB20FE">
        <w:rPr>
          <w:rFonts w:cs="FrankRuehl"/>
          <w:sz w:val="20"/>
          <w:szCs w:val="22"/>
          <w:rtl/>
          <w:lang w:eastAsia="he-IL"/>
        </w:rPr>
        <w:t xml:space="preserve"> </w:t>
      </w:r>
      <w:r w:rsidRPr="00CB20FE">
        <w:rPr>
          <w:rFonts w:cs="FrankRuehl" w:hint="cs"/>
          <w:sz w:val="20"/>
          <w:szCs w:val="22"/>
          <w:rtl/>
          <w:lang w:eastAsia="he-IL"/>
        </w:rPr>
        <w:t>המכרזים</w:t>
      </w:r>
      <w:r w:rsidRPr="00BB1518">
        <w:rPr>
          <w:rStyle w:val="Hyperlink"/>
          <w:rFonts w:cs="FrankRuehl"/>
          <w:sz w:val="20"/>
          <w:szCs w:val="22"/>
          <w:u w:val="none"/>
          <w:rtl/>
          <w:lang w:eastAsia="he-IL"/>
        </w:rPr>
        <w:t>,</w:t>
      </w:r>
      <w:r w:rsidRPr="00CB20FE">
        <w:rPr>
          <w:rFonts w:cs="FrankRuehl"/>
          <w:sz w:val="20"/>
          <w:szCs w:val="22"/>
          <w:rtl/>
          <w:lang w:eastAsia="he-IL"/>
        </w:rPr>
        <w:t xml:space="preserve"> </w:t>
      </w:r>
      <w:r w:rsidRPr="00CB20FE">
        <w:rPr>
          <w:rFonts w:cs="FrankRuehl" w:hint="cs"/>
          <w:sz w:val="20"/>
          <w:szCs w:val="22"/>
          <w:rtl/>
          <w:lang w:eastAsia="he-IL"/>
        </w:rPr>
        <w:t>התשנ</w:t>
      </w:r>
      <w:r w:rsidRPr="00CB20FE">
        <w:rPr>
          <w:rFonts w:cs="FrankRuehl"/>
          <w:sz w:val="20"/>
          <w:szCs w:val="22"/>
          <w:rtl/>
          <w:lang w:eastAsia="he-IL"/>
        </w:rPr>
        <w:t>"ג-1993</w:t>
      </w:r>
      <w:r w:rsidRPr="00CB20FE">
        <w:rPr>
          <w:rFonts w:cs="FrankRuehl" w:hint="cs"/>
          <w:sz w:val="20"/>
          <w:szCs w:val="22"/>
          <w:rtl/>
          <w:lang w:eastAsia="he-IL"/>
        </w:rPr>
        <w:t>,</w:t>
      </w:r>
      <w:r w:rsidRPr="00CB20FE">
        <w:rPr>
          <w:rFonts w:cs="FrankRuehl"/>
          <w:sz w:val="20"/>
          <w:szCs w:val="22"/>
          <w:rtl/>
          <w:lang w:eastAsia="he-IL"/>
        </w:rPr>
        <w:t xml:space="preserve"> </w:t>
      </w:r>
      <w:r w:rsidRPr="00CB20FE">
        <w:rPr>
          <w:rFonts w:cs="FrankRuehl" w:hint="cs"/>
          <w:sz w:val="20"/>
          <w:szCs w:val="22"/>
          <w:rtl/>
          <w:lang w:eastAsia="he-IL"/>
        </w:rPr>
        <w:t>קובעות</w:t>
      </w:r>
      <w:r w:rsidRPr="00CB20FE">
        <w:rPr>
          <w:rFonts w:cs="FrankRuehl"/>
          <w:sz w:val="20"/>
          <w:szCs w:val="22"/>
          <w:rtl/>
          <w:lang w:eastAsia="he-IL"/>
        </w:rPr>
        <w:t xml:space="preserve"> כי אם "לא ניתן להמציא את המסמכים באמצעות </w:t>
      </w:r>
      <w:r w:rsidRPr="00CB20FE">
        <w:rPr>
          <w:rFonts w:cs="FrankRuehl" w:hint="cs"/>
          <w:sz w:val="20"/>
          <w:szCs w:val="22"/>
          <w:rtl/>
          <w:lang w:eastAsia="he-IL"/>
        </w:rPr>
        <w:t>אתר</w:t>
      </w:r>
      <w:r w:rsidRPr="00CB20FE">
        <w:rPr>
          <w:rFonts w:cs="FrankRuehl"/>
          <w:sz w:val="20"/>
          <w:szCs w:val="22"/>
          <w:rtl/>
          <w:lang w:eastAsia="he-IL"/>
        </w:rPr>
        <w:t xml:space="preserve"> </w:t>
      </w:r>
      <w:r w:rsidRPr="00CB20FE">
        <w:rPr>
          <w:rFonts w:cs="FrankRuehl" w:hint="cs"/>
          <w:sz w:val="20"/>
          <w:szCs w:val="22"/>
          <w:rtl/>
          <w:lang w:eastAsia="he-IL"/>
        </w:rPr>
        <w:t>האינטרנט</w:t>
      </w:r>
      <w:r w:rsidRPr="00CB20FE">
        <w:rPr>
          <w:rFonts w:cs="FrankRuehl"/>
          <w:sz w:val="20"/>
          <w:szCs w:val="22"/>
          <w:rtl/>
          <w:lang w:eastAsia="he-IL"/>
        </w:rPr>
        <w:t xml:space="preserve">, </w:t>
      </w:r>
      <w:r w:rsidRPr="00CB20FE">
        <w:rPr>
          <w:rFonts w:cs="FrankRuehl" w:hint="cs"/>
          <w:sz w:val="20"/>
          <w:szCs w:val="22"/>
          <w:rtl/>
          <w:lang w:eastAsia="he-IL"/>
        </w:rPr>
        <w:t>ניתן</w:t>
      </w:r>
      <w:r w:rsidRPr="00CB20FE">
        <w:rPr>
          <w:rFonts w:cs="FrankRuehl"/>
          <w:sz w:val="20"/>
          <w:szCs w:val="22"/>
          <w:rtl/>
          <w:lang w:eastAsia="he-IL"/>
        </w:rPr>
        <w:t xml:space="preserve"> </w:t>
      </w:r>
      <w:r w:rsidRPr="00CB20FE">
        <w:rPr>
          <w:rFonts w:cs="FrankRuehl" w:hint="cs"/>
          <w:sz w:val="20"/>
          <w:szCs w:val="22"/>
          <w:rtl/>
          <w:lang w:eastAsia="he-IL"/>
        </w:rPr>
        <w:t>לקבוע</w:t>
      </w:r>
      <w:r w:rsidRPr="00CB20FE">
        <w:rPr>
          <w:rFonts w:cs="FrankRuehl"/>
          <w:sz w:val="20"/>
          <w:szCs w:val="22"/>
          <w:rtl/>
          <w:lang w:eastAsia="he-IL"/>
        </w:rPr>
        <w:t xml:space="preserve"> </w:t>
      </w:r>
      <w:r w:rsidRPr="00CB20FE">
        <w:rPr>
          <w:rFonts w:cs="FrankRuehl" w:hint="cs"/>
          <w:sz w:val="20"/>
          <w:szCs w:val="22"/>
          <w:rtl/>
          <w:lang w:eastAsia="he-IL"/>
        </w:rPr>
        <w:t>כי</w:t>
      </w:r>
      <w:r w:rsidRPr="00CB20FE">
        <w:rPr>
          <w:rFonts w:cs="FrankRuehl"/>
          <w:sz w:val="20"/>
          <w:szCs w:val="22"/>
          <w:rtl/>
          <w:lang w:eastAsia="he-IL"/>
        </w:rPr>
        <w:t xml:space="preserve"> </w:t>
      </w:r>
      <w:r w:rsidRPr="00CB20FE">
        <w:rPr>
          <w:rFonts w:cs="FrankRuehl" w:hint="cs"/>
          <w:sz w:val="20"/>
          <w:szCs w:val="22"/>
          <w:rtl/>
          <w:lang w:eastAsia="he-IL"/>
        </w:rPr>
        <w:t>המסמכים</w:t>
      </w:r>
      <w:r w:rsidRPr="00CB20FE">
        <w:rPr>
          <w:rFonts w:cs="FrankRuehl"/>
          <w:sz w:val="20"/>
          <w:szCs w:val="22"/>
          <w:rtl/>
          <w:lang w:eastAsia="he-IL"/>
        </w:rPr>
        <w:t xml:space="preserve"> </w:t>
      </w:r>
      <w:r w:rsidRPr="00CB20FE">
        <w:rPr>
          <w:rFonts w:cs="FrankRuehl" w:hint="cs"/>
          <w:sz w:val="20"/>
          <w:szCs w:val="22"/>
          <w:rtl/>
          <w:lang w:eastAsia="he-IL"/>
        </w:rPr>
        <w:t>יומצאו</w:t>
      </w:r>
      <w:r w:rsidRPr="00CB20FE">
        <w:rPr>
          <w:rFonts w:cs="FrankRuehl"/>
          <w:sz w:val="20"/>
          <w:szCs w:val="22"/>
          <w:rtl/>
          <w:lang w:eastAsia="he-IL"/>
        </w:rPr>
        <w:t xml:space="preserve"> </w:t>
      </w:r>
      <w:r w:rsidRPr="00CB20FE">
        <w:rPr>
          <w:rFonts w:cs="FrankRuehl" w:hint="cs"/>
          <w:sz w:val="20"/>
          <w:szCs w:val="22"/>
          <w:rtl/>
          <w:lang w:eastAsia="he-IL"/>
        </w:rPr>
        <w:t>תמורת</w:t>
      </w:r>
      <w:r w:rsidRPr="00CB20FE">
        <w:rPr>
          <w:rFonts w:cs="FrankRuehl"/>
          <w:sz w:val="20"/>
          <w:szCs w:val="22"/>
          <w:rtl/>
          <w:lang w:eastAsia="he-IL"/>
        </w:rPr>
        <w:t xml:space="preserve"> </w:t>
      </w:r>
      <w:r w:rsidRPr="00CB20FE">
        <w:rPr>
          <w:rFonts w:cs="FrankRuehl" w:hint="cs"/>
          <w:sz w:val="20"/>
          <w:szCs w:val="22"/>
          <w:rtl/>
          <w:lang w:eastAsia="he-IL"/>
        </w:rPr>
        <w:t>תשלום</w:t>
      </w:r>
      <w:r w:rsidRPr="00CB20FE">
        <w:rPr>
          <w:rFonts w:cs="FrankRuehl"/>
          <w:sz w:val="20"/>
          <w:szCs w:val="22"/>
          <w:rtl/>
          <w:lang w:eastAsia="he-IL"/>
        </w:rPr>
        <w:t xml:space="preserve"> </w:t>
      </w:r>
      <w:r w:rsidRPr="00CB20FE">
        <w:rPr>
          <w:rFonts w:cs="FrankRuehl" w:hint="cs"/>
          <w:sz w:val="20"/>
          <w:szCs w:val="22"/>
          <w:rtl/>
          <w:lang w:eastAsia="he-IL"/>
        </w:rPr>
        <w:t>סביר</w:t>
      </w:r>
      <w:r w:rsidRPr="00CB20FE">
        <w:rPr>
          <w:rFonts w:cs="FrankRuehl"/>
          <w:sz w:val="20"/>
          <w:szCs w:val="22"/>
          <w:rtl/>
          <w:lang w:eastAsia="he-IL"/>
        </w:rPr>
        <w:t>, לפי עלות הדפסתם"</w:t>
      </w:r>
      <w:r w:rsidRPr="00CB20FE">
        <w:rPr>
          <w:rFonts w:cs="FrankRuehl" w:hint="cs"/>
          <w:sz w:val="20"/>
          <w:szCs w:val="22"/>
          <w:rtl/>
          <w:lang w:eastAsia="he-IL"/>
        </w:rPr>
        <w:t>.</w:t>
      </w:r>
      <w:r w:rsidRPr="00CB20FE">
        <w:rPr>
          <w:rFonts w:cs="FrankRuehl"/>
          <w:sz w:val="20"/>
          <w:szCs w:val="22"/>
          <w:rtl/>
          <w:lang w:eastAsia="he-IL"/>
        </w:rPr>
        <w:t xml:space="preserve"> </w:t>
      </w:r>
      <w:r w:rsidRPr="00CB20FE">
        <w:rPr>
          <w:rFonts w:cs="FrankRuehl" w:hint="cs"/>
          <w:sz w:val="20"/>
          <w:szCs w:val="22"/>
          <w:rtl/>
          <w:lang w:eastAsia="he-IL"/>
        </w:rPr>
        <w:t>עוד</w:t>
      </w:r>
      <w:r w:rsidRPr="00CB20FE">
        <w:rPr>
          <w:rFonts w:cs="FrankRuehl"/>
          <w:sz w:val="20"/>
          <w:szCs w:val="22"/>
          <w:rtl/>
          <w:lang w:eastAsia="he-IL"/>
        </w:rPr>
        <w:t xml:space="preserve"> </w:t>
      </w:r>
      <w:r w:rsidRPr="00CB20FE">
        <w:rPr>
          <w:rFonts w:cs="FrankRuehl" w:hint="cs"/>
          <w:sz w:val="20"/>
          <w:szCs w:val="22"/>
          <w:rtl/>
          <w:lang w:eastAsia="he-IL"/>
        </w:rPr>
        <w:t>נקבע</w:t>
      </w:r>
      <w:r w:rsidRPr="00CB20FE">
        <w:rPr>
          <w:rFonts w:cs="FrankRuehl"/>
          <w:sz w:val="20"/>
          <w:szCs w:val="22"/>
          <w:rtl/>
          <w:lang w:eastAsia="he-IL"/>
        </w:rPr>
        <w:t xml:space="preserve"> </w:t>
      </w:r>
      <w:r w:rsidRPr="00CB20FE">
        <w:rPr>
          <w:rFonts w:cs="FrankRuehl" w:hint="cs"/>
          <w:sz w:val="20"/>
          <w:szCs w:val="22"/>
          <w:rtl/>
          <w:lang w:eastAsia="he-IL"/>
        </w:rPr>
        <w:t>בתקנות</w:t>
      </w:r>
      <w:r w:rsidRPr="00CB20FE">
        <w:rPr>
          <w:rFonts w:cs="FrankRuehl"/>
          <w:sz w:val="20"/>
          <w:szCs w:val="22"/>
          <w:rtl/>
          <w:lang w:eastAsia="he-IL"/>
        </w:rPr>
        <w:t xml:space="preserve"> </w:t>
      </w:r>
      <w:r w:rsidRPr="00CB20FE">
        <w:rPr>
          <w:rFonts w:cs="FrankRuehl" w:hint="cs"/>
          <w:sz w:val="20"/>
          <w:szCs w:val="22"/>
          <w:rtl/>
          <w:lang w:eastAsia="he-IL"/>
        </w:rPr>
        <w:t>כי</w:t>
      </w:r>
      <w:r w:rsidRPr="00CB20FE">
        <w:rPr>
          <w:rFonts w:cs="FrankRuehl"/>
          <w:sz w:val="20"/>
          <w:szCs w:val="22"/>
          <w:rtl/>
          <w:lang w:eastAsia="he-IL"/>
        </w:rPr>
        <w:t xml:space="preserve"> "ניתן להתנות את ההשתתפות במכרז בתשלום סביר בעבור עלות הפקת המכרז".</w:t>
      </w:r>
      <w:r w:rsidRPr="00CB20FE">
        <w:rPr>
          <w:rFonts w:cs="FrankRuehl" w:hint="cs"/>
          <w:sz w:val="20"/>
          <w:szCs w:val="22"/>
          <w:rtl/>
          <w:lang w:eastAsia="he-IL"/>
        </w:rPr>
        <w:t xml:space="preserve"> </w:t>
      </w:r>
    </w:p>
    <w:p w:rsidR="00E21817" w:rsidRPr="00CB20FE" w:rsidP="00484EEB">
      <w:pPr>
        <w:spacing w:after="120" w:line="230" w:lineRule="exact"/>
        <w:jc w:val="both"/>
        <w:rPr>
          <w:rFonts w:cs="FrankRuehl"/>
          <w:sz w:val="20"/>
          <w:szCs w:val="22"/>
          <w:rtl/>
        </w:rPr>
      </w:pPr>
      <w:r w:rsidRPr="00CB20FE">
        <w:rPr>
          <w:rFonts w:cs="FrankRuehl" w:hint="cs"/>
          <w:sz w:val="20"/>
          <w:szCs w:val="22"/>
          <w:rtl/>
        </w:rPr>
        <w:t>הביקורת</w:t>
      </w:r>
      <w:r w:rsidRPr="00CB20FE">
        <w:rPr>
          <w:rFonts w:cs="FrankRuehl"/>
          <w:sz w:val="20"/>
          <w:szCs w:val="22"/>
          <w:rtl/>
        </w:rPr>
        <w:t xml:space="preserve"> </w:t>
      </w:r>
      <w:r w:rsidRPr="00CB20FE">
        <w:rPr>
          <w:rFonts w:cs="FrankRuehl" w:hint="cs"/>
          <w:sz w:val="20"/>
          <w:szCs w:val="22"/>
          <w:rtl/>
        </w:rPr>
        <w:t>העלתה</w:t>
      </w:r>
      <w:r w:rsidRPr="00CB20FE">
        <w:rPr>
          <w:rFonts w:cs="FrankRuehl"/>
          <w:sz w:val="20"/>
          <w:szCs w:val="22"/>
          <w:rtl/>
        </w:rPr>
        <w:t xml:space="preserve"> </w:t>
      </w:r>
      <w:r w:rsidRPr="00CB20FE">
        <w:rPr>
          <w:rFonts w:cs="FrankRuehl" w:hint="cs"/>
          <w:sz w:val="20"/>
          <w:szCs w:val="22"/>
          <w:rtl/>
        </w:rPr>
        <w:t>כי</w:t>
      </w:r>
      <w:r w:rsidRPr="00CB20FE">
        <w:rPr>
          <w:rFonts w:cs="FrankRuehl"/>
          <w:sz w:val="20"/>
          <w:szCs w:val="22"/>
          <w:rtl/>
        </w:rPr>
        <w:t xml:space="preserve"> </w:t>
      </w:r>
      <w:r w:rsidRPr="00CB20FE">
        <w:rPr>
          <w:rFonts w:cs="FrankRuehl" w:hint="cs"/>
          <w:sz w:val="20"/>
          <w:szCs w:val="22"/>
          <w:rtl/>
        </w:rPr>
        <w:t>כל</w:t>
      </w:r>
      <w:r w:rsidRPr="00CB20FE">
        <w:rPr>
          <w:rFonts w:cs="FrankRuehl"/>
          <w:sz w:val="20"/>
          <w:szCs w:val="22"/>
          <w:rtl/>
        </w:rPr>
        <w:t xml:space="preserve"> </w:t>
      </w:r>
      <w:r w:rsidRPr="00CB20FE">
        <w:rPr>
          <w:rFonts w:cs="FrankRuehl" w:hint="cs"/>
          <w:sz w:val="20"/>
          <w:szCs w:val="22"/>
          <w:rtl/>
        </w:rPr>
        <w:t>רשות</w:t>
      </w:r>
      <w:r w:rsidRPr="00CB20FE">
        <w:rPr>
          <w:rFonts w:cs="FrankRuehl"/>
          <w:sz w:val="20"/>
          <w:szCs w:val="22"/>
          <w:rtl/>
        </w:rPr>
        <w:t xml:space="preserve"> </w:t>
      </w:r>
      <w:r w:rsidRPr="00CB20FE">
        <w:rPr>
          <w:rFonts w:cs="FrankRuehl" w:hint="cs"/>
          <w:sz w:val="20"/>
          <w:szCs w:val="22"/>
          <w:rtl/>
        </w:rPr>
        <w:t>מקומית קבעה</w:t>
      </w:r>
      <w:r w:rsidRPr="00CB20FE">
        <w:rPr>
          <w:rFonts w:cs="FrankRuehl"/>
          <w:sz w:val="20"/>
          <w:szCs w:val="22"/>
          <w:rtl/>
        </w:rPr>
        <w:t xml:space="preserve"> </w:t>
      </w:r>
      <w:r w:rsidRPr="00CB20FE">
        <w:rPr>
          <w:rFonts w:cs="FrankRuehl" w:hint="cs"/>
          <w:sz w:val="20"/>
          <w:szCs w:val="22"/>
          <w:rtl/>
        </w:rPr>
        <w:t>תשלום</w:t>
      </w:r>
      <w:r w:rsidRPr="00CB20FE">
        <w:rPr>
          <w:rFonts w:cs="FrankRuehl"/>
          <w:sz w:val="20"/>
          <w:szCs w:val="22"/>
          <w:rtl/>
        </w:rPr>
        <w:t xml:space="preserve"> </w:t>
      </w:r>
      <w:r w:rsidRPr="00CB20FE">
        <w:rPr>
          <w:rFonts w:cs="FrankRuehl" w:hint="cs"/>
          <w:sz w:val="20"/>
          <w:szCs w:val="22"/>
          <w:rtl/>
        </w:rPr>
        <w:t>שונה</w:t>
      </w:r>
      <w:r w:rsidRPr="00CB20FE">
        <w:rPr>
          <w:rFonts w:cs="FrankRuehl"/>
          <w:sz w:val="20"/>
          <w:szCs w:val="22"/>
          <w:rtl/>
        </w:rPr>
        <w:t xml:space="preserve"> </w:t>
      </w:r>
      <w:r w:rsidRPr="00CB20FE">
        <w:rPr>
          <w:rFonts w:cs="FrankRuehl" w:hint="cs"/>
          <w:sz w:val="20"/>
          <w:szCs w:val="22"/>
          <w:rtl/>
        </w:rPr>
        <w:t>עבור</w:t>
      </w:r>
      <w:r w:rsidRPr="00CB20FE">
        <w:rPr>
          <w:rFonts w:cs="FrankRuehl"/>
          <w:sz w:val="20"/>
          <w:szCs w:val="22"/>
          <w:rtl/>
        </w:rPr>
        <w:t xml:space="preserve"> </w:t>
      </w:r>
      <w:r w:rsidRPr="00CB20FE">
        <w:rPr>
          <w:rFonts w:cs="FrankRuehl" w:hint="cs"/>
          <w:sz w:val="20"/>
          <w:szCs w:val="22"/>
          <w:rtl/>
        </w:rPr>
        <w:t>השתתפות</w:t>
      </w:r>
      <w:r w:rsidRPr="00CB20FE">
        <w:rPr>
          <w:rFonts w:cs="FrankRuehl"/>
          <w:sz w:val="20"/>
          <w:szCs w:val="22"/>
          <w:rtl/>
        </w:rPr>
        <w:t xml:space="preserve"> </w:t>
      </w:r>
      <w:r w:rsidRPr="00CB20FE">
        <w:rPr>
          <w:rFonts w:cs="FrankRuehl" w:hint="cs"/>
          <w:sz w:val="20"/>
          <w:szCs w:val="22"/>
          <w:rtl/>
        </w:rPr>
        <w:t>במכרזים,</w:t>
      </w:r>
      <w:r w:rsidRPr="00CB20FE">
        <w:rPr>
          <w:rFonts w:cs="FrankRuehl"/>
          <w:sz w:val="20"/>
          <w:szCs w:val="22"/>
          <w:rtl/>
        </w:rPr>
        <w:t xml:space="preserve"> </w:t>
      </w:r>
      <w:r w:rsidRPr="00CB20FE">
        <w:rPr>
          <w:rFonts w:cs="FrankRuehl" w:hint="cs"/>
          <w:sz w:val="20"/>
          <w:szCs w:val="22"/>
          <w:rtl/>
        </w:rPr>
        <w:t>ולעתים</w:t>
      </w:r>
      <w:r w:rsidRPr="00CB20FE">
        <w:rPr>
          <w:rFonts w:cs="FrankRuehl"/>
          <w:sz w:val="20"/>
          <w:szCs w:val="22"/>
          <w:rtl/>
        </w:rPr>
        <w:t xml:space="preserve"> </w:t>
      </w:r>
      <w:r w:rsidRPr="00CB20FE">
        <w:rPr>
          <w:rFonts w:cs="FrankRuehl" w:hint="cs"/>
          <w:sz w:val="20"/>
          <w:szCs w:val="22"/>
          <w:rtl/>
        </w:rPr>
        <w:t>הפערים</w:t>
      </w:r>
      <w:r w:rsidRPr="00CB20FE">
        <w:rPr>
          <w:rFonts w:cs="FrankRuehl"/>
          <w:sz w:val="20"/>
          <w:szCs w:val="22"/>
          <w:rtl/>
        </w:rPr>
        <w:t xml:space="preserve"> </w:t>
      </w:r>
      <w:r w:rsidRPr="00CB20FE">
        <w:rPr>
          <w:rFonts w:cs="FrankRuehl" w:hint="cs"/>
          <w:sz w:val="20"/>
          <w:szCs w:val="22"/>
          <w:rtl/>
        </w:rPr>
        <w:t>היו</w:t>
      </w:r>
      <w:r w:rsidRPr="00CB20FE">
        <w:rPr>
          <w:rFonts w:cs="FrankRuehl"/>
          <w:sz w:val="20"/>
          <w:szCs w:val="22"/>
          <w:rtl/>
        </w:rPr>
        <w:t xml:space="preserve"> </w:t>
      </w:r>
      <w:r w:rsidRPr="00CB20FE">
        <w:rPr>
          <w:rFonts w:cs="FrankRuehl" w:hint="cs"/>
          <w:sz w:val="20"/>
          <w:szCs w:val="22"/>
          <w:rtl/>
        </w:rPr>
        <w:t>גדולים.</w:t>
      </w:r>
      <w:r w:rsidRPr="00CB20FE">
        <w:rPr>
          <w:rFonts w:cs="FrankRuehl"/>
          <w:sz w:val="20"/>
          <w:szCs w:val="22"/>
          <w:rtl/>
        </w:rPr>
        <w:t xml:space="preserve"> </w:t>
      </w:r>
      <w:r w:rsidRPr="00CB20FE">
        <w:rPr>
          <w:rFonts w:cs="FrankRuehl" w:hint="cs"/>
          <w:sz w:val="20"/>
          <w:szCs w:val="22"/>
          <w:rtl/>
        </w:rPr>
        <w:t xml:space="preserve">עוד הועלה כי </w:t>
      </w:r>
      <w:r w:rsidRPr="00CB20FE">
        <w:rPr>
          <w:rFonts w:cs="FrankRuehl"/>
          <w:sz w:val="20"/>
          <w:szCs w:val="22"/>
          <w:rtl/>
        </w:rPr>
        <w:t xml:space="preserve">עסקים קטנים ובינוניים </w:t>
      </w:r>
      <w:r w:rsidRPr="00CB20FE">
        <w:rPr>
          <w:rFonts w:cs="FrankRuehl" w:hint="cs"/>
          <w:sz w:val="20"/>
          <w:szCs w:val="22"/>
          <w:rtl/>
        </w:rPr>
        <w:t>התקשו להשתתף במכרזים</w:t>
      </w:r>
      <w:r w:rsidRPr="00CB20FE">
        <w:rPr>
          <w:rFonts w:cs="FrankRuehl"/>
          <w:sz w:val="20"/>
          <w:szCs w:val="22"/>
          <w:rtl/>
        </w:rPr>
        <w:t xml:space="preserve"> </w:t>
      </w:r>
      <w:r w:rsidRPr="00CB20FE">
        <w:rPr>
          <w:rFonts w:cs="FrankRuehl" w:hint="cs"/>
          <w:sz w:val="20"/>
          <w:szCs w:val="22"/>
          <w:rtl/>
        </w:rPr>
        <w:t>שבהם נקבעה עלות השתתפות גבוהה</w:t>
      </w:r>
      <w:r w:rsidRPr="00CB20FE">
        <w:rPr>
          <w:rFonts w:cs="FrankRuehl"/>
          <w:sz w:val="20"/>
          <w:szCs w:val="22"/>
          <w:rtl/>
        </w:rPr>
        <w:t>.</w:t>
      </w:r>
    </w:p>
    <w:p w:rsidR="00E21817" w:rsidRPr="00CB20FE" w:rsidP="00484EEB">
      <w:pPr>
        <w:spacing w:after="120" w:line="230" w:lineRule="exact"/>
        <w:jc w:val="both"/>
        <w:rPr>
          <w:rFonts w:cs="FrankRuehl"/>
          <w:sz w:val="20"/>
          <w:szCs w:val="22"/>
          <w:rtl/>
        </w:rPr>
      </w:pPr>
      <w:r w:rsidRPr="00CB20FE">
        <w:rPr>
          <w:rFonts w:cs="FrankRuehl" w:hint="cs"/>
          <w:sz w:val="20"/>
          <w:szCs w:val="22"/>
          <w:rtl/>
        </w:rPr>
        <w:t>החשכ"ל</w:t>
      </w:r>
      <w:r w:rsidRPr="00CB20FE">
        <w:rPr>
          <w:rFonts w:cs="FrankRuehl" w:hint="cs"/>
          <w:sz w:val="20"/>
          <w:szCs w:val="22"/>
          <w:rtl/>
        </w:rPr>
        <w:t xml:space="preserve"> מסר בתשובתו כי "</w:t>
      </w:r>
      <w:r w:rsidRPr="00CB20FE">
        <w:rPr>
          <w:rFonts w:cs="FrankRuehl" w:hint="cs"/>
          <w:sz w:val="20"/>
          <w:szCs w:val="22"/>
          <w:rtl/>
        </w:rPr>
        <w:t>מינהל</w:t>
      </w:r>
      <w:r w:rsidRPr="00CB20FE">
        <w:rPr>
          <w:rFonts w:cs="FrankRuehl" w:hint="cs"/>
          <w:sz w:val="20"/>
          <w:szCs w:val="22"/>
          <w:rtl/>
        </w:rPr>
        <w:t xml:space="preserve"> הרכש פועל על מנת לקבוע כללים בעניין".</w:t>
      </w:r>
    </w:p>
    <w:p w:rsidR="00E21817" w:rsidRPr="00CB20FE" w:rsidP="00484EEB">
      <w:pPr>
        <w:spacing w:after="240" w:line="230" w:lineRule="exact"/>
        <w:ind w:left="-2"/>
        <w:jc w:val="both"/>
        <w:rPr>
          <w:rFonts w:cs="FrankRuehl"/>
          <w:sz w:val="20"/>
          <w:szCs w:val="22"/>
          <w:rtl/>
          <w:lang w:eastAsia="he-IL"/>
        </w:rPr>
      </w:pPr>
      <w:r w:rsidRPr="001C54DB">
        <w:rPr>
          <w:rStyle w:val="Heading5Char"/>
          <w:rFonts w:cs="FrankRuehl" w:hint="cs"/>
          <w:spacing w:val="40"/>
          <w:sz w:val="20"/>
          <w:szCs w:val="22"/>
          <w:rtl/>
        </w:rPr>
        <w:t>ערבויות</w:t>
      </w:r>
      <w:r w:rsidRPr="001C54DB">
        <w:rPr>
          <w:rStyle w:val="Heading5Char"/>
          <w:rFonts w:cs="FrankRuehl"/>
          <w:spacing w:val="40"/>
          <w:sz w:val="20"/>
          <w:szCs w:val="22"/>
          <w:rtl/>
        </w:rPr>
        <w:t>:</w:t>
      </w:r>
      <w:r w:rsidRPr="00CB20FE">
        <w:rPr>
          <w:rStyle w:val="Heading7Char"/>
          <w:rFonts w:cs="FrankRuehl"/>
          <w:sz w:val="20"/>
          <w:szCs w:val="22"/>
          <w:rtl/>
        </w:rPr>
        <w:t xml:space="preserve"> </w:t>
      </w:r>
      <w:r w:rsidRPr="00CB20FE">
        <w:rPr>
          <w:rFonts w:cs="FrankRuehl" w:hint="cs"/>
          <w:sz w:val="20"/>
          <w:szCs w:val="22"/>
          <w:rtl/>
        </w:rPr>
        <w:t>עסק</w:t>
      </w:r>
      <w:r w:rsidRPr="00CB20FE">
        <w:rPr>
          <w:rFonts w:cs="FrankRuehl"/>
          <w:sz w:val="20"/>
          <w:szCs w:val="22"/>
          <w:rtl/>
        </w:rPr>
        <w:t xml:space="preserve"> </w:t>
      </w:r>
      <w:r w:rsidRPr="00CB20FE">
        <w:rPr>
          <w:rFonts w:cs="FrankRuehl" w:hint="cs"/>
          <w:sz w:val="20"/>
          <w:szCs w:val="22"/>
          <w:rtl/>
        </w:rPr>
        <w:t>המגיש הצעה</w:t>
      </w:r>
      <w:r w:rsidRPr="00CB20FE">
        <w:rPr>
          <w:rFonts w:cs="FrankRuehl"/>
          <w:sz w:val="20"/>
          <w:szCs w:val="22"/>
          <w:rtl/>
        </w:rPr>
        <w:t xml:space="preserve"> </w:t>
      </w:r>
      <w:r w:rsidRPr="00CB20FE">
        <w:rPr>
          <w:rFonts w:cs="FrankRuehl" w:hint="cs"/>
          <w:sz w:val="20"/>
          <w:szCs w:val="22"/>
          <w:rtl/>
        </w:rPr>
        <w:t>למכרז</w:t>
      </w:r>
      <w:r w:rsidRPr="00CB20FE">
        <w:rPr>
          <w:rFonts w:cs="FrankRuehl"/>
          <w:sz w:val="20"/>
          <w:szCs w:val="22"/>
          <w:rtl/>
        </w:rPr>
        <w:t xml:space="preserve"> </w:t>
      </w:r>
      <w:r w:rsidRPr="00CB20FE">
        <w:rPr>
          <w:rFonts w:cs="FrankRuehl" w:hint="cs"/>
          <w:sz w:val="20"/>
          <w:szCs w:val="22"/>
          <w:rtl/>
        </w:rPr>
        <w:t>נדרש</w:t>
      </w:r>
      <w:r w:rsidRPr="00CB20FE">
        <w:rPr>
          <w:rFonts w:cs="FrankRuehl"/>
          <w:sz w:val="20"/>
          <w:szCs w:val="22"/>
          <w:rtl/>
        </w:rPr>
        <w:t xml:space="preserve"> </w:t>
      </w:r>
      <w:r w:rsidRPr="00CB20FE">
        <w:rPr>
          <w:rFonts w:cs="FrankRuehl" w:hint="cs"/>
          <w:sz w:val="20"/>
          <w:szCs w:val="22"/>
          <w:rtl/>
        </w:rPr>
        <w:t>לספק</w:t>
      </w:r>
      <w:r w:rsidRPr="00CB20FE">
        <w:rPr>
          <w:rFonts w:cs="FrankRuehl"/>
          <w:sz w:val="20"/>
          <w:szCs w:val="22"/>
          <w:rtl/>
        </w:rPr>
        <w:t xml:space="preserve"> </w:t>
      </w:r>
      <w:r w:rsidRPr="00CB20FE">
        <w:rPr>
          <w:rFonts w:cs="FrankRuehl" w:hint="cs"/>
          <w:sz w:val="20"/>
          <w:szCs w:val="22"/>
          <w:rtl/>
        </w:rPr>
        <w:t>ערבות</w:t>
      </w:r>
      <w:r w:rsidRPr="00CB20FE">
        <w:rPr>
          <w:rFonts w:cs="FrankRuehl"/>
          <w:sz w:val="20"/>
          <w:szCs w:val="22"/>
          <w:rtl/>
        </w:rPr>
        <w:t xml:space="preserve"> </w:t>
      </w:r>
      <w:r w:rsidRPr="00CB20FE">
        <w:rPr>
          <w:rFonts w:cs="FrankRuehl" w:hint="cs"/>
          <w:sz w:val="20"/>
          <w:szCs w:val="22"/>
          <w:rtl/>
        </w:rPr>
        <w:t>הצעה</w:t>
      </w:r>
      <w:r w:rsidRPr="00CB20FE">
        <w:rPr>
          <w:rFonts w:cs="FrankRuehl"/>
          <w:sz w:val="20"/>
          <w:szCs w:val="22"/>
          <w:rtl/>
        </w:rPr>
        <w:t xml:space="preserve">. </w:t>
      </w:r>
      <w:r w:rsidRPr="00CB20FE">
        <w:rPr>
          <w:rFonts w:cs="FrankRuehl" w:hint="cs"/>
          <w:sz w:val="20"/>
          <w:szCs w:val="22"/>
          <w:rtl/>
        </w:rPr>
        <w:t>זוכה</w:t>
      </w:r>
      <w:r w:rsidRPr="00CB20FE">
        <w:rPr>
          <w:rFonts w:cs="FrankRuehl"/>
          <w:sz w:val="20"/>
          <w:szCs w:val="22"/>
          <w:rtl/>
        </w:rPr>
        <w:t xml:space="preserve"> </w:t>
      </w:r>
      <w:r w:rsidRPr="00CB20FE">
        <w:rPr>
          <w:rFonts w:cs="FrankRuehl" w:hint="cs"/>
          <w:sz w:val="20"/>
          <w:szCs w:val="22"/>
          <w:rtl/>
        </w:rPr>
        <w:t>במכרז</w:t>
      </w:r>
      <w:r w:rsidRPr="00CB20FE">
        <w:rPr>
          <w:rFonts w:cs="FrankRuehl"/>
          <w:sz w:val="20"/>
          <w:szCs w:val="22"/>
          <w:rtl/>
        </w:rPr>
        <w:t xml:space="preserve"> </w:t>
      </w:r>
      <w:r w:rsidRPr="00CB20FE">
        <w:rPr>
          <w:rFonts w:cs="FrankRuehl" w:hint="cs"/>
          <w:sz w:val="20"/>
          <w:szCs w:val="22"/>
          <w:rtl/>
        </w:rPr>
        <w:t>נדרש</w:t>
      </w:r>
      <w:r w:rsidRPr="00CB20FE">
        <w:rPr>
          <w:rFonts w:cs="FrankRuehl"/>
          <w:sz w:val="20"/>
          <w:szCs w:val="22"/>
          <w:rtl/>
        </w:rPr>
        <w:t xml:space="preserve"> </w:t>
      </w:r>
      <w:r w:rsidRPr="00CB20FE">
        <w:rPr>
          <w:rFonts w:cs="FrankRuehl" w:hint="cs"/>
          <w:sz w:val="20"/>
          <w:szCs w:val="22"/>
          <w:rtl/>
        </w:rPr>
        <w:t>לספק</w:t>
      </w:r>
      <w:r w:rsidRPr="00CB20FE">
        <w:rPr>
          <w:rFonts w:cs="FrankRuehl"/>
          <w:sz w:val="20"/>
          <w:szCs w:val="22"/>
          <w:rtl/>
        </w:rPr>
        <w:t xml:space="preserve"> </w:t>
      </w:r>
      <w:r w:rsidRPr="00CB20FE">
        <w:rPr>
          <w:rFonts w:cs="FrankRuehl" w:hint="cs"/>
          <w:sz w:val="20"/>
          <w:szCs w:val="22"/>
          <w:rtl/>
        </w:rPr>
        <w:t>שני</w:t>
      </w:r>
      <w:r w:rsidRPr="00CB20FE">
        <w:rPr>
          <w:rFonts w:cs="FrankRuehl"/>
          <w:sz w:val="20"/>
          <w:szCs w:val="22"/>
          <w:rtl/>
        </w:rPr>
        <w:t xml:space="preserve"> </w:t>
      </w:r>
      <w:r w:rsidRPr="00CB20FE">
        <w:rPr>
          <w:rFonts w:cs="FrankRuehl" w:hint="cs"/>
          <w:sz w:val="20"/>
          <w:szCs w:val="22"/>
          <w:rtl/>
        </w:rPr>
        <w:t>סוגי</w:t>
      </w:r>
      <w:r w:rsidRPr="00CB20FE">
        <w:rPr>
          <w:rFonts w:cs="FrankRuehl"/>
          <w:sz w:val="20"/>
          <w:szCs w:val="22"/>
          <w:rtl/>
        </w:rPr>
        <w:t xml:space="preserve"> </w:t>
      </w:r>
      <w:r w:rsidRPr="00CB20FE">
        <w:rPr>
          <w:rFonts w:cs="FrankRuehl" w:hint="cs"/>
          <w:sz w:val="20"/>
          <w:szCs w:val="22"/>
          <w:rtl/>
        </w:rPr>
        <w:t>ערבויות</w:t>
      </w:r>
      <w:r w:rsidRPr="00CB20FE">
        <w:rPr>
          <w:rFonts w:cs="FrankRuehl"/>
          <w:sz w:val="20"/>
          <w:szCs w:val="22"/>
          <w:rtl/>
        </w:rPr>
        <w:t xml:space="preserve"> </w:t>
      </w:r>
      <w:r w:rsidRPr="00CB20FE">
        <w:rPr>
          <w:rFonts w:cs="FrankRuehl" w:hint="cs"/>
          <w:sz w:val="20"/>
          <w:szCs w:val="22"/>
          <w:rtl/>
        </w:rPr>
        <w:t>נוספים</w:t>
      </w:r>
      <w:r w:rsidRPr="00CB20FE">
        <w:rPr>
          <w:rFonts w:cs="FrankRuehl"/>
          <w:sz w:val="20"/>
          <w:szCs w:val="22"/>
          <w:rtl/>
        </w:rPr>
        <w:t xml:space="preserve">: </w:t>
      </w:r>
      <w:r w:rsidRPr="00CB20FE">
        <w:rPr>
          <w:rFonts w:cs="FrankRuehl" w:hint="cs"/>
          <w:sz w:val="20"/>
          <w:szCs w:val="22"/>
          <w:rtl/>
        </w:rPr>
        <w:t>ערבות</w:t>
      </w:r>
      <w:r w:rsidRPr="00CB20FE">
        <w:rPr>
          <w:rFonts w:cs="FrankRuehl"/>
          <w:sz w:val="20"/>
          <w:szCs w:val="22"/>
          <w:rtl/>
        </w:rPr>
        <w:t xml:space="preserve"> </w:t>
      </w:r>
      <w:r w:rsidRPr="00CB20FE">
        <w:rPr>
          <w:rFonts w:cs="FrankRuehl" w:hint="cs"/>
          <w:sz w:val="20"/>
          <w:szCs w:val="22"/>
          <w:rtl/>
        </w:rPr>
        <w:t>ביצוע</w:t>
      </w:r>
      <w:r w:rsidRPr="00CB20FE">
        <w:rPr>
          <w:rFonts w:cs="FrankRuehl"/>
          <w:sz w:val="20"/>
          <w:szCs w:val="22"/>
          <w:rtl/>
        </w:rPr>
        <w:t xml:space="preserve"> </w:t>
      </w:r>
      <w:r w:rsidRPr="00CB20FE">
        <w:rPr>
          <w:rFonts w:cs="FrankRuehl" w:hint="cs"/>
          <w:sz w:val="20"/>
          <w:szCs w:val="22"/>
          <w:rtl/>
        </w:rPr>
        <w:t xml:space="preserve">וערבות </w:t>
      </w:r>
      <w:r w:rsidRPr="00CB20FE">
        <w:rPr>
          <w:rFonts w:cs="FrankRuehl" w:hint="cs"/>
          <w:sz w:val="20"/>
          <w:szCs w:val="22"/>
          <w:rtl/>
          <w:lang w:eastAsia="he-IL"/>
        </w:rPr>
        <w:t>טיב. ארגון מייצג של ענף הקבלנים מסר למשרד מבקר המדינה כי מקובל</w:t>
      </w:r>
      <w:r w:rsidRPr="00CB20FE">
        <w:rPr>
          <w:rFonts w:cs="FrankRuehl"/>
          <w:sz w:val="20"/>
          <w:szCs w:val="22"/>
          <w:rtl/>
          <w:lang w:eastAsia="he-IL"/>
        </w:rPr>
        <w:t xml:space="preserve"> </w:t>
      </w:r>
      <w:r w:rsidRPr="00CB20FE">
        <w:rPr>
          <w:rFonts w:cs="FrankRuehl" w:hint="cs"/>
          <w:sz w:val="20"/>
          <w:szCs w:val="22"/>
          <w:rtl/>
          <w:lang w:eastAsia="he-IL"/>
        </w:rPr>
        <w:t>ששיעור</w:t>
      </w:r>
      <w:r w:rsidRPr="00CB20FE">
        <w:rPr>
          <w:rFonts w:cs="FrankRuehl"/>
          <w:sz w:val="20"/>
          <w:szCs w:val="22"/>
          <w:rtl/>
          <w:lang w:eastAsia="he-IL"/>
        </w:rPr>
        <w:t xml:space="preserve"> </w:t>
      </w:r>
      <w:r w:rsidRPr="00CB20FE">
        <w:rPr>
          <w:rFonts w:cs="FrankRuehl" w:hint="cs"/>
          <w:sz w:val="20"/>
          <w:szCs w:val="22"/>
          <w:rtl/>
          <w:lang w:eastAsia="he-IL"/>
        </w:rPr>
        <w:t>הערבות</w:t>
      </w:r>
      <w:r w:rsidRPr="00CB20FE">
        <w:rPr>
          <w:rFonts w:cs="FrankRuehl"/>
          <w:sz w:val="20"/>
          <w:szCs w:val="22"/>
          <w:rtl/>
          <w:lang w:eastAsia="he-IL"/>
        </w:rPr>
        <w:t xml:space="preserve"> </w:t>
      </w:r>
      <w:r w:rsidRPr="00CB20FE">
        <w:rPr>
          <w:rFonts w:cs="FrankRuehl" w:hint="cs"/>
          <w:sz w:val="20"/>
          <w:szCs w:val="22"/>
          <w:rtl/>
          <w:lang w:eastAsia="he-IL"/>
        </w:rPr>
        <w:t>מהיקף</w:t>
      </w:r>
      <w:r w:rsidRPr="00CB20FE">
        <w:rPr>
          <w:rFonts w:cs="FrankRuehl"/>
          <w:sz w:val="20"/>
          <w:szCs w:val="22"/>
          <w:rtl/>
          <w:lang w:eastAsia="he-IL"/>
        </w:rPr>
        <w:t xml:space="preserve"> </w:t>
      </w:r>
      <w:r w:rsidRPr="00CB20FE">
        <w:rPr>
          <w:rFonts w:cs="FrankRuehl" w:hint="cs"/>
          <w:sz w:val="20"/>
          <w:szCs w:val="22"/>
          <w:rtl/>
          <w:lang w:eastAsia="he-IL"/>
        </w:rPr>
        <w:t>העבודה</w:t>
      </w:r>
      <w:r w:rsidRPr="00CB20FE">
        <w:rPr>
          <w:rFonts w:cs="FrankRuehl"/>
          <w:sz w:val="20"/>
          <w:szCs w:val="22"/>
          <w:rtl/>
          <w:lang w:eastAsia="he-IL"/>
        </w:rPr>
        <w:t xml:space="preserve"> </w:t>
      </w:r>
      <w:r w:rsidRPr="00CB20FE">
        <w:rPr>
          <w:rFonts w:cs="FrankRuehl" w:hint="cs"/>
          <w:sz w:val="20"/>
          <w:szCs w:val="22"/>
          <w:rtl/>
          <w:lang w:eastAsia="he-IL"/>
        </w:rPr>
        <w:t xml:space="preserve">הוא </w:t>
      </w:r>
      <w:r w:rsidRPr="00CB20FE">
        <w:rPr>
          <w:rFonts w:cs="FrankRuehl"/>
          <w:sz w:val="20"/>
          <w:szCs w:val="22"/>
          <w:rtl/>
          <w:lang w:eastAsia="he-IL"/>
        </w:rPr>
        <w:t xml:space="preserve">2% לערבות הצעה, 5% לערבות ביצוע </w:t>
      </w:r>
      <w:r w:rsidR="00BB1518">
        <w:rPr>
          <w:rFonts w:cs="FrankRuehl" w:hint="cs"/>
          <w:sz w:val="20"/>
          <w:szCs w:val="22"/>
          <w:rtl/>
          <w:lang w:eastAsia="he-IL"/>
        </w:rPr>
        <w:br/>
      </w:r>
      <w:r w:rsidRPr="00CB20FE">
        <w:rPr>
          <w:rFonts w:cs="FrankRuehl"/>
          <w:sz w:val="20"/>
          <w:szCs w:val="22"/>
          <w:rtl/>
          <w:lang w:eastAsia="he-IL"/>
        </w:rPr>
        <w:t>ו</w:t>
      </w:r>
      <w:r w:rsidRPr="00CB20FE">
        <w:rPr>
          <w:rFonts w:cs="FrankRuehl" w:hint="cs"/>
          <w:sz w:val="20"/>
          <w:szCs w:val="22"/>
          <w:rtl/>
          <w:lang w:eastAsia="he-IL"/>
        </w:rPr>
        <w:t>-</w:t>
      </w:r>
      <w:r w:rsidRPr="00CB20FE">
        <w:rPr>
          <w:rFonts w:cs="FrankRuehl"/>
          <w:sz w:val="20"/>
          <w:szCs w:val="22"/>
          <w:rtl/>
          <w:lang w:eastAsia="he-IL"/>
        </w:rPr>
        <w:t xml:space="preserve">2% לערבות טיב. </w:t>
      </w:r>
      <w:r w:rsidRPr="00CB20FE">
        <w:rPr>
          <w:rFonts w:cs="FrankRuehl" w:hint="cs"/>
          <w:sz w:val="20"/>
          <w:szCs w:val="22"/>
          <w:rtl/>
          <w:lang w:eastAsia="he-IL"/>
        </w:rPr>
        <w:t>אולם</w:t>
      </w:r>
      <w:r w:rsidRPr="00CB20FE">
        <w:rPr>
          <w:rFonts w:cs="FrankRuehl"/>
          <w:sz w:val="20"/>
          <w:szCs w:val="22"/>
          <w:rtl/>
          <w:lang w:eastAsia="he-IL"/>
        </w:rPr>
        <w:t xml:space="preserve"> </w:t>
      </w:r>
      <w:r w:rsidRPr="00CB20FE">
        <w:rPr>
          <w:rFonts w:cs="FrankRuehl" w:hint="cs"/>
          <w:sz w:val="20"/>
          <w:szCs w:val="22"/>
          <w:rtl/>
          <w:lang w:eastAsia="he-IL"/>
        </w:rPr>
        <w:t>עולה כי יש</w:t>
      </w:r>
      <w:r w:rsidRPr="00CB20FE">
        <w:rPr>
          <w:rFonts w:cs="FrankRuehl"/>
          <w:sz w:val="20"/>
          <w:szCs w:val="22"/>
          <w:rtl/>
          <w:lang w:eastAsia="he-IL"/>
        </w:rPr>
        <w:t xml:space="preserve"> </w:t>
      </w:r>
      <w:r w:rsidRPr="00CB20FE">
        <w:rPr>
          <w:rFonts w:cs="FrankRuehl" w:hint="cs"/>
          <w:sz w:val="20"/>
          <w:szCs w:val="22"/>
          <w:rtl/>
          <w:lang w:eastAsia="he-IL"/>
        </w:rPr>
        <w:t>רשויות</w:t>
      </w:r>
      <w:r w:rsidRPr="00CB20FE">
        <w:rPr>
          <w:rFonts w:cs="FrankRuehl"/>
          <w:sz w:val="20"/>
          <w:szCs w:val="22"/>
          <w:rtl/>
          <w:lang w:eastAsia="he-IL"/>
        </w:rPr>
        <w:t xml:space="preserve"> </w:t>
      </w:r>
      <w:r w:rsidRPr="00CB20FE">
        <w:rPr>
          <w:rFonts w:cs="FrankRuehl" w:hint="cs"/>
          <w:sz w:val="20"/>
          <w:szCs w:val="22"/>
          <w:rtl/>
          <w:lang w:eastAsia="he-IL"/>
        </w:rPr>
        <w:t>מקומיות</w:t>
      </w:r>
      <w:r w:rsidRPr="00CB20FE">
        <w:rPr>
          <w:rFonts w:cs="FrankRuehl"/>
          <w:sz w:val="20"/>
          <w:szCs w:val="22"/>
          <w:rtl/>
          <w:lang w:eastAsia="he-IL"/>
        </w:rPr>
        <w:t xml:space="preserve"> </w:t>
      </w:r>
      <w:r w:rsidRPr="00CB20FE">
        <w:rPr>
          <w:rFonts w:cs="FrankRuehl" w:hint="cs"/>
          <w:sz w:val="20"/>
          <w:szCs w:val="22"/>
          <w:rtl/>
          <w:lang w:eastAsia="he-IL"/>
        </w:rPr>
        <w:t>הנוהגות</w:t>
      </w:r>
      <w:r w:rsidRPr="00CB20FE">
        <w:rPr>
          <w:rFonts w:cs="FrankRuehl"/>
          <w:sz w:val="20"/>
          <w:szCs w:val="22"/>
          <w:rtl/>
          <w:lang w:eastAsia="he-IL"/>
        </w:rPr>
        <w:t xml:space="preserve"> לדרוש 10% </w:t>
      </w:r>
      <w:r w:rsidRPr="00CB20FE">
        <w:rPr>
          <w:rFonts w:cs="FrankRuehl" w:hint="cs"/>
          <w:sz w:val="20"/>
          <w:szCs w:val="22"/>
          <w:rtl/>
          <w:lang w:eastAsia="he-IL"/>
        </w:rPr>
        <w:t>ל</w:t>
      </w:r>
      <w:r w:rsidRPr="00CB20FE">
        <w:rPr>
          <w:rFonts w:cs="FrankRuehl"/>
          <w:sz w:val="20"/>
          <w:szCs w:val="22"/>
          <w:rtl/>
          <w:lang w:eastAsia="he-IL"/>
        </w:rPr>
        <w:t xml:space="preserve">ערבות ביצוע </w:t>
      </w:r>
      <w:r w:rsidR="00BB1518">
        <w:rPr>
          <w:rFonts w:cs="FrankRuehl" w:hint="cs"/>
          <w:sz w:val="20"/>
          <w:szCs w:val="22"/>
          <w:rtl/>
          <w:lang w:eastAsia="he-IL"/>
        </w:rPr>
        <w:br/>
      </w:r>
      <w:r w:rsidRPr="00CB20FE">
        <w:rPr>
          <w:rFonts w:cs="FrankRuehl"/>
          <w:sz w:val="20"/>
          <w:szCs w:val="22"/>
          <w:rtl/>
          <w:lang w:eastAsia="he-IL"/>
        </w:rPr>
        <w:t>ו</w:t>
      </w:r>
      <w:r w:rsidRPr="00CB20FE">
        <w:rPr>
          <w:rFonts w:cs="FrankRuehl" w:hint="cs"/>
          <w:sz w:val="20"/>
          <w:szCs w:val="22"/>
          <w:rtl/>
          <w:lang w:eastAsia="he-IL"/>
        </w:rPr>
        <w:t>-15%-5%</w:t>
      </w:r>
      <w:r w:rsidRPr="00CB20FE">
        <w:rPr>
          <w:rFonts w:cs="FrankRuehl"/>
          <w:sz w:val="20"/>
          <w:szCs w:val="22"/>
          <w:rtl/>
          <w:lang w:eastAsia="he-IL"/>
        </w:rPr>
        <w:t xml:space="preserve"> </w:t>
      </w:r>
      <w:r w:rsidRPr="00CB20FE">
        <w:rPr>
          <w:rFonts w:cs="FrankRuehl" w:hint="cs"/>
          <w:sz w:val="20"/>
          <w:szCs w:val="22"/>
          <w:rtl/>
          <w:lang w:eastAsia="he-IL"/>
        </w:rPr>
        <w:t>ערבות</w:t>
      </w:r>
      <w:r w:rsidRPr="00CB20FE">
        <w:rPr>
          <w:rFonts w:cs="FrankRuehl"/>
          <w:sz w:val="20"/>
          <w:szCs w:val="22"/>
          <w:rtl/>
          <w:lang w:eastAsia="he-IL"/>
        </w:rPr>
        <w:t xml:space="preserve"> </w:t>
      </w:r>
      <w:r w:rsidRPr="00CB20FE">
        <w:rPr>
          <w:rFonts w:cs="FrankRuehl" w:hint="cs"/>
          <w:sz w:val="20"/>
          <w:szCs w:val="22"/>
          <w:rtl/>
          <w:lang w:eastAsia="he-IL"/>
        </w:rPr>
        <w:t>הצעה</w:t>
      </w:r>
      <w:r w:rsidRPr="00CB20FE">
        <w:rPr>
          <w:rFonts w:cs="FrankRuehl"/>
          <w:sz w:val="20"/>
          <w:szCs w:val="22"/>
          <w:rtl/>
          <w:lang w:eastAsia="he-IL"/>
        </w:rPr>
        <w:t xml:space="preserve"> </w:t>
      </w:r>
      <w:r w:rsidRPr="00CB20FE">
        <w:rPr>
          <w:rFonts w:cs="FrankRuehl" w:hint="cs"/>
          <w:sz w:val="20"/>
          <w:szCs w:val="22"/>
          <w:rtl/>
          <w:lang w:eastAsia="he-IL"/>
        </w:rPr>
        <w:t>וטיב</w:t>
      </w:r>
      <w:r w:rsidRPr="00CB20FE">
        <w:rPr>
          <w:rFonts w:cs="FrankRuehl"/>
          <w:sz w:val="20"/>
          <w:szCs w:val="22"/>
          <w:rtl/>
          <w:lang w:eastAsia="he-IL"/>
        </w:rPr>
        <w:t xml:space="preserve">. </w:t>
      </w:r>
      <w:r w:rsidRPr="00CB20FE">
        <w:rPr>
          <w:rFonts w:cs="FrankRuehl" w:hint="cs"/>
          <w:sz w:val="20"/>
          <w:szCs w:val="22"/>
          <w:rtl/>
          <w:lang w:eastAsia="he-IL"/>
        </w:rPr>
        <w:t>הדבר</w:t>
      </w:r>
      <w:r w:rsidRPr="00CB20FE">
        <w:rPr>
          <w:rFonts w:cs="FrankRuehl"/>
          <w:sz w:val="20"/>
          <w:szCs w:val="22"/>
          <w:rtl/>
          <w:lang w:eastAsia="he-IL"/>
        </w:rPr>
        <w:t xml:space="preserve"> </w:t>
      </w:r>
      <w:r w:rsidRPr="00CB20FE">
        <w:rPr>
          <w:rFonts w:cs="FrankRuehl" w:hint="cs"/>
          <w:sz w:val="20"/>
          <w:szCs w:val="22"/>
          <w:rtl/>
          <w:lang w:eastAsia="he-IL"/>
        </w:rPr>
        <w:t>מכביד</w:t>
      </w:r>
      <w:r w:rsidRPr="00CB20FE">
        <w:rPr>
          <w:rFonts w:cs="FrankRuehl"/>
          <w:sz w:val="20"/>
          <w:szCs w:val="22"/>
          <w:rtl/>
          <w:lang w:eastAsia="he-IL"/>
        </w:rPr>
        <w:t xml:space="preserve"> </w:t>
      </w:r>
      <w:r w:rsidRPr="00CB20FE">
        <w:rPr>
          <w:rFonts w:cs="FrankRuehl" w:hint="cs"/>
          <w:sz w:val="20"/>
          <w:szCs w:val="22"/>
          <w:rtl/>
          <w:lang w:eastAsia="he-IL"/>
        </w:rPr>
        <w:t>ביותר</w:t>
      </w:r>
      <w:r w:rsidRPr="00CB20FE">
        <w:rPr>
          <w:rFonts w:cs="FrankRuehl"/>
          <w:sz w:val="20"/>
          <w:szCs w:val="22"/>
          <w:rtl/>
          <w:lang w:eastAsia="he-IL"/>
        </w:rPr>
        <w:t xml:space="preserve"> </w:t>
      </w:r>
      <w:r w:rsidRPr="00CB20FE">
        <w:rPr>
          <w:rFonts w:cs="FrankRuehl" w:hint="cs"/>
          <w:sz w:val="20"/>
          <w:szCs w:val="22"/>
          <w:rtl/>
          <w:lang w:eastAsia="he-IL"/>
        </w:rPr>
        <w:t>על</w:t>
      </w:r>
      <w:r w:rsidRPr="00CB20FE">
        <w:rPr>
          <w:rFonts w:cs="FrankRuehl"/>
          <w:sz w:val="20"/>
          <w:szCs w:val="22"/>
          <w:rtl/>
          <w:lang w:eastAsia="he-IL"/>
        </w:rPr>
        <w:t xml:space="preserve"> </w:t>
      </w:r>
      <w:r w:rsidRPr="00CB20FE">
        <w:rPr>
          <w:rFonts w:cs="FrankRuehl" w:hint="cs"/>
          <w:sz w:val="20"/>
          <w:szCs w:val="22"/>
          <w:rtl/>
          <w:lang w:eastAsia="he-IL"/>
        </w:rPr>
        <w:t>בעלי</w:t>
      </w:r>
      <w:r w:rsidRPr="00CB20FE">
        <w:rPr>
          <w:rFonts w:cs="FrankRuehl"/>
          <w:sz w:val="20"/>
          <w:szCs w:val="22"/>
          <w:rtl/>
          <w:lang w:eastAsia="he-IL"/>
        </w:rPr>
        <w:t xml:space="preserve"> </w:t>
      </w:r>
      <w:r w:rsidRPr="00CB20FE">
        <w:rPr>
          <w:rFonts w:cs="FrankRuehl" w:hint="cs"/>
          <w:sz w:val="20"/>
          <w:szCs w:val="22"/>
          <w:rtl/>
          <w:lang w:eastAsia="he-IL"/>
        </w:rPr>
        <w:t>עסקים</w:t>
      </w:r>
      <w:r w:rsidRPr="00CB20FE">
        <w:rPr>
          <w:rFonts w:cs="FrankRuehl"/>
          <w:sz w:val="20"/>
          <w:szCs w:val="22"/>
          <w:rtl/>
          <w:lang w:eastAsia="he-IL"/>
        </w:rPr>
        <w:t xml:space="preserve"> </w:t>
      </w:r>
      <w:r w:rsidRPr="00CB20FE">
        <w:rPr>
          <w:rFonts w:cs="FrankRuehl" w:hint="cs"/>
          <w:sz w:val="20"/>
          <w:szCs w:val="22"/>
          <w:rtl/>
          <w:lang w:eastAsia="he-IL"/>
        </w:rPr>
        <w:t>קטנים</w:t>
      </w:r>
      <w:r w:rsidRPr="00CB20FE">
        <w:rPr>
          <w:rFonts w:cs="FrankRuehl"/>
          <w:sz w:val="20"/>
          <w:szCs w:val="22"/>
          <w:rtl/>
          <w:lang w:eastAsia="he-IL"/>
        </w:rPr>
        <w:t xml:space="preserve"> </w:t>
      </w:r>
      <w:r w:rsidRPr="00CB20FE">
        <w:rPr>
          <w:rFonts w:cs="FrankRuehl" w:hint="cs"/>
          <w:sz w:val="20"/>
          <w:szCs w:val="22"/>
          <w:rtl/>
          <w:lang w:eastAsia="he-IL"/>
        </w:rPr>
        <w:t>ובינוניים הניגשים לכמה מכרזים בו זמנית וחייבים להעמיד סכום גבוה של ביטחונות על מנת לקבל את הערבויות.</w:t>
      </w:r>
      <w:r w:rsidRPr="00CB20FE">
        <w:rPr>
          <w:rFonts w:cs="FrankRuehl"/>
          <w:sz w:val="20"/>
          <w:szCs w:val="22"/>
          <w:rtl/>
          <w:lang w:eastAsia="he-IL"/>
        </w:rPr>
        <w:t xml:space="preserve"> </w:t>
      </w:r>
    </w:p>
    <w:p w:rsidR="00E21817" w:rsidRPr="00CB20FE" w:rsidP="00484EEB">
      <w:pPr>
        <w:pStyle w:val="RESHET"/>
        <w:rPr>
          <w:rtl/>
        </w:rPr>
      </w:pPr>
      <w:r w:rsidRPr="00CB20FE">
        <w:rPr>
          <w:rFonts w:hint="cs"/>
          <w:rtl/>
        </w:rPr>
        <w:t>לדעת</w:t>
      </w:r>
      <w:r w:rsidRPr="00CB20FE">
        <w:rPr>
          <w:rtl/>
        </w:rPr>
        <w:t xml:space="preserve"> משרד מבקר המדינה, על</w:t>
      </w:r>
      <w:r w:rsidRPr="00CB20FE">
        <w:rPr>
          <w:rFonts w:hint="cs"/>
          <w:rtl/>
        </w:rPr>
        <w:t xml:space="preserve"> </w:t>
      </w:r>
      <w:r w:rsidRPr="00CB20FE">
        <w:rPr>
          <w:rtl/>
        </w:rPr>
        <w:t>הסוכנות</w:t>
      </w:r>
      <w:r w:rsidRPr="00CB20FE">
        <w:rPr>
          <w:rFonts w:hint="cs"/>
          <w:rtl/>
        </w:rPr>
        <w:t>,</w:t>
      </w:r>
      <w:r w:rsidRPr="00CB20FE">
        <w:rPr>
          <w:rtl/>
        </w:rPr>
        <w:t xml:space="preserve"> </w:t>
      </w:r>
      <w:r w:rsidRPr="00CB20FE">
        <w:rPr>
          <w:rFonts w:hint="cs"/>
          <w:rtl/>
        </w:rPr>
        <w:t xml:space="preserve">בשיתוף משרד הכלכלה, </w:t>
      </w:r>
      <w:r w:rsidRPr="00CB20FE">
        <w:rPr>
          <w:rtl/>
        </w:rPr>
        <w:t>לבחון האם שיעורי הערבויות הנדרשים במכרזים</w:t>
      </w:r>
      <w:r w:rsidRPr="00CB20FE">
        <w:rPr>
          <w:rFonts w:hint="cs"/>
          <w:rtl/>
        </w:rPr>
        <w:t xml:space="preserve"> הם</w:t>
      </w:r>
      <w:r w:rsidRPr="00CB20FE">
        <w:rPr>
          <w:rtl/>
        </w:rPr>
        <w:t xml:space="preserve"> אכן חסם לעסקים קטנים</w:t>
      </w:r>
      <w:r w:rsidRPr="00CB20FE">
        <w:rPr>
          <w:rFonts w:hint="cs"/>
          <w:rtl/>
        </w:rPr>
        <w:t xml:space="preserve"> ובינוניים</w:t>
      </w:r>
      <w:r w:rsidRPr="00CB20FE">
        <w:rPr>
          <w:rtl/>
        </w:rPr>
        <w:t xml:space="preserve"> ול</w:t>
      </w:r>
      <w:r w:rsidRPr="00CB20FE">
        <w:rPr>
          <w:rFonts w:hint="cs"/>
          <w:rtl/>
        </w:rPr>
        <w:t>פעול</w:t>
      </w:r>
      <w:r w:rsidRPr="00CB20FE">
        <w:rPr>
          <w:rtl/>
        </w:rPr>
        <w:t xml:space="preserve"> ל</w:t>
      </w:r>
      <w:r w:rsidRPr="00CB20FE">
        <w:rPr>
          <w:rFonts w:hint="cs"/>
          <w:rtl/>
        </w:rPr>
        <w:t>צמצום</w:t>
      </w:r>
      <w:r w:rsidRPr="00CB20FE">
        <w:rPr>
          <w:rtl/>
        </w:rPr>
        <w:t xml:space="preserve"> חסם זה ככל ש</w:t>
      </w:r>
      <w:r w:rsidRPr="00CB20FE">
        <w:rPr>
          <w:rFonts w:hint="cs"/>
          <w:rtl/>
        </w:rPr>
        <w:t>ניתן</w:t>
      </w:r>
      <w:r w:rsidRPr="00CB20FE">
        <w:rPr>
          <w:rtl/>
        </w:rPr>
        <w:t xml:space="preserve">. </w:t>
      </w:r>
    </w:p>
    <w:p w:rsidR="00E21817" w:rsidRPr="00CB20FE" w:rsidP="00484EEB">
      <w:pPr>
        <w:spacing w:before="180" w:after="120" w:line="230" w:lineRule="exact"/>
        <w:jc w:val="both"/>
        <w:rPr>
          <w:rFonts w:cs="FrankRuehl"/>
          <w:sz w:val="20"/>
          <w:szCs w:val="22"/>
          <w:rtl/>
        </w:rPr>
      </w:pPr>
      <w:r w:rsidRPr="00555376">
        <w:rPr>
          <w:rStyle w:val="Heading5Char"/>
          <w:rFonts w:cs="FrankRuehl" w:hint="cs"/>
          <w:spacing w:val="40"/>
          <w:sz w:val="20"/>
          <w:szCs w:val="22"/>
          <w:rtl/>
        </w:rPr>
        <w:t>טיפול</w:t>
      </w:r>
      <w:r w:rsidRPr="00555376">
        <w:rPr>
          <w:rStyle w:val="Heading5Char"/>
          <w:rFonts w:cs="FrankRuehl"/>
          <w:spacing w:val="40"/>
          <w:sz w:val="20"/>
          <w:szCs w:val="22"/>
          <w:rtl/>
        </w:rPr>
        <w:t xml:space="preserve"> </w:t>
      </w:r>
      <w:r w:rsidRPr="00555376">
        <w:rPr>
          <w:rStyle w:val="Heading5Char"/>
          <w:rFonts w:cs="FrankRuehl" w:hint="cs"/>
          <w:spacing w:val="40"/>
          <w:sz w:val="20"/>
          <w:szCs w:val="22"/>
          <w:rtl/>
        </w:rPr>
        <w:t>הסוכנות</w:t>
      </w:r>
      <w:r w:rsidRPr="00555376">
        <w:rPr>
          <w:rStyle w:val="Heading5Char"/>
          <w:rFonts w:cs="FrankRuehl"/>
          <w:spacing w:val="40"/>
          <w:sz w:val="20"/>
          <w:szCs w:val="22"/>
          <w:rtl/>
        </w:rPr>
        <w:t xml:space="preserve"> </w:t>
      </w:r>
      <w:r w:rsidRPr="00555376">
        <w:rPr>
          <w:rStyle w:val="Heading5Char"/>
          <w:rFonts w:cs="FrankRuehl" w:hint="cs"/>
          <w:spacing w:val="40"/>
          <w:sz w:val="20"/>
          <w:szCs w:val="22"/>
          <w:rtl/>
        </w:rPr>
        <w:t>בחסמים</w:t>
      </w:r>
      <w:r w:rsidR="00555376">
        <w:rPr>
          <w:rStyle w:val="Heading5Char"/>
          <w:rFonts w:cs="FrankRuehl"/>
          <w:spacing w:val="40"/>
          <w:sz w:val="20"/>
          <w:szCs w:val="22"/>
          <w:rtl/>
        </w:rPr>
        <w:t>:</w:t>
      </w:r>
      <w:r w:rsidRPr="00CB20FE">
        <w:rPr>
          <w:rStyle w:val="Heading7Char"/>
          <w:rFonts w:cs="FrankRuehl"/>
          <w:sz w:val="20"/>
          <w:szCs w:val="22"/>
          <w:rtl/>
        </w:rPr>
        <w:t xml:space="preserve"> </w:t>
      </w:r>
      <w:r w:rsidRPr="00CB20FE">
        <w:rPr>
          <w:rFonts w:cs="FrankRuehl" w:hint="cs"/>
          <w:sz w:val="20"/>
          <w:szCs w:val="22"/>
          <w:rtl/>
        </w:rPr>
        <w:t xml:space="preserve">מאז אוגוסט 2014 הסוכנות מפעילה שירות שבו היא מאפשרת לציבור ליידע אותה על חסמים במכרזים של גופים ציבוריים. בשלושת החודשים הראשונים להפעלת השירות קיבלה הסוכנות תלונות בודדות והיא טיפלה בהן עד להסרת החסמים. יצוין שאין לסוכנות סמכות להפסיק את תהליך המכרז אם איתרה חסמים; במקרים שבהם אותרו חסמים הסוכנות פנתה לגוף שפרסם את המכרז או </w:t>
      </w:r>
      <w:r w:rsidRPr="00CB20FE">
        <w:rPr>
          <w:rFonts w:cs="FrankRuehl" w:hint="cs"/>
          <w:sz w:val="20"/>
          <w:szCs w:val="22"/>
          <w:rtl/>
        </w:rPr>
        <w:t>לחשכ"ל</w:t>
      </w:r>
      <w:r w:rsidRPr="00CB20FE">
        <w:rPr>
          <w:rFonts w:cs="FrankRuehl" w:hint="cs"/>
          <w:sz w:val="20"/>
          <w:szCs w:val="22"/>
          <w:rtl/>
        </w:rPr>
        <w:t xml:space="preserve"> והביעה את הסתייגותה. </w:t>
      </w:r>
    </w:p>
    <w:p w:rsidR="00E21817" w:rsidRPr="00CB20FE" w:rsidP="00484EEB">
      <w:pPr>
        <w:spacing w:after="120" w:line="230" w:lineRule="exact"/>
        <w:ind w:left="-1"/>
        <w:jc w:val="both"/>
        <w:rPr>
          <w:rFonts w:cs="FrankRuehl"/>
          <w:sz w:val="20"/>
          <w:szCs w:val="22"/>
          <w:rtl/>
        </w:rPr>
      </w:pPr>
      <w:r w:rsidRPr="00CB20FE">
        <w:rPr>
          <w:rFonts w:cs="FrankRuehl" w:hint="cs"/>
          <w:sz w:val="20"/>
          <w:szCs w:val="22"/>
          <w:rtl/>
          <w:lang w:eastAsia="he-IL"/>
        </w:rPr>
        <w:t>לפי הצעת חוק לעידוד עסקים קטנים ובינוניים בישראל, התשע"ב-2012, שהגיש משרד הכלכלה לאישור ועדת הכלכלה של הכנסת בשנת 2013 (ראו להלן - ה</w:t>
      </w:r>
      <w:r w:rsidRPr="00CB20FE">
        <w:rPr>
          <w:rFonts w:cs="FrankRuehl" w:hint="eastAsia"/>
          <w:sz w:val="20"/>
          <w:szCs w:val="22"/>
          <w:rtl/>
          <w:lang w:eastAsia="he-IL"/>
        </w:rPr>
        <w:t>חוק</w:t>
      </w:r>
      <w:r w:rsidRPr="00CB20FE">
        <w:rPr>
          <w:rFonts w:cs="FrankRuehl"/>
          <w:sz w:val="20"/>
          <w:szCs w:val="22"/>
          <w:rtl/>
          <w:lang w:eastAsia="he-IL"/>
        </w:rPr>
        <w:t xml:space="preserve"> </w:t>
      </w:r>
      <w:r w:rsidRPr="00CB20FE">
        <w:rPr>
          <w:rFonts w:cs="FrankRuehl" w:hint="cs"/>
          <w:sz w:val="20"/>
          <w:szCs w:val="22"/>
          <w:rtl/>
          <w:lang w:eastAsia="he-IL"/>
        </w:rPr>
        <w:t>לעידוד</w:t>
      </w:r>
      <w:r w:rsidRPr="00CB20FE">
        <w:rPr>
          <w:rFonts w:cs="FrankRuehl"/>
          <w:sz w:val="20"/>
          <w:szCs w:val="22"/>
          <w:rtl/>
          <w:lang w:eastAsia="he-IL"/>
        </w:rPr>
        <w:t xml:space="preserve"> </w:t>
      </w:r>
      <w:r w:rsidRPr="00CB20FE">
        <w:rPr>
          <w:rFonts w:cs="FrankRuehl" w:hint="eastAsia"/>
          <w:sz w:val="20"/>
          <w:szCs w:val="22"/>
          <w:rtl/>
          <w:lang w:eastAsia="he-IL"/>
        </w:rPr>
        <w:t>עסקים</w:t>
      </w:r>
      <w:r w:rsidRPr="00CB20FE">
        <w:rPr>
          <w:rFonts w:cs="FrankRuehl"/>
          <w:sz w:val="20"/>
          <w:szCs w:val="22"/>
          <w:rtl/>
          <w:lang w:eastAsia="he-IL"/>
        </w:rPr>
        <w:t xml:space="preserve"> </w:t>
      </w:r>
      <w:r w:rsidRPr="00CB20FE">
        <w:rPr>
          <w:rFonts w:cs="FrankRuehl" w:hint="eastAsia"/>
          <w:sz w:val="20"/>
          <w:szCs w:val="22"/>
          <w:rtl/>
          <w:lang w:eastAsia="he-IL"/>
        </w:rPr>
        <w:t>קטנים</w:t>
      </w:r>
      <w:r w:rsidRPr="00CB20FE">
        <w:rPr>
          <w:rFonts w:cs="FrankRuehl" w:hint="cs"/>
          <w:sz w:val="20"/>
          <w:szCs w:val="22"/>
          <w:rtl/>
          <w:lang w:eastAsia="he-IL"/>
        </w:rPr>
        <w:t xml:space="preserve"> ובינוניים), </w:t>
      </w:r>
      <w:r w:rsidRPr="00CB20FE">
        <w:rPr>
          <w:rFonts w:cs="FrankRuehl" w:hint="cs"/>
          <w:sz w:val="20"/>
          <w:szCs w:val="22"/>
          <w:rtl/>
        </w:rPr>
        <w:t>ת</w:t>
      </w:r>
      <w:r w:rsidRPr="00CB20FE">
        <w:rPr>
          <w:rFonts w:cs="FrankRuehl"/>
          <w:sz w:val="20"/>
          <w:szCs w:val="22"/>
          <w:rtl/>
        </w:rPr>
        <w:t xml:space="preserve">שמש </w:t>
      </w:r>
      <w:r w:rsidRPr="00CB20FE">
        <w:rPr>
          <w:rFonts w:cs="FrankRuehl" w:hint="cs"/>
          <w:sz w:val="20"/>
          <w:szCs w:val="22"/>
          <w:rtl/>
          <w:lang w:eastAsia="he-IL"/>
        </w:rPr>
        <w:t xml:space="preserve">הסוכנות </w:t>
      </w:r>
      <w:r w:rsidRPr="00CB20FE">
        <w:rPr>
          <w:rFonts w:cs="FrankRuehl"/>
          <w:sz w:val="20"/>
          <w:szCs w:val="22"/>
          <w:rtl/>
        </w:rPr>
        <w:t xml:space="preserve">נציבות </w:t>
      </w:r>
      <w:r w:rsidRPr="00CB20FE">
        <w:rPr>
          <w:rFonts w:cs="FrankRuehl" w:hint="cs"/>
          <w:sz w:val="20"/>
          <w:szCs w:val="22"/>
          <w:rtl/>
        </w:rPr>
        <w:t>קבילות ציבור עבור</w:t>
      </w:r>
      <w:r w:rsidRPr="00CB20FE">
        <w:rPr>
          <w:rFonts w:cs="FrankRuehl"/>
          <w:sz w:val="20"/>
          <w:szCs w:val="22"/>
          <w:rtl/>
        </w:rPr>
        <w:t xml:space="preserve"> עסקים קטנים ובינוניים בכל הנוגע לפעולות של רשות ציבורית</w:t>
      </w:r>
      <w:r w:rsidRPr="00CB20FE">
        <w:rPr>
          <w:rFonts w:cs="FrankRuehl" w:hint="cs"/>
          <w:sz w:val="20"/>
          <w:szCs w:val="22"/>
          <w:rtl/>
        </w:rPr>
        <w:t>.</w:t>
      </w:r>
      <w:r w:rsidRPr="00CB20FE">
        <w:rPr>
          <w:rFonts w:cs="FrankRuehl" w:hint="cs"/>
          <w:sz w:val="20"/>
          <w:szCs w:val="22"/>
          <w:rtl/>
          <w:lang w:eastAsia="he-IL"/>
        </w:rPr>
        <w:t xml:space="preserve"> </w:t>
      </w:r>
    </w:p>
    <w:p w:rsidR="00E21817" w:rsidRPr="00CB20FE" w:rsidP="00484EEB">
      <w:pPr>
        <w:spacing w:after="120" w:line="230" w:lineRule="exact"/>
        <w:jc w:val="both"/>
        <w:rPr>
          <w:rFonts w:cs="FrankRuehl"/>
          <w:sz w:val="20"/>
          <w:szCs w:val="22"/>
          <w:rtl/>
          <w:lang w:eastAsia="he-IL"/>
        </w:rPr>
      </w:pPr>
      <w:r w:rsidRPr="00555376">
        <w:rPr>
          <w:rStyle w:val="Heading5Char"/>
          <w:rFonts w:cs="FrankRuehl" w:hint="cs"/>
          <w:spacing w:val="40"/>
          <w:sz w:val="20"/>
          <w:szCs w:val="22"/>
          <w:rtl/>
        </w:rPr>
        <w:t>תנאי</w:t>
      </w:r>
      <w:r w:rsidRPr="00555376">
        <w:rPr>
          <w:rStyle w:val="Heading5Char"/>
          <w:rFonts w:cs="FrankRuehl"/>
          <w:spacing w:val="40"/>
          <w:sz w:val="20"/>
          <w:szCs w:val="22"/>
          <w:rtl/>
        </w:rPr>
        <w:t xml:space="preserve"> </w:t>
      </w:r>
      <w:r w:rsidRPr="00555376">
        <w:rPr>
          <w:rStyle w:val="Heading5Char"/>
          <w:rFonts w:cs="FrankRuehl" w:hint="cs"/>
          <w:spacing w:val="40"/>
          <w:sz w:val="20"/>
          <w:szCs w:val="22"/>
          <w:rtl/>
        </w:rPr>
        <w:t>התשלום עבור ההתקשרות</w:t>
      </w:r>
      <w:r w:rsidRPr="00555376" w:rsidR="00555376">
        <w:rPr>
          <w:rStyle w:val="Heading7Char"/>
          <w:rFonts w:cs="FrankRuehl"/>
          <w:spacing w:val="40"/>
          <w:sz w:val="20"/>
          <w:szCs w:val="22"/>
          <w:rtl/>
        </w:rPr>
        <w:t>:</w:t>
      </w:r>
      <w:r w:rsidRPr="00CB20FE">
        <w:rPr>
          <w:rStyle w:val="Heading7Char"/>
          <w:rFonts w:cs="FrankRuehl"/>
          <w:b/>
          <w:sz w:val="20"/>
          <w:szCs w:val="22"/>
          <w:rtl/>
        </w:rPr>
        <w:t xml:space="preserve"> </w:t>
      </w:r>
      <w:r w:rsidRPr="00CB20FE">
        <w:rPr>
          <w:rFonts w:cs="FrankRuehl" w:hint="cs"/>
          <w:sz w:val="20"/>
          <w:szCs w:val="22"/>
          <w:rtl/>
          <w:lang w:eastAsia="he-IL"/>
        </w:rPr>
        <w:t>תזרים המזומנים של עסקים קטנים ובינוניים בנוי על התאמה בין מועד קבלת ההכנסות למועד תשלום ההוצאות לפרויקט מסוים. אם יש דחייה במועד קבלת ההכנסות, העסק חייב לממן את ההוצאות ממשאביו (הון בעלים, הלוואה, וכד'). דחיית תשלומים פוגעת בניהולו התקין של העסק, בשרידותו וביכולתו להתחרות עם עסקים גדולים, אשר להם משאבי מימון נוספים המסייעים להם להתמודד עם דחיית ההכנסה. ב-2013 עוגנה כדירקטיבה (צו) תקופת האשראי שמשרדי הממשלה באיחוד האירופי יכולים לקבל מספקיהם</w:t>
      </w:r>
      <w:r>
        <w:rPr>
          <w:rStyle w:val="FootnoteReference"/>
          <w:rFonts w:cs="FrankRuehl"/>
          <w:sz w:val="20"/>
          <w:szCs w:val="22"/>
          <w:rtl/>
          <w:lang w:eastAsia="he-IL"/>
        </w:rPr>
        <w:footnoteReference w:id="25"/>
      </w:r>
      <w:r w:rsidRPr="00CB20FE">
        <w:rPr>
          <w:rFonts w:cs="FrankRuehl" w:hint="cs"/>
          <w:sz w:val="20"/>
          <w:szCs w:val="22"/>
          <w:rtl/>
          <w:lang w:eastAsia="he-IL"/>
        </w:rPr>
        <w:t xml:space="preserve">. דירקטיבה זו קבעה תקן של הגבלת תקופת אשראי לעסקים באיחוד האירופי על ידי רשויות השלטון, כך שהרשויות חייבות בתשלום עבור מוצרים ושירותים שהן רוכשות עד 30 יום, ובמקרים חריגים עד 60 יום. קובעות את משך הזמן לתשלום חשבונות שהוגשו למשרדי הממשלה ואת מועדי תשלום הוראות </w:t>
      </w:r>
      <w:r w:rsidRPr="00CB20FE">
        <w:rPr>
          <w:rFonts w:cs="FrankRuehl" w:hint="cs"/>
          <w:sz w:val="20"/>
          <w:szCs w:val="22"/>
          <w:rtl/>
          <w:lang w:eastAsia="he-IL"/>
        </w:rPr>
        <w:t>תכ"ם</w:t>
      </w:r>
      <w:r w:rsidRPr="00CB20FE">
        <w:rPr>
          <w:rFonts w:cs="FrankRuehl" w:hint="cs"/>
          <w:sz w:val="20"/>
          <w:szCs w:val="22"/>
          <w:rtl/>
          <w:lang w:eastAsia="he-IL"/>
        </w:rPr>
        <w:t xml:space="preserve"> החשבונות למשרדי ממשלה (עד 45 יום). הוראות </w:t>
      </w:r>
      <w:r w:rsidRPr="00CB20FE">
        <w:rPr>
          <w:rFonts w:cs="FrankRuehl" w:hint="cs"/>
          <w:sz w:val="20"/>
          <w:szCs w:val="22"/>
          <w:rtl/>
          <w:lang w:eastAsia="he-IL"/>
        </w:rPr>
        <w:t>תכ"ם</w:t>
      </w:r>
      <w:r>
        <w:rPr>
          <w:rFonts w:cs="FrankRuehl"/>
          <w:sz w:val="20"/>
          <w:szCs w:val="22"/>
          <w:vertAlign w:val="superscript"/>
          <w:rtl/>
          <w:lang w:eastAsia="he-IL"/>
        </w:rPr>
        <w:footnoteReference w:id="26"/>
      </w:r>
      <w:r w:rsidRPr="00CB20FE">
        <w:rPr>
          <w:rFonts w:cs="FrankRuehl" w:hint="cs"/>
          <w:sz w:val="20"/>
          <w:szCs w:val="22"/>
          <w:rtl/>
          <w:lang w:eastAsia="he-IL"/>
        </w:rPr>
        <w:t xml:space="preserve"> אינן חלות על תאגידים ממשלתיים ורשויות מקומיות. ארגון מייצג של העסקים הקטנים והבינוניים טען לפני משרד מבקר המדינה כי רשויות מקומיות רבות אינן משלמות את התשלום למבצעי העבודה בזמן שנקבע בהסכם ההתקשרות ביניהם. </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משרד הכלכלה הוסיף בתשובתו כי הסוכנות מסייעת לעסקים הפונים אליה בתלונות על עיכובים בקבלת תשלום מלקוחות ציבוריים. עם זאת, במצב כוח האדם הנוכחי, הסוכנות אינה יכולה למסד ערוץ ייעודי לנושא ולהרחיב את נפח הפעילות באופן של עידוד פניות עסקים וטיפול אך ורק בנושאי תשלום לעסקים הקטנים והבינוניים עבור שירותיהם.</w:t>
      </w:r>
    </w:p>
    <w:p w:rsidR="00E21817" w:rsidRPr="00CB20FE" w:rsidP="00484EEB">
      <w:pPr>
        <w:spacing w:after="240" w:line="230" w:lineRule="exact"/>
        <w:jc w:val="both"/>
        <w:rPr>
          <w:rFonts w:cs="FrankRuehl"/>
          <w:b/>
          <w:bCs/>
          <w:sz w:val="20"/>
          <w:szCs w:val="22"/>
          <w:rtl/>
          <w:lang w:eastAsia="he-IL"/>
        </w:rPr>
      </w:pPr>
      <w:r w:rsidRPr="00CB20FE">
        <w:rPr>
          <w:rFonts w:cs="FrankRuehl" w:hint="cs"/>
          <w:sz w:val="20"/>
          <w:szCs w:val="22"/>
          <w:rtl/>
          <w:lang w:eastAsia="he-IL"/>
        </w:rPr>
        <w:t>הממשלה ערה לעניין מוסר התשלומים ברשויות המקומיות</w:t>
      </w:r>
      <w:r>
        <w:rPr>
          <w:rStyle w:val="FootnoteReference"/>
          <w:rFonts w:cs="FrankRuehl"/>
          <w:sz w:val="20"/>
          <w:szCs w:val="22"/>
          <w:rtl/>
          <w:lang w:eastAsia="he-IL"/>
        </w:rPr>
        <w:footnoteReference w:id="27"/>
      </w:r>
      <w:r w:rsidRPr="00CB20FE">
        <w:rPr>
          <w:rFonts w:cs="FrankRuehl" w:hint="cs"/>
          <w:sz w:val="20"/>
          <w:szCs w:val="22"/>
          <w:rtl/>
          <w:lang w:eastAsia="he-IL"/>
        </w:rPr>
        <w:t>. כדי לתת להן את המשאבים הנדרשים לשלם לספקיהן בהתאם להסכמי הרכש נחקק בשנת</w:t>
      </w:r>
      <w:r w:rsidRPr="00CB20FE">
        <w:rPr>
          <w:rFonts w:cs="FrankRuehl"/>
          <w:sz w:val="20"/>
          <w:szCs w:val="22"/>
          <w:rtl/>
          <w:lang w:eastAsia="he-IL"/>
        </w:rPr>
        <w:t xml:space="preserve"> 1995 חוק הרשויות המקומיות (העברת תשלומים מהמדינה), </w:t>
      </w:r>
      <w:r w:rsidRPr="00CB20FE">
        <w:rPr>
          <w:rFonts w:cs="FrankRuehl" w:hint="cs"/>
          <w:sz w:val="20"/>
          <w:szCs w:val="22"/>
          <w:rtl/>
          <w:lang w:eastAsia="he-IL"/>
        </w:rPr>
        <w:t>ה</w:t>
      </w:r>
      <w:r w:rsidRPr="00CB20FE">
        <w:rPr>
          <w:rFonts w:cs="FrankRuehl"/>
          <w:sz w:val="20"/>
          <w:szCs w:val="22"/>
          <w:rtl/>
          <w:lang w:eastAsia="he-IL"/>
        </w:rPr>
        <w:t>תשנ"ה-1995</w:t>
      </w:r>
      <w:r w:rsidRPr="00CB20FE">
        <w:rPr>
          <w:rFonts w:cs="FrankRuehl" w:hint="cs"/>
          <w:sz w:val="20"/>
          <w:szCs w:val="22"/>
          <w:rtl/>
          <w:lang w:eastAsia="he-IL"/>
        </w:rPr>
        <w:t>,</w:t>
      </w:r>
      <w:r w:rsidRPr="00CB20FE">
        <w:rPr>
          <w:rFonts w:cs="FrankRuehl"/>
          <w:sz w:val="20"/>
          <w:szCs w:val="22"/>
          <w:rtl/>
          <w:lang w:eastAsia="he-IL"/>
        </w:rPr>
        <w:t xml:space="preserve"> </w:t>
      </w:r>
      <w:r w:rsidRPr="00CB20FE">
        <w:rPr>
          <w:rFonts w:cs="FrankRuehl" w:hint="cs"/>
          <w:sz w:val="20"/>
          <w:szCs w:val="22"/>
          <w:rtl/>
          <w:lang w:eastAsia="he-IL"/>
        </w:rPr>
        <w:t>ה</w:t>
      </w:r>
      <w:r w:rsidRPr="00CB20FE">
        <w:rPr>
          <w:rFonts w:cs="FrankRuehl"/>
          <w:sz w:val="20"/>
          <w:szCs w:val="22"/>
          <w:rtl/>
          <w:lang w:eastAsia="he-IL"/>
        </w:rPr>
        <w:t xml:space="preserve">מגדיר את </w:t>
      </w:r>
      <w:r w:rsidRPr="00CB20FE">
        <w:rPr>
          <w:rFonts w:cs="FrankRuehl" w:hint="cs"/>
          <w:sz w:val="20"/>
          <w:szCs w:val="22"/>
          <w:rtl/>
          <w:lang w:eastAsia="he-IL"/>
        </w:rPr>
        <w:t xml:space="preserve">פרקי </w:t>
      </w:r>
      <w:r w:rsidRPr="00CB20FE">
        <w:rPr>
          <w:rFonts w:cs="FrankRuehl"/>
          <w:sz w:val="20"/>
          <w:szCs w:val="22"/>
          <w:rtl/>
          <w:lang w:eastAsia="he-IL"/>
        </w:rPr>
        <w:t xml:space="preserve">הזמן </w:t>
      </w:r>
      <w:r w:rsidRPr="00CB20FE">
        <w:rPr>
          <w:rFonts w:cs="FrankRuehl" w:hint="cs"/>
          <w:sz w:val="20"/>
          <w:szCs w:val="22"/>
          <w:rtl/>
          <w:lang w:eastAsia="he-IL"/>
        </w:rPr>
        <w:t xml:space="preserve">שבהם על הממשלה להעביר כספים </w:t>
      </w:r>
      <w:r w:rsidRPr="00CB20FE">
        <w:rPr>
          <w:rFonts w:cs="FrankRuehl"/>
          <w:sz w:val="20"/>
          <w:szCs w:val="22"/>
          <w:rtl/>
          <w:lang w:eastAsia="he-IL"/>
        </w:rPr>
        <w:t>לרשויות המקומיות</w:t>
      </w:r>
      <w:r w:rsidRPr="00CB20FE">
        <w:rPr>
          <w:rFonts w:cs="FrankRuehl" w:hint="cs"/>
          <w:sz w:val="20"/>
          <w:szCs w:val="22"/>
          <w:rtl/>
          <w:lang w:eastAsia="he-IL"/>
        </w:rPr>
        <w:t>.</w:t>
      </w:r>
      <w:r w:rsidRPr="00CB20FE">
        <w:rPr>
          <w:rFonts w:cs="FrankRuehl"/>
          <w:sz w:val="20"/>
          <w:szCs w:val="22"/>
          <w:rtl/>
          <w:lang w:eastAsia="he-IL"/>
        </w:rPr>
        <w:t xml:space="preserve"> </w:t>
      </w:r>
      <w:r w:rsidRPr="00CB20FE">
        <w:rPr>
          <w:rFonts w:cs="FrankRuehl" w:hint="cs"/>
          <w:sz w:val="20"/>
          <w:szCs w:val="22"/>
          <w:rtl/>
          <w:lang w:eastAsia="he-IL"/>
        </w:rPr>
        <w:t>באוקטובר 2014 החליטה הממשלה לדחות</w:t>
      </w:r>
      <w:r w:rsidRPr="00CB20FE">
        <w:rPr>
          <w:rFonts w:cs="FrankRuehl"/>
          <w:sz w:val="20"/>
          <w:szCs w:val="22"/>
          <w:rtl/>
          <w:lang w:eastAsia="he-IL"/>
        </w:rPr>
        <w:t xml:space="preserve"> </w:t>
      </w:r>
      <w:r w:rsidRPr="00CB20FE">
        <w:rPr>
          <w:rFonts w:cs="FrankRuehl" w:hint="cs"/>
          <w:sz w:val="20"/>
          <w:szCs w:val="22"/>
          <w:rtl/>
          <w:lang w:eastAsia="he-IL"/>
        </w:rPr>
        <w:t>את</w:t>
      </w:r>
      <w:r w:rsidRPr="00CB20FE">
        <w:rPr>
          <w:rFonts w:cs="FrankRuehl"/>
          <w:sz w:val="20"/>
          <w:szCs w:val="22"/>
          <w:rtl/>
          <w:lang w:eastAsia="he-IL"/>
        </w:rPr>
        <w:t xml:space="preserve"> </w:t>
      </w:r>
      <w:r w:rsidRPr="00CB20FE">
        <w:rPr>
          <w:rFonts w:cs="FrankRuehl" w:hint="cs"/>
          <w:sz w:val="20"/>
          <w:szCs w:val="22"/>
          <w:rtl/>
          <w:lang w:eastAsia="he-IL"/>
        </w:rPr>
        <w:t>מועד תחילתו של החוק</w:t>
      </w:r>
      <w:r w:rsidRPr="00CB20FE">
        <w:rPr>
          <w:rFonts w:cs="FrankRuehl"/>
          <w:sz w:val="20"/>
          <w:szCs w:val="22"/>
          <w:rtl/>
          <w:lang w:eastAsia="he-IL"/>
        </w:rPr>
        <w:t xml:space="preserve"> </w:t>
      </w:r>
      <w:r w:rsidRPr="00CB20FE">
        <w:rPr>
          <w:rFonts w:cs="FrankRuehl" w:hint="cs"/>
          <w:sz w:val="20"/>
          <w:szCs w:val="22"/>
          <w:rtl/>
          <w:lang w:eastAsia="he-IL"/>
        </w:rPr>
        <w:t>עד</w:t>
      </w:r>
      <w:r w:rsidRPr="00CB20FE">
        <w:rPr>
          <w:rFonts w:cs="FrankRuehl"/>
          <w:sz w:val="20"/>
          <w:szCs w:val="22"/>
          <w:rtl/>
          <w:lang w:eastAsia="he-IL"/>
        </w:rPr>
        <w:t xml:space="preserve"> </w:t>
      </w:r>
      <w:r w:rsidRPr="00CB20FE">
        <w:rPr>
          <w:rFonts w:cs="FrankRuehl" w:hint="cs"/>
          <w:sz w:val="20"/>
          <w:szCs w:val="22"/>
          <w:rtl/>
          <w:lang w:eastAsia="he-IL"/>
        </w:rPr>
        <w:t>שנת</w:t>
      </w:r>
      <w:r w:rsidRPr="00CB20FE">
        <w:rPr>
          <w:rFonts w:cs="FrankRuehl"/>
          <w:sz w:val="20"/>
          <w:szCs w:val="22"/>
          <w:rtl/>
          <w:lang w:eastAsia="he-IL"/>
        </w:rPr>
        <w:t xml:space="preserve"> 20</w:t>
      </w:r>
      <w:r w:rsidRPr="00CB20FE">
        <w:rPr>
          <w:rFonts w:cs="FrankRuehl" w:hint="cs"/>
          <w:sz w:val="20"/>
          <w:szCs w:val="22"/>
          <w:rtl/>
          <w:lang w:eastAsia="he-IL"/>
        </w:rPr>
        <w:t>20</w:t>
      </w:r>
      <w:r>
        <w:rPr>
          <w:rFonts w:cs="FrankRuehl"/>
          <w:sz w:val="20"/>
          <w:szCs w:val="22"/>
          <w:vertAlign w:val="superscript"/>
          <w:rtl/>
          <w:lang w:eastAsia="he-IL"/>
        </w:rPr>
        <w:footnoteReference w:id="28"/>
      </w:r>
      <w:r w:rsidRPr="00CB20FE">
        <w:rPr>
          <w:rFonts w:cs="FrankRuehl" w:hint="cs"/>
          <w:sz w:val="20"/>
          <w:szCs w:val="22"/>
          <w:rtl/>
          <w:lang w:eastAsia="he-IL"/>
        </w:rPr>
        <w:t>.</w:t>
      </w:r>
      <w:r w:rsidRPr="00CB20FE">
        <w:rPr>
          <w:rFonts w:cs="FrankRuehl"/>
          <w:sz w:val="20"/>
          <w:szCs w:val="22"/>
          <w:rtl/>
          <w:lang w:eastAsia="he-IL"/>
        </w:rPr>
        <w:t xml:space="preserve"> </w:t>
      </w:r>
      <w:r w:rsidRPr="00CB20FE">
        <w:rPr>
          <w:rFonts w:cs="FrankRuehl" w:hint="cs"/>
          <w:sz w:val="20"/>
          <w:szCs w:val="22"/>
          <w:rtl/>
          <w:lang w:eastAsia="he-IL"/>
        </w:rPr>
        <w:t>בדצמבר 2013 אישרה הכנסת בקריאה טרומית את הצעת חוק הגבלת אשראי ספקים למוסדות המדינה, התשע"ג-2013, ש</w:t>
      </w:r>
      <w:r w:rsidRPr="00CB20FE">
        <w:rPr>
          <w:rFonts w:cs="FrankRuehl"/>
          <w:sz w:val="20"/>
          <w:szCs w:val="22"/>
          <w:rtl/>
          <w:lang w:eastAsia="he-IL"/>
        </w:rPr>
        <w:t>מטרת</w:t>
      </w:r>
      <w:r w:rsidRPr="00CB20FE">
        <w:rPr>
          <w:rFonts w:cs="FrankRuehl" w:hint="cs"/>
          <w:sz w:val="20"/>
          <w:szCs w:val="22"/>
          <w:rtl/>
          <w:lang w:eastAsia="he-IL"/>
        </w:rPr>
        <w:t>ו</w:t>
      </w:r>
      <w:r w:rsidRPr="00CB20FE">
        <w:rPr>
          <w:rFonts w:cs="FrankRuehl"/>
          <w:sz w:val="20"/>
          <w:szCs w:val="22"/>
          <w:rtl/>
          <w:lang w:eastAsia="he-IL"/>
        </w:rPr>
        <w:t xml:space="preserve"> להסדיר את מוסר התשלומים של מוסדות המדינה </w:t>
      </w:r>
      <w:r w:rsidRPr="00CB20FE">
        <w:rPr>
          <w:rFonts w:cs="FrankRuehl" w:hint="cs"/>
          <w:sz w:val="20"/>
          <w:szCs w:val="22"/>
          <w:rtl/>
          <w:lang w:eastAsia="he-IL"/>
        </w:rPr>
        <w:t>ל</w:t>
      </w:r>
      <w:r w:rsidRPr="00CB20FE">
        <w:rPr>
          <w:rFonts w:cs="FrankRuehl"/>
          <w:sz w:val="20"/>
          <w:szCs w:val="22"/>
          <w:rtl/>
          <w:lang w:eastAsia="he-IL"/>
        </w:rPr>
        <w:t>ספקיה</w:t>
      </w:r>
      <w:r w:rsidRPr="00CB20FE">
        <w:rPr>
          <w:rFonts w:cs="FrankRuehl" w:hint="cs"/>
          <w:sz w:val="20"/>
          <w:szCs w:val="22"/>
          <w:rtl/>
          <w:lang w:eastAsia="he-IL"/>
        </w:rPr>
        <w:t>ם. אולם</w:t>
      </w:r>
      <w:r w:rsidRPr="00CB20FE">
        <w:rPr>
          <w:rFonts w:cs="FrankRuehl"/>
          <w:sz w:val="20"/>
          <w:szCs w:val="22"/>
          <w:rtl/>
          <w:lang w:eastAsia="he-IL"/>
        </w:rPr>
        <w:t xml:space="preserve"> </w:t>
      </w:r>
      <w:r w:rsidRPr="00CB20FE">
        <w:rPr>
          <w:rFonts w:cs="FrankRuehl" w:hint="cs"/>
          <w:sz w:val="20"/>
          <w:szCs w:val="22"/>
          <w:rtl/>
          <w:lang w:eastAsia="he-IL"/>
        </w:rPr>
        <w:t>עד מועד סיום הביקורת לא</w:t>
      </w:r>
      <w:r w:rsidRPr="00CB20FE">
        <w:rPr>
          <w:rFonts w:cs="FrankRuehl"/>
          <w:sz w:val="20"/>
          <w:szCs w:val="22"/>
          <w:rtl/>
          <w:lang w:eastAsia="he-IL"/>
        </w:rPr>
        <w:t xml:space="preserve"> </w:t>
      </w:r>
      <w:r w:rsidRPr="00CB20FE">
        <w:rPr>
          <w:rFonts w:cs="FrankRuehl" w:hint="cs"/>
          <w:sz w:val="20"/>
          <w:szCs w:val="22"/>
          <w:rtl/>
          <w:lang w:eastAsia="he-IL"/>
        </w:rPr>
        <w:t>הוגשה</w:t>
      </w:r>
      <w:r w:rsidRPr="00CB20FE">
        <w:rPr>
          <w:rFonts w:cs="FrankRuehl"/>
          <w:sz w:val="20"/>
          <w:szCs w:val="22"/>
          <w:rtl/>
          <w:lang w:eastAsia="he-IL"/>
        </w:rPr>
        <w:t xml:space="preserve"> הצעת החוק </w:t>
      </w:r>
      <w:r w:rsidRPr="00CB20FE">
        <w:rPr>
          <w:rFonts w:cs="FrankRuehl" w:hint="cs"/>
          <w:sz w:val="20"/>
          <w:szCs w:val="22"/>
          <w:rtl/>
          <w:lang w:eastAsia="he-IL"/>
        </w:rPr>
        <w:t>לאישור</w:t>
      </w:r>
      <w:r w:rsidRPr="00CB20FE">
        <w:rPr>
          <w:rFonts w:cs="FrankRuehl"/>
          <w:sz w:val="20"/>
          <w:szCs w:val="22"/>
          <w:rtl/>
          <w:lang w:eastAsia="he-IL"/>
        </w:rPr>
        <w:t xml:space="preserve"> </w:t>
      </w:r>
      <w:r w:rsidRPr="00CB20FE">
        <w:rPr>
          <w:rFonts w:cs="FrankRuehl" w:hint="cs"/>
          <w:sz w:val="20"/>
          <w:szCs w:val="22"/>
          <w:rtl/>
          <w:lang w:eastAsia="he-IL"/>
        </w:rPr>
        <w:t>הכנסת</w:t>
      </w:r>
      <w:r w:rsidRPr="00CB20FE">
        <w:rPr>
          <w:rFonts w:cs="FrankRuehl"/>
          <w:sz w:val="20"/>
          <w:szCs w:val="22"/>
          <w:rtl/>
          <w:lang w:eastAsia="he-IL"/>
        </w:rPr>
        <w:t>.</w:t>
      </w:r>
    </w:p>
    <w:p w:rsidR="00E21817" w:rsidRPr="00CB20FE" w:rsidP="00484EEB">
      <w:pPr>
        <w:pStyle w:val="RESHET"/>
        <w:rPr>
          <w:rtl/>
        </w:rPr>
      </w:pPr>
      <w:r w:rsidRPr="00CB20FE">
        <w:rPr>
          <w:rFonts w:hint="cs"/>
          <w:rtl/>
        </w:rPr>
        <w:t>לדעת</w:t>
      </w:r>
      <w:r w:rsidRPr="00CB20FE">
        <w:rPr>
          <w:rtl/>
        </w:rPr>
        <w:t xml:space="preserve"> משרד מבקר המדינה</w:t>
      </w:r>
      <w:r w:rsidRPr="00CB20FE">
        <w:rPr>
          <w:rFonts w:hint="cs"/>
          <w:rtl/>
        </w:rPr>
        <w:t>,</w:t>
      </w:r>
      <w:r w:rsidRPr="00CB20FE">
        <w:rPr>
          <w:rtl/>
        </w:rPr>
        <w:t xml:space="preserve"> על הסוכנות</w:t>
      </w:r>
      <w:r w:rsidRPr="00CB20FE">
        <w:rPr>
          <w:rFonts w:hint="cs"/>
          <w:rtl/>
        </w:rPr>
        <w:t xml:space="preserve"> לרכז מידע בדבר עיכובים בתשלומים מגופים ממשלתיים לעסקים קטנים ובינוניים, בין היתר באמצעות עידוד</w:t>
      </w:r>
      <w:r w:rsidRPr="00CB20FE">
        <w:rPr>
          <w:rtl/>
        </w:rPr>
        <w:t xml:space="preserve"> </w:t>
      </w:r>
      <w:r w:rsidRPr="00CB20FE">
        <w:rPr>
          <w:rFonts w:hint="cs"/>
          <w:rtl/>
        </w:rPr>
        <w:t>ה</w:t>
      </w:r>
      <w:r w:rsidRPr="00CB20FE">
        <w:rPr>
          <w:rtl/>
        </w:rPr>
        <w:t xml:space="preserve">עסקים שאינם מקבלים תשלום מגוף </w:t>
      </w:r>
      <w:r w:rsidRPr="00CB20FE">
        <w:rPr>
          <w:rFonts w:hint="cs"/>
          <w:rtl/>
        </w:rPr>
        <w:t>ציבורי בהתאם לתנאים שנקבעו בהסכם</w:t>
      </w:r>
      <w:r w:rsidRPr="00CB20FE">
        <w:rPr>
          <w:rtl/>
        </w:rPr>
        <w:t xml:space="preserve"> </w:t>
      </w:r>
      <w:r w:rsidRPr="00CB20FE">
        <w:rPr>
          <w:rFonts w:hint="cs"/>
          <w:rtl/>
        </w:rPr>
        <w:t>לפנות</w:t>
      </w:r>
      <w:r w:rsidRPr="00CB20FE">
        <w:rPr>
          <w:rtl/>
        </w:rPr>
        <w:t xml:space="preserve"> </w:t>
      </w:r>
      <w:r w:rsidRPr="00CB20FE">
        <w:rPr>
          <w:rFonts w:hint="cs"/>
          <w:rtl/>
        </w:rPr>
        <w:t>אליה</w:t>
      </w:r>
      <w:r w:rsidRPr="00CB20FE">
        <w:rPr>
          <w:rtl/>
        </w:rPr>
        <w:t xml:space="preserve">. </w:t>
      </w:r>
      <w:r w:rsidRPr="00CB20FE">
        <w:rPr>
          <w:rFonts w:hint="cs"/>
          <w:rtl/>
        </w:rPr>
        <w:t>המידע</w:t>
      </w:r>
      <w:r w:rsidRPr="00CB20FE">
        <w:rPr>
          <w:rtl/>
        </w:rPr>
        <w:t xml:space="preserve"> </w:t>
      </w:r>
      <w:r w:rsidRPr="00CB20FE">
        <w:rPr>
          <w:rFonts w:hint="cs"/>
          <w:rtl/>
        </w:rPr>
        <w:t>יסייע</w:t>
      </w:r>
      <w:r w:rsidRPr="00CB20FE">
        <w:rPr>
          <w:rtl/>
        </w:rPr>
        <w:t xml:space="preserve"> </w:t>
      </w:r>
      <w:r w:rsidRPr="00CB20FE">
        <w:rPr>
          <w:rFonts w:hint="cs"/>
          <w:rtl/>
        </w:rPr>
        <w:t>לסוכנות</w:t>
      </w:r>
      <w:r w:rsidRPr="00CB20FE">
        <w:rPr>
          <w:rtl/>
        </w:rPr>
        <w:t xml:space="preserve"> </w:t>
      </w:r>
      <w:r w:rsidRPr="00CB20FE">
        <w:rPr>
          <w:rFonts w:hint="cs"/>
          <w:rtl/>
        </w:rPr>
        <w:t>לזהות</w:t>
      </w:r>
      <w:r w:rsidRPr="00CB20FE">
        <w:rPr>
          <w:rtl/>
        </w:rPr>
        <w:t xml:space="preserve"> </w:t>
      </w:r>
      <w:r w:rsidRPr="00CB20FE">
        <w:rPr>
          <w:rFonts w:hint="cs"/>
          <w:rtl/>
        </w:rPr>
        <w:t>גופים</w:t>
      </w:r>
      <w:r w:rsidRPr="00CB20FE">
        <w:rPr>
          <w:rtl/>
        </w:rPr>
        <w:t xml:space="preserve"> </w:t>
      </w:r>
      <w:r w:rsidRPr="00CB20FE">
        <w:rPr>
          <w:rFonts w:hint="cs"/>
          <w:rtl/>
        </w:rPr>
        <w:t>שבאופן שיטתי אינם</w:t>
      </w:r>
      <w:r w:rsidRPr="00CB20FE">
        <w:rPr>
          <w:rtl/>
        </w:rPr>
        <w:t xml:space="preserve"> </w:t>
      </w:r>
      <w:r w:rsidRPr="00CB20FE">
        <w:rPr>
          <w:rFonts w:hint="cs"/>
          <w:rtl/>
        </w:rPr>
        <w:t>משלמים</w:t>
      </w:r>
      <w:r w:rsidRPr="00CB20FE">
        <w:rPr>
          <w:rtl/>
        </w:rPr>
        <w:t xml:space="preserve"> </w:t>
      </w:r>
      <w:r w:rsidRPr="00CB20FE">
        <w:rPr>
          <w:rFonts w:hint="cs"/>
          <w:rtl/>
        </w:rPr>
        <w:t>לעסקים קטנים ובינוניים בזמן</w:t>
      </w:r>
      <w:r w:rsidRPr="00CB20FE">
        <w:rPr>
          <w:rtl/>
        </w:rPr>
        <w:t xml:space="preserve"> </w:t>
      </w:r>
      <w:r w:rsidRPr="00CB20FE">
        <w:rPr>
          <w:rFonts w:hint="cs"/>
          <w:rtl/>
        </w:rPr>
        <w:t>ולפנות</w:t>
      </w:r>
      <w:r w:rsidRPr="00CB20FE">
        <w:rPr>
          <w:rtl/>
        </w:rPr>
        <w:t xml:space="preserve"> </w:t>
      </w:r>
      <w:r w:rsidRPr="00CB20FE">
        <w:rPr>
          <w:rFonts w:hint="cs"/>
          <w:rtl/>
        </w:rPr>
        <w:t>למאסדר</w:t>
      </w:r>
      <w:r w:rsidRPr="00CB20FE">
        <w:rPr>
          <w:rtl/>
        </w:rPr>
        <w:t xml:space="preserve"> שלהם כדי לנסות למצוא פתרון.</w:t>
      </w:r>
      <w:r w:rsidRPr="00CB20FE">
        <w:rPr>
          <w:rFonts w:hint="cs"/>
          <w:rtl/>
        </w:rPr>
        <w:t xml:space="preserve"> </w:t>
      </w:r>
    </w:p>
    <w:p w:rsidR="00E21817" w:rsidRPr="00CB20FE" w:rsidP="00484EEB">
      <w:pPr>
        <w:spacing w:after="120" w:line="230" w:lineRule="exact"/>
        <w:jc w:val="both"/>
        <w:rPr>
          <w:rFonts w:cs="FrankRuehl"/>
          <w:b/>
          <w:bCs/>
          <w:sz w:val="20"/>
          <w:szCs w:val="22"/>
          <w:rtl/>
          <w:lang w:eastAsia="he-IL"/>
        </w:rPr>
      </w:pPr>
    </w:p>
    <w:p w:rsidR="00CB20FE" w:rsidRPr="00CB20FE" w:rsidP="00484EEB">
      <w:pPr>
        <w:spacing w:after="120" w:line="230" w:lineRule="exact"/>
        <w:jc w:val="both"/>
        <w:rPr>
          <w:rFonts w:cs="FrankRuehl"/>
          <w:b/>
          <w:bCs/>
          <w:sz w:val="20"/>
          <w:szCs w:val="22"/>
          <w:rtl/>
          <w:lang w:eastAsia="he-IL"/>
        </w:rPr>
      </w:pPr>
    </w:p>
    <w:p w:rsidR="00E21817" w:rsidP="00484EEB">
      <w:pPr>
        <w:pStyle w:val="KOT4"/>
        <w:rPr>
          <w:rtl/>
        </w:rPr>
      </w:pPr>
      <w:r>
        <w:rPr>
          <w:rFonts w:hint="cs"/>
          <w:rtl/>
        </w:rPr>
        <w:t>הצעת</w:t>
      </w:r>
      <w:r w:rsidRPr="00DA4D76">
        <w:rPr>
          <w:rFonts w:hint="cs"/>
          <w:rtl/>
        </w:rPr>
        <w:t xml:space="preserve"> חוק </w:t>
      </w:r>
      <w:r>
        <w:rPr>
          <w:rFonts w:hint="cs"/>
          <w:rtl/>
        </w:rPr>
        <w:t>לעידוד</w:t>
      </w:r>
      <w:r w:rsidRPr="00DA4D76">
        <w:rPr>
          <w:rFonts w:hint="cs"/>
          <w:rtl/>
        </w:rPr>
        <w:t xml:space="preserve"> עסקים קטנים</w:t>
      </w:r>
      <w:r>
        <w:rPr>
          <w:rFonts w:hint="cs"/>
          <w:rtl/>
        </w:rPr>
        <w:t xml:space="preserve"> ובינוניים</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במדינת ישראל, שלא כבמדינות מתקדמות אחרות, אין חוק המסדיר את תחום העסקים הקטנים והבינוניים, ובדין הישראלי אין כמעט התייחסות מיוחדת לעסקים קטנים ובינוניים. נוסף על כך, הדין הישראלי אינו מחייב לבחון את השפעתה של חקיקה חדשה על תחום עידוד העסקים הקטנים והבינוניים כפי שנעשה בתחומים אחרים, כגון ריכוזיות</w:t>
      </w:r>
      <w:r>
        <w:rPr>
          <w:rFonts w:cs="FrankRuehl"/>
          <w:sz w:val="20"/>
          <w:szCs w:val="22"/>
          <w:vertAlign w:val="superscript"/>
          <w:rtl/>
          <w:lang w:eastAsia="he-IL"/>
        </w:rPr>
        <w:footnoteReference w:id="29"/>
      </w:r>
      <w:r w:rsidRPr="00CB20FE">
        <w:rPr>
          <w:rFonts w:cs="FrankRuehl" w:hint="cs"/>
          <w:sz w:val="20"/>
          <w:szCs w:val="22"/>
          <w:rtl/>
          <w:lang w:eastAsia="he-IL"/>
        </w:rPr>
        <w:t xml:space="preserve">. בדין בארצות הברית למשל, </w:t>
      </w:r>
      <w:r w:rsidR="00484EEB">
        <w:rPr>
          <w:rFonts w:cs="FrankRuehl"/>
          <w:sz w:val="20"/>
          <w:szCs w:val="22"/>
          <w:rtl/>
          <w:lang w:eastAsia="he-IL"/>
        </w:rPr>
        <w:br/>
      </w:r>
      <w:r w:rsidRPr="00CB20FE">
        <w:rPr>
          <w:rFonts w:cs="FrankRuehl" w:hint="cs"/>
          <w:sz w:val="20"/>
          <w:szCs w:val="22"/>
          <w:rtl/>
          <w:lang w:eastAsia="he-IL"/>
        </w:rPr>
        <w:t>ה-</w:t>
      </w:r>
      <w:r w:rsidRPr="00CB20FE">
        <w:rPr>
          <w:rFonts w:cs="FrankRuehl" w:hint="cs"/>
          <w:sz w:val="20"/>
          <w:szCs w:val="22"/>
          <w:lang w:eastAsia="he-IL"/>
        </w:rPr>
        <w:t>RFA</w:t>
      </w:r>
      <w:r w:rsidR="00484EEB">
        <w:rPr>
          <w:rFonts w:cs="FrankRuehl" w:hint="cs"/>
          <w:sz w:val="20"/>
          <w:szCs w:val="22"/>
          <w:rtl/>
          <w:lang w:eastAsia="he-IL"/>
        </w:rPr>
        <w:t xml:space="preserve"> (</w:t>
      </w:r>
      <w:r w:rsidRPr="00CB20FE" w:rsidR="00484EEB">
        <w:rPr>
          <w:rFonts w:cs="FrankRuehl"/>
          <w:sz w:val="20"/>
          <w:szCs w:val="22"/>
          <w:lang w:eastAsia="he-IL"/>
        </w:rPr>
        <w:t>Regulatory Flexibility Act</w:t>
      </w:r>
      <w:r w:rsidR="00484EEB">
        <w:rPr>
          <w:rFonts w:cs="FrankRuehl" w:hint="cs"/>
          <w:sz w:val="20"/>
          <w:szCs w:val="22"/>
          <w:rtl/>
          <w:lang w:eastAsia="he-IL"/>
        </w:rPr>
        <w:t>)</w:t>
      </w:r>
      <w:r>
        <w:rPr>
          <w:rFonts w:cs="FrankRuehl"/>
          <w:sz w:val="20"/>
          <w:szCs w:val="22"/>
          <w:vertAlign w:val="superscript"/>
          <w:rtl/>
          <w:lang w:eastAsia="he-IL"/>
        </w:rPr>
        <w:footnoteReference w:id="30"/>
      </w:r>
      <w:r w:rsidRPr="00CB20FE">
        <w:rPr>
          <w:rFonts w:cs="FrankRuehl" w:hint="cs"/>
          <w:sz w:val="20"/>
          <w:szCs w:val="22"/>
          <w:rtl/>
          <w:lang w:eastAsia="he-IL"/>
        </w:rPr>
        <w:t xml:space="preserve"> מחייב משרדי ממשלה להגיש דוח והמלצות לתיקון של יזמות חקיקה העלולות לפגוע במגזר העסקים הקטנים.</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 xml:space="preserve">בדוח הקודם נמצא כי אין הגדרות אחידות בחוק ל"עסק קטן" </w:t>
      </w:r>
      <w:r w:rsidRPr="00CB20FE">
        <w:rPr>
          <w:rFonts w:cs="FrankRuehl" w:hint="cs"/>
          <w:sz w:val="20"/>
          <w:szCs w:val="22"/>
          <w:rtl/>
          <w:lang w:eastAsia="he-IL"/>
        </w:rPr>
        <w:t>ול"עסק</w:t>
      </w:r>
      <w:r w:rsidRPr="00CB20FE">
        <w:rPr>
          <w:rFonts w:cs="FrankRuehl" w:hint="cs"/>
          <w:sz w:val="20"/>
          <w:szCs w:val="22"/>
          <w:rtl/>
          <w:lang w:eastAsia="he-IL"/>
        </w:rPr>
        <w:t xml:space="preserve"> בינוני". </w:t>
      </w:r>
      <w:r w:rsidRPr="00CB20FE">
        <w:rPr>
          <w:rFonts w:cs="FrankRuehl" w:hint="eastAsia"/>
          <w:sz w:val="20"/>
          <w:szCs w:val="22"/>
          <w:rtl/>
          <w:lang w:eastAsia="he-IL"/>
        </w:rPr>
        <w:t>משרד</w:t>
      </w:r>
      <w:r w:rsidRPr="00CB20FE">
        <w:rPr>
          <w:rFonts w:cs="FrankRuehl"/>
          <w:sz w:val="20"/>
          <w:szCs w:val="22"/>
          <w:rtl/>
          <w:lang w:eastAsia="he-IL"/>
        </w:rPr>
        <w:t xml:space="preserve"> מבקר </w:t>
      </w:r>
      <w:r w:rsidRPr="00CB20FE">
        <w:rPr>
          <w:rFonts w:cs="FrankRuehl" w:hint="cs"/>
          <w:sz w:val="20"/>
          <w:szCs w:val="22"/>
          <w:rtl/>
          <w:lang w:eastAsia="he-IL"/>
        </w:rPr>
        <w:t xml:space="preserve">המדינה </w:t>
      </w:r>
      <w:r w:rsidRPr="00CB20FE">
        <w:rPr>
          <w:rFonts w:cs="FrankRuehl" w:hint="eastAsia"/>
          <w:sz w:val="20"/>
          <w:szCs w:val="22"/>
          <w:rtl/>
          <w:lang w:eastAsia="he-IL"/>
        </w:rPr>
        <w:t>המליץ</w:t>
      </w:r>
      <w:r w:rsidRPr="00CB20FE">
        <w:rPr>
          <w:rFonts w:cs="FrankRuehl"/>
          <w:sz w:val="20"/>
          <w:szCs w:val="22"/>
          <w:rtl/>
          <w:lang w:eastAsia="he-IL"/>
        </w:rPr>
        <w:t xml:space="preserve"> </w:t>
      </w:r>
      <w:r w:rsidRPr="00CB20FE">
        <w:rPr>
          <w:rFonts w:cs="FrankRuehl" w:hint="eastAsia"/>
          <w:sz w:val="20"/>
          <w:szCs w:val="22"/>
          <w:rtl/>
          <w:lang w:eastAsia="he-IL"/>
        </w:rPr>
        <w:t>למשרד</w:t>
      </w:r>
      <w:r w:rsidRPr="00CB20FE">
        <w:rPr>
          <w:rFonts w:cs="FrankRuehl"/>
          <w:sz w:val="20"/>
          <w:szCs w:val="22"/>
          <w:rtl/>
          <w:lang w:eastAsia="he-IL"/>
        </w:rPr>
        <w:t xml:space="preserve"> </w:t>
      </w:r>
      <w:r w:rsidRPr="00CB20FE">
        <w:rPr>
          <w:rFonts w:cs="FrankRuehl" w:hint="cs"/>
          <w:sz w:val="20"/>
          <w:szCs w:val="22"/>
          <w:rtl/>
          <w:lang w:eastAsia="he-IL"/>
        </w:rPr>
        <w:t>הכלכלה</w:t>
      </w:r>
      <w:r w:rsidRPr="00CB20FE">
        <w:rPr>
          <w:rFonts w:cs="FrankRuehl"/>
          <w:sz w:val="20"/>
          <w:szCs w:val="22"/>
          <w:rtl/>
          <w:lang w:eastAsia="he-IL"/>
        </w:rPr>
        <w:t xml:space="preserve"> לשקול ליזום תיקוני חקיקה שיקלו </w:t>
      </w:r>
      <w:r w:rsidRPr="00CB20FE">
        <w:rPr>
          <w:rFonts w:cs="FrankRuehl" w:hint="cs"/>
          <w:sz w:val="20"/>
          <w:szCs w:val="22"/>
          <w:rtl/>
          <w:lang w:eastAsia="he-IL"/>
        </w:rPr>
        <w:t>על</w:t>
      </w:r>
      <w:r w:rsidRPr="00CB20FE">
        <w:rPr>
          <w:rFonts w:cs="FrankRuehl"/>
          <w:sz w:val="20"/>
          <w:szCs w:val="22"/>
          <w:rtl/>
          <w:lang w:eastAsia="he-IL"/>
        </w:rPr>
        <w:t xml:space="preserve"> הקמתם ו</w:t>
      </w:r>
      <w:r w:rsidRPr="00CB20FE">
        <w:rPr>
          <w:rFonts w:cs="FrankRuehl" w:hint="cs"/>
          <w:sz w:val="20"/>
          <w:szCs w:val="22"/>
          <w:rtl/>
          <w:lang w:eastAsia="he-IL"/>
        </w:rPr>
        <w:t>הת</w:t>
      </w:r>
      <w:r w:rsidRPr="00CB20FE">
        <w:rPr>
          <w:rFonts w:cs="FrankRuehl"/>
          <w:sz w:val="20"/>
          <w:szCs w:val="22"/>
          <w:rtl/>
          <w:lang w:eastAsia="he-IL"/>
        </w:rPr>
        <w:t>קיימותם של עסקים קטנים</w:t>
      </w:r>
      <w:r w:rsidRPr="00CB20FE">
        <w:rPr>
          <w:rFonts w:cs="FrankRuehl" w:hint="cs"/>
          <w:sz w:val="20"/>
          <w:szCs w:val="22"/>
          <w:rtl/>
          <w:lang w:eastAsia="he-IL"/>
        </w:rPr>
        <w:t xml:space="preserve"> ובינוניים,</w:t>
      </w:r>
      <w:r w:rsidRPr="00CB20FE">
        <w:rPr>
          <w:rFonts w:cs="FrankRuehl"/>
          <w:sz w:val="20"/>
          <w:szCs w:val="22"/>
          <w:rtl/>
          <w:lang w:eastAsia="he-IL"/>
        </w:rPr>
        <w:t xml:space="preserve"> וכן לשקול ליזום תזכיר של הצעת חוק המחייב לבחון את השפעתה של חקיקה חדשה על מגזר העסקים הקטנים</w:t>
      </w:r>
      <w:r w:rsidRPr="00CB20FE">
        <w:rPr>
          <w:rFonts w:cs="FrankRuehl" w:hint="cs"/>
          <w:sz w:val="20"/>
          <w:szCs w:val="22"/>
          <w:rtl/>
          <w:lang w:eastAsia="he-IL"/>
        </w:rPr>
        <w:t xml:space="preserve"> והבינוניים</w:t>
      </w:r>
      <w:r w:rsidRPr="00CB20FE">
        <w:rPr>
          <w:rFonts w:cs="FrankRuehl"/>
          <w:sz w:val="20"/>
          <w:szCs w:val="22"/>
          <w:rtl/>
          <w:lang w:eastAsia="he-IL"/>
        </w:rPr>
        <w:t>.</w:t>
      </w:r>
      <w:r w:rsidRPr="00CB20FE">
        <w:rPr>
          <w:rFonts w:cs="FrankRuehl" w:hint="cs"/>
          <w:sz w:val="20"/>
          <w:szCs w:val="22"/>
          <w:rtl/>
          <w:lang w:eastAsia="he-IL"/>
        </w:rPr>
        <w:t xml:space="preserve"> עוד המליץ משרד מבקר המדינה שהסוכנות - המרכזת את התמיכה בעסקים הקטנים והבינוניים - תפעל להחלת הגדרות אחידות של עסקים "קטנים" ו"בינוניים" על כל הגופים והתכניות המסייעים לעסקים קטנים ובינוניים. קביעת הגדרות אחידות תאפשר איסוף מידע מרוכז על עסקים קטנים ובינוניים ותכנון של מדיניות ממשלתית ברורה בנושא, ותבהיר לגופים הממשלתיים מהו עסק קטן ומהו עסק בינוני לצורך עמידה בהוראות </w:t>
      </w:r>
      <w:r w:rsidRPr="00CB20FE">
        <w:rPr>
          <w:rFonts w:cs="FrankRuehl" w:hint="cs"/>
          <w:sz w:val="20"/>
          <w:szCs w:val="22"/>
          <w:rtl/>
          <w:lang w:eastAsia="he-IL"/>
        </w:rPr>
        <w:t>החשכ"ל</w:t>
      </w:r>
      <w:r w:rsidRPr="00CB20FE">
        <w:rPr>
          <w:rFonts w:cs="FrankRuehl" w:hint="cs"/>
          <w:sz w:val="20"/>
          <w:szCs w:val="22"/>
          <w:rtl/>
          <w:lang w:eastAsia="he-IL"/>
        </w:rPr>
        <w:t xml:space="preserve"> המוזכרות לעיל ובכל נוהל או הסדר אחר.</w:t>
      </w:r>
    </w:p>
    <w:p w:rsidR="00E21817" w:rsidRPr="00CB20FE" w:rsidP="00484EEB">
      <w:pPr>
        <w:spacing w:after="120" w:line="230" w:lineRule="exact"/>
        <w:jc w:val="both"/>
        <w:rPr>
          <w:rFonts w:cs="FrankRuehl"/>
          <w:sz w:val="20"/>
          <w:szCs w:val="22"/>
          <w:rtl/>
          <w:lang w:eastAsia="he-IL"/>
        </w:rPr>
      </w:pPr>
      <w:r w:rsidRPr="00CB20FE">
        <w:rPr>
          <w:rFonts w:cs="FrankRuehl" w:hint="eastAsia"/>
          <w:sz w:val="20"/>
          <w:szCs w:val="22"/>
          <w:rtl/>
          <w:lang w:eastAsia="he-IL"/>
        </w:rPr>
        <w:t>באוקטובר</w:t>
      </w:r>
      <w:r w:rsidRPr="00CB20FE">
        <w:rPr>
          <w:rFonts w:cs="FrankRuehl"/>
          <w:sz w:val="20"/>
          <w:szCs w:val="22"/>
          <w:rtl/>
          <w:lang w:eastAsia="he-IL"/>
        </w:rPr>
        <w:t xml:space="preserve"> 2010 הודיע משרד </w:t>
      </w:r>
      <w:r w:rsidRPr="00CB20FE">
        <w:rPr>
          <w:rFonts w:cs="FrankRuehl" w:hint="cs"/>
          <w:sz w:val="20"/>
          <w:szCs w:val="22"/>
          <w:rtl/>
          <w:lang w:eastAsia="he-IL"/>
        </w:rPr>
        <w:t>הכלכלה</w:t>
      </w:r>
      <w:r w:rsidRPr="00CB20FE">
        <w:rPr>
          <w:rFonts w:cs="FrankRuehl"/>
          <w:sz w:val="20"/>
          <w:szCs w:val="22"/>
          <w:rtl/>
          <w:lang w:eastAsia="he-IL"/>
        </w:rPr>
        <w:t xml:space="preserve"> </w:t>
      </w:r>
      <w:r w:rsidRPr="00CB20FE">
        <w:rPr>
          <w:rFonts w:cs="FrankRuehl" w:hint="cs"/>
          <w:sz w:val="20"/>
          <w:szCs w:val="22"/>
          <w:rtl/>
          <w:lang w:eastAsia="he-IL"/>
        </w:rPr>
        <w:t>בתשובתו</w:t>
      </w:r>
      <w:r w:rsidRPr="00CB20FE">
        <w:rPr>
          <w:rFonts w:cs="FrankRuehl"/>
          <w:sz w:val="20"/>
          <w:szCs w:val="22"/>
          <w:rtl/>
          <w:lang w:eastAsia="he-IL"/>
        </w:rPr>
        <w:t xml:space="preserve"> </w:t>
      </w:r>
      <w:r w:rsidRPr="00CB20FE">
        <w:rPr>
          <w:rFonts w:cs="FrankRuehl" w:hint="cs"/>
          <w:sz w:val="20"/>
          <w:szCs w:val="22"/>
          <w:rtl/>
          <w:lang w:eastAsia="he-IL"/>
        </w:rPr>
        <w:t xml:space="preserve">על </w:t>
      </w:r>
      <w:r w:rsidRPr="00CB20FE">
        <w:rPr>
          <w:rFonts w:cs="FrankRuehl" w:hint="eastAsia"/>
          <w:sz w:val="20"/>
          <w:szCs w:val="22"/>
          <w:rtl/>
          <w:lang w:eastAsia="he-IL"/>
        </w:rPr>
        <w:t>דוח</w:t>
      </w:r>
      <w:r w:rsidRPr="00CB20FE">
        <w:rPr>
          <w:rFonts w:cs="FrankRuehl"/>
          <w:sz w:val="20"/>
          <w:szCs w:val="22"/>
          <w:rtl/>
          <w:lang w:eastAsia="he-IL"/>
        </w:rPr>
        <w:t xml:space="preserve"> </w:t>
      </w:r>
      <w:r w:rsidRPr="00CB20FE">
        <w:rPr>
          <w:rFonts w:cs="FrankRuehl" w:hint="eastAsia"/>
          <w:sz w:val="20"/>
          <w:szCs w:val="22"/>
          <w:rtl/>
          <w:lang w:eastAsia="he-IL"/>
        </w:rPr>
        <w:t>הביקורת</w:t>
      </w:r>
      <w:r w:rsidRPr="00CB20FE">
        <w:rPr>
          <w:rFonts w:cs="FrankRuehl"/>
          <w:sz w:val="20"/>
          <w:szCs w:val="22"/>
          <w:rtl/>
          <w:lang w:eastAsia="he-IL"/>
        </w:rPr>
        <w:t xml:space="preserve"> </w:t>
      </w:r>
      <w:r w:rsidRPr="00CB20FE">
        <w:rPr>
          <w:rFonts w:cs="FrankRuehl" w:hint="eastAsia"/>
          <w:sz w:val="20"/>
          <w:szCs w:val="22"/>
          <w:rtl/>
          <w:lang w:eastAsia="he-IL"/>
        </w:rPr>
        <w:t>הקודם</w:t>
      </w:r>
      <w:r w:rsidRPr="00CB20FE">
        <w:rPr>
          <w:rFonts w:cs="FrankRuehl"/>
          <w:sz w:val="20"/>
          <w:szCs w:val="22"/>
          <w:rtl/>
          <w:lang w:eastAsia="he-IL"/>
        </w:rPr>
        <w:t xml:space="preserve"> כי </w:t>
      </w:r>
      <w:r w:rsidRPr="00CB20FE">
        <w:rPr>
          <w:rFonts w:cs="FrankRuehl" w:hint="cs"/>
          <w:sz w:val="20"/>
          <w:szCs w:val="22"/>
          <w:rtl/>
          <w:lang w:eastAsia="he-IL"/>
        </w:rPr>
        <w:t xml:space="preserve">בשנת 2011 </w:t>
      </w:r>
      <w:r w:rsidRPr="00CB20FE">
        <w:rPr>
          <w:rFonts w:cs="FrankRuehl"/>
          <w:sz w:val="20"/>
          <w:szCs w:val="22"/>
          <w:rtl/>
          <w:lang w:eastAsia="he-IL"/>
        </w:rPr>
        <w:t>בכוונתו להביא לחקיקת חוק עסקים קטנים ובינוניים שיגדיר "עסק קטן" ו"עסק בינוני"</w:t>
      </w:r>
      <w:r w:rsidRPr="00CB20FE">
        <w:rPr>
          <w:rFonts w:cs="FrankRuehl" w:hint="cs"/>
          <w:sz w:val="20"/>
          <w:szCs w:val="22"/>
          <w:rtl/>
          <w:lang w:eastAsia="he-IL"/>
        </w:rPr>
        <w:t xml:space="preserve">, וכן </w:t>
      </w:r>
      <w:r w:rsidRPr="00CB20FE">
        <w:rPr>
          <w:rFonts w:cs="FrankRuehl" w:hint="eastAsia"/>
          <w:sz w:val="20"/>
          <w:szCs w:val="22"/>
          <w:rtl/>
          <w:lang w:eastAsia="he-IL"/>
        </w:rPr>
        <w:t>יגדיר</w:t>
      </w:r>
      <w:r w:rsidRPr="00CB20FE">
        <w:rPr>
          <w:rFonts w:cs="FrankRuehl"/>
          <w:sz w:val="20"/>
          <w:szCs w:val="22"/>
          <w:rtl/>
          <w:lang w:eastAsia="he-IL"/>
        </w:rPr>
        <w:t xml:space="preserve"> </w:t>
      </w:r>
      <w:r w:rsidRPr="00CB20FE">
        <w:rPr>
          <w:rFonts w:cs="FrankRuehl" w:hint="eastAsia"/>
          <w:sz w:val="20"/>
          <w:szCs w:val="22"/>
          <w:rtl/>
          <w:lang w:eastAsia="he-IL"/>
        </w:rPr>
        <w:t>את</w:t>
      </w:r>
      <w:r w:rsidRPr="00CB20FE">
        <w:rPr>
          <w:rFonts w:cs="FrankRuehl"/>
          <w:sz w:val="20"/>
          <w:szCs w:val="22"/>
          <w:rtl/>
          <w:lang w:eastAsia="he-IL"/>
        </w:rPr>
        <w:t xml:space="preserve"> </w:t>
      </w:r>
      <w:r w:rsidRPr="00CB20FE">
        <w:rPr>
          <w:rFonts w:cs="FrankRuehl" w:hint="eastAsia"/>
          <w:sz w:val="20"/>
          <w:szCs w:val="22"/>
          <w:rtl/>
          <w:lang w:eastAsia="he-IL"/>
        </w:rPr>
        <w:t>הסוכנות</w:t>
      </w:r>
      <w:r w:rsidRPr="00CB20FE">
        <w:rPr>
          <w:rFonts w:cs="FrankRuehl"/>
          <w:sz w:val="20"/>
          <w:szCs w:val="22"/>
          <w:rtl/>
          <w:lang w:eastAsia="he-IL"/>
        </w:rPr>
        <w:t xml:space="preserve"> </w:t>
      </w:r>
      <w:r w:rsidRPr="00CB20FE">
        <w:rPr>
          <w:rFonts w:cs="FrankRuehl" w:hint="eastAsia"/>
          <w:sz w:val="20"/>
          <w:szCs w:val="22"/>
          <w:rtl/>
          <w:lang w:eastAsia="he-IL"/>
        </w:rPr>
        <w:t>כגוף</w:t>
      </w:r>
      <w:r w:rsidRPr="00CB20FE">
        <w:rPr>
          <w:rFonts w:cs="FrankRuehl"/>
          <w:sz w:val="20"/>
          <w:szCs w:val="22"/>
          <w:rtl/>
          <w:lang w:eastAsia="he-IL"/>
        </w:rPr>
        <w:t xml:space="preserve"> </w:t>
      </w:r>
      <w:r w:rsidRPr="00CB20FE">
        <w:rPr>
          <w:rFonts w:cs="FrankRuehl" w:hint="eastAsia"/>
          <w:sz w:val="20"/>
          <w:szCs w:val="22"/>
          <w:rtl/>
          <w:lang w:eastAsia="he-IL"/>
        </w:rPr>
        <w:t>האמון</w:t>
      </w:r>
      <w:r w:rsidRPr="00CB20FE">
        <w:rPr>
          <w:rFonts w:cs="FrankRuehl"/>
          <w:sz w:val="20"/>
          <w:szCs w:val="22"/>
          <w:rtl/>
          <w:lang w:eastAsia="he-IL"/>
        </w:rPr>
        <w:t xml:space="preserve"> </w:t>
      </w:r>
      <w:r w:rsidRPr="00CB20FE">
        <w:rPr>
          <w:rFonts w:cs="FrankRuehl" w:hint="eastAsia"/>
          <w:sz w:val="20"/>
          <w:szCs w:val="22"/>
          <w:rtl/>
          <w:lang w:eastAsia="he-IL"/>
        </w:rPr>
        <w:t>על</w:t>
      </w:r>
      <w:r w:rsidRPr="00CB20FE">
        <w:rPr>
          <w:rFonts w:cs="FrankRuehl"/>
          <w:sz w:val="20"/>
          <w:szCs w:val="22"/>
          <w:rtl/>
          <w:lang w:eastAsia="he-IL"/>
        </w:rPr>
        <w:t xml:space="preserve"> </w:t>
      </w:r>
      <w:r w:rsidRPr="00CB20FE">
        <w:rPr>
          <w:rFonts w:cs="FrankRuehl" w:hint="eastAsia"/>
          <w:sz w:val="20"/>
          <w:szCs w:val="22"/>
          <w:rtl/>
          <w:lang w:eastAsia="he-IL"/>
        </w:rPr>
        <w:t>מתן</w:t>
      </w:r>
      <w:r w:rsidRPr="00CB20FE">
        <w:rPr>
          <w:rFonts w:cs="FrankRuehl"/>
          <w:sz w:val="20"/>
          <w:szCs w:val="22"/>
          <w:rtl/>
          <w:lang w:eastAsia="he-IL"/>
        </w:rPr>
        <w:t xml:space="preserve"> </w:t>
      </w:r>
      <w:r w:rsidRPr="00CB20FE">
        <w:rPr>
          <w:rFonts w:cs="FrankRuehl" w:hint="eastAsia"/>
          <w:sz w:val="20"/>
          <w:szCs w:val="22"/>
          <w:rtl/>
          <w:lang w:eastAsia="he-IL"/>
        </w:rPr>
        <w:t>חוות</w:t>
      </w:r>
      <w:r w:rsidRPr="00CB20FE">
        <w:rPr>
          <w:rFonts w:cs="FrankRuehl"/>
          <w:sz w:val="20"/>
          <w:szCs w:val="22"/>
          <w:rtl/>
          <w:lang w:eastAsia="he-IL"/>
        </w:rPr>
        <w:t xml:space="preserve"> </w:t>
      </w:r>
      <w:r w:rsidRPr="00CB20FE">
        <w:rPr>
          <w:rFonts w:cs="FrankRuehl" w:hint="eastAsia"/>
          <w:sz w:val="20"/>
          <w:szCs w:val="22"/>
          <w:rtl/>
          <w:lang w:eastAsia="he-IL"/>
        </w:rPr>
        <w:t>דעת</w:t>
      </w:r>
      <w:r w:rsidRPr="00CB20FE">
        <w:rPr>
          <w:rFonts w:cs="FrankRuehl"/>
          <w:sz w:val="20"/>
          <w:szCs w:val="22"/>
          <w:rtl/>
          <w:lang w:eastAsia="he-IL"/>
        </w:rPr>
        <w:t xml:space="preserve"> </w:t>
      </w:r>
      <w:r w:rsidRPr="00CB20FE">
        <w:rPr>
          <w:rFonts w:cs="FrankRuehl" w:hint="eastAsia"/>
          <w:sz w:val="20"/>
          <w:szCs w:val="22"/>
          <w:rtl/>
          <w:lang w:eastAsia="he-IL"/>
        </w:rPr>
        <w:t>כלכלית</w:t>
      </w:r>
      <w:r w:rsidRPr="00CB20FE">
        <w:rPr>
          <w:rFonts w:cs="FrankRuehl"/>
          <w:sz w:val="20"/>
          <w:szCs w:val="22"/>
          <w:rtl/>
          <w:lang w:eastAsia="he-IL"/>
        </w:rPr>
        <w:t xml:space="preserve"> </w:t>
      </w:r>
      <w:r w:rsidRPr="00CB20FE">
        <w:rPr>
          <w:rFonts w:cs="FrankRuehl" w:hint="eastAsia"/>
          <w:sz w:val="20"/>
          <w:szCs w:val="22"/>
          <w:rtl/>
          <w:lang w:eastAsia="he-IL"/>
        </w:rPr>
        <w:t>בדבר</w:t>
      </w:r>
      <w:r w:rsidRPr="00CB20FE">
        <w:rPr>
          <w:rFonts w:cs="FrankRuehl"/>
          <w:sz w:val="20"/>
          <w:szCs w:val="22"/>
          <w:rtl/>
          <w:lang w:eastAsia="he-IL"/>
        </w:rPr>
        <w:t xml:space="preserve"> </w:t>
      </w:r>
      <w:r w:rsidRPr="00CB20FE">
        <w:rPr>
          <w:rFonts w:cs="FrankRuehl" w:hint="eastAsia"/>
          <w:sz w:val="20"/>
          <w:szCs w:val="22"/>
          <w:rtl/>
          <w:lang w:eastAsia="he-IL"/>
        </w:rPr>
        <w:t>השפעתה</w:t>
      </w:r>
      <w:r w:rsidRPr="00CB20FE">
        <w:rPr>
          <w:rFonts w:cs="FrankRuehl"/>
          <w:sz w:val="20"/>
          <w:szCs w:val="22"/>
          <w:rtl/>
          <w:lang w:eastAsia="he-IL"/>
        </w:rPr>
        <w:t xml:space="preserve"> </w:t>
      </w:r>
      <w:r w:rsidRPr="00CB20FE">
        <w:rPr>
          <w:rFonts w:cs="FrankRuehl" w:hint="eastAsia"/>
          <w:sz w:val="20"/>
          <w:szCs w:val="22"/>
          <w:rtl/>
          <w:lang w:eastAsia="he-IL"/>
        </w:rPr>
        <w:t>של</w:t>
      </w:r>
      <w:r w:rsidRPr="00CB20FE">
        <w:rPr>
          <w:rFonts w:cs="FrankRuehl"/>
          <w:sz w:val="20"/>
          <w:szCs w:val="22"/>
          <w:rtl/>
          <w:lang w:eastAsia="he-IL"/>
        </w:rPr>
        <w:t xml:space="preserve"> </w:t>
      </w:r>
      <w:r w:rsidRPr="00CB20FE">
        <w:rPr>
          <w:rFonts w:cs="FrankRuehl" w:hint="eastAsia"/>
          <w:sz w:val="20"/>
          <w:szCs w:val="22"/>
          <w:rtl/>
          <w:lang w:eastAsia="he-IL"/>
        </w:rPr>
        <w:t>חקיקה</w:t>
      </w:r>
      <w:r w:rsidRPr="00CB20FE">
        <w:rPr>
          <w:rFonts w:cs="FrankRuehl"/>
          <w:sz w:val="20"/>
          <w:szCs w:val="22"/>
          <w:rtl/>
          <w:lang w:eastAsia="he-IL"/>
        </w:rPr>
        <w:t xml:space="preserve"> </w:t>
      </w:r>
      <w:r w:rsidRPr="00CB20FE">
        <w:rPr>
          <w:rFonts w:cs="FrankRuehl" w:hint="eastAsia"/>
          <w:sz w:val="20"/>
          <w:szCs w:val="22"/>
          <w:rtl/>
          <w:lang w:eastAsia="he-IL"/>
        </w:rPr>
        <w:t>חדשה</w:t>
      </w:r>
      <w:r w:rsidRPr="00CB20FE">
        <w:rPr>
          <w:rFonts w:cs="FrankRuehl"/>
          <w:sz w:val="20"/>
          <w:szCs w:val="22"/>
          <w:rtl/>
          <w:lang w:eastAsia="he-IL"/>
        </w:rPr>
        <w:t xml:space="preserve"> </w:t>
      </w:r>
      <w:r w:rsidRPr="00CB20FE">
        <w:rPr>
          <w:rFonts w:cs="FrankRuehl" w:hint="eastAsia"/>
          <w:sz w:val="20"/>
          <w:szCs w:val="22"/>
          <w:rtl/>
          <w:lang w:eastAsia="he-IL"/>
        </w:rPr>
        <w:t>על</w:t>
      </w:r>
      <w:r w:rsidRPr="00CB20FE">
        <w:rPr>
          <w:rFonts w:cs="FrankRuehl"/>
          <w:sz w:val="20"/>
          <w:szCs w:val="22"/>
          <w:rtl/>
          <w:lang w:eastAsia="he-IL"/>
        </w:rPr>
        <w:t xml:space="preserve"> </w:t>
      </w:r>
      <w:r w:rsidRPr="00CB20FE">
        <w:rPr>
          <w:rFonts w:cs="FrankRuehl" w:hint="eastAsia"/>
          <w:sz w:val="20"/>
          <w:szCs w:val="22"/>
          <w:rtl/>
          <w:lang w:eastAsia="he-IL"/>
        </w:rPr>
        <w:t>מגזר</w:t>
      </w:r>
      <w:r w:rsidRPr="00CB20FE">
        <w:rPr>
          <w:rFonts w:cs="FrankRuehl"/>
          <w:sz w:val="20"/>
          <w:szCs w:val="22"/>
          <w:rtl/>
          <w:lang w:eastAsia="he-IL"/>
        </w:rPr>
        <w:t xml:space="preserve"> </w:t>
      </w:r>
      <w:r w:rsidRPr="00CB20FE">
        <w:rPr>
          <w:rFonts w:cs="FrankRuehl" w:hint="eastAsia"/>
          <w:sz w:val="20"/>
          <w:szCs w:val="22"/>
          <w:rtl/>
          <w:lang w:eastAsia="he-IL"/>
        </w:rPr>
        <w:t>זה</w:t>
      </w:r>
      <w:r w:rsidRPr="00CB20FE">
        <w:rPr>
          <w:rFonts w:cs="FrankRuehl"/>
          <w:sz w:val="20"/>
          <w:szCs w:val="22"/>
          <w:rtl/>
          <w:lang w:eastAsia="he-IL"/>
        </w:rPr>
        <w:t>.</w:t>
      </w:r>
    </w:p>
    <w:p w:rsidR="00E21817" w:rsidRPr="00CB20FE" w:rsidP="00484EEB">
      <w:pPr>
        <w:spacing w:after="120" w:line="230" w:lineRule="exact"/>
        <w:jc w:val="both"/>
        <w:rPr>
          <w:rFonts w:cs="FrankRuehl"/>
          <w:sz w:val="20"/>
          <w:szCs w:val="22"/>
          <w:rtl/>
        </w:rPr>
      </w:pPr>
      <w:r w:rsidRPr="00CB20FE">
        <w:rPr>
          <w:rFonts w:cs="FrankRuehl" w:hint="eastAsia"/>
          <w:sz w:val="20"/>
          <w:szCs w:val="22"/>
          <w:rtl/>
          <w:lang w:eastAsia="he-IL"/>
        </w:rPr>
        <w:t>החלטת</w:t>
      </w:r>
      <w:r w:rsidRPr="00CB20FE">
        <w:rPr>
          <w:rFonts w:cs="FrankRuehl"/>
          <w:sz w:val="20"/>
          <w:szCs w:val="22"/>
          <w:rtl/>
          <w:lang w:eastAsia="he-IL"/>
        </w:rPr>
        <w:t xml:space="preserve"> </w:t>
      </w:r>
      <w:r w:rsidRPr="00CB20FE">
        <w:rPr>
          <w:rFonts w:cs="FrankRuehl" w:hint="cs"/>
          <w:sz w:val="20"/>
          <w:szCs w:val="22"/>
          <w:rtl/>
          <w:lang w:eastAsia="he-IL"/>
        </w:rPr>
        <w:t>ה</w:t>
      </w:r>
      <w:r w:rsidRPr="00CB20FE">
        <w:rPr>
          <w:rFonts w:cs="FrankRuehl"/>
          <w:sz w:val="20"/>
          <w:szCs w:val="22"/>
          <w:rtl/>
          <w:lang w:eastAsia="he-IL"/>
        </w:rPr>
        <w:t xml:space="preserve">ממשלה </w:t>
      </w:r>
      <w:r w:rsidRPr="00CB20FE">
        <w:rPr>
          <w:rFonts w:cs="FrankRuehl" w:hint="cs"/>
          <w:sz w:val="20"/>
          <w:szCs w:val="22"/>
          <w:rtl/>
          <w:lang w:eastAsia="he-IL"/>
        </w:rPr>
        <w:t>מ-</w:t>
      </w:r>
      <w:r w:rsidRPr="00CB20FE">
        <w:rPr>
          <w:rFonts w:cs="FrankRuehl"/>
          <w:sz w:val="20"/>
          <w:szCs w:val="22"/>
          <w:rtl/>
          <w:lang w:eastAsia="he-IL"/>
        </w:rPr>
        <w:t xml:space="preserve">2011 </w:t>
      </w:r>
      <w:r w:rsidRPr="00CB20FE">
        <w:rPr>
          <w:rFonts w:cs="FrankRuehl" w:hint="eastAsia"/>
          <w:sz w:val="20"/>
          <w:szCs w:val="22"/>
          <w:rtl/>
          <w:lang w:eastAsia="he-IL"/>
        </w:rPr>
        <w:t>קבעה</w:t>
      </w:r>
      <w:r w:rsidRPr="00CB20FE">
        <w:rPr>
          <w:rFonts w:cs="FrankRuehl"/>
          <w:sz w:val="20"/>
          <w:szCs w:val="22"/>
          <w:rtl/>
          <w:lang w:eastAsia="he-IL"/>
        </w:rPr>
        <w:t xml:space="preserve">, בין היתר, כי </w:t>
      </w:r>
      <w:r w:rsidRPr="00CB20FE">
        <w:rPr>
          <w:rFonts w:cs="FrankRuehl"/>
          <w:sz w:val="20"/>
          <w:szCs w:val="22"/>
          <w:rtl/>
        </w:rPr>
        <w:t xml:space="preserve">על שר </w:t>
      </w:r>
      <w:r w:rsidRPr="00CB20FE">
        <w:rPr>
          <w:rFonts w:cs="FrankRuehl" w:hint="cs"/>
          <w:sz w:val="20"/>
          <w:szCs w:val="22"/>
          <w:rtl/>
        </w:rPr>
        <w:t>הכלכלה לגבש</w:t>
      </w:r>
      <w:r w:rsidRPr="00CB20FE">
        <w:rPr>
          <w:rFonts w:cs="FrankRuehl"/>
          <w:sz w:val="20"/>
          <w:szCs w:val="22"/>
          <w:rtl/>
        </w:rPr>
        <w:t>,</w:t>
      </w:r>
      <w:r w:rsidRPr="00CB20FE">
        <w:rPr>
          <w:rFonts w:cs="FrankRuehl" w:hint="cs"/>
          <w:sz w:val="20"/>
          <w:szCs w:val="22"/>
          <w:rtl/>
        </w:rPr>
        <w:t xml:space="preserve"> בתיאום עם שר האוצר, הצעת חוק לעידוד פעילותם של עסקים קטנים ובינוניים </w:t>
      </w:r>
      <w:r w:rsidRPr="00CB20FE">
        <w:rPr>
          <w:rFonts w:cs="FrankRuehl"/>
          <w:sz w:val="20"/>
          <w:szCs w:val="22"/>
          <w:rtl/>
        </w:rPr>
        <w:t>בהסכמת</w:t>
      </w:r>
      <w:r w:rsidRPr="00CB20FE" w:rsidR="00517378">
        <w:rPr>
          <w:rFonts w:cs="FrankRuehl" w:hint="cs"/>
          <w:sz w:val="20"/>
          <w:szCs w:val="22"/>
          <w:rtl/>
        </w:rPr>
        <w:t xml:space="preserve"> </w:t>
      </w:r>
      <w:r w:rsidRPr="00CB20FE">
        <w:rPr>
          <w:rFonts w:cs="FrankRuehl" w:hint="cs"/>
          <w:sz w:val="20"/>
          <w:szCs w:val="22"/>
          <w:rtl/>
        </w:rPr>
        <w:t>ה</w:t>
      </w:r>
      <w:r w:rsidRPr="00CB20FE">
        <w:rPr>
          <w:rFonts w:cs="FrankRuehl"/>
          <w:sz w:val="20"/>
          <w:szCs w:val="22"/>
          <w:rtl/>
        </w:rPr>
        <w:t>שרים</w:t>
      </w:r>
      <w:r w:rsidRPr="00CB20FE">
        <w:rPr>
          <w:rFonts w:cs="FrankRuehl" w:hint="cs"/>
          <w:sz w:val="20"/>
          <w:szCs w:val="22"/>
          <w:rtl/>
        </w:rPr>
        <w:t xml:space="preserve"> על פי תחומי סמכויותיהם</w:t>
      </w:r>
      <w:r w:rsidRPr="00CB20FE">
        <w:rPr>
          <w:rFonts w:cs="FrankRuehl"/>
          <w:sz w:val="20"/>
          <w:szCs w:val="22"/>
          <w:rtl/>
        </w:rPr>
        <w:t xml:space="preserve">. עוד </w:t>
      </w:r>
      <w:r w:rsidRPr="00CB20FE">
        <w:rPr>
          <w:rFonts w:cs="FrankRuehl" w:hint="cs"/>
          <w:sz w:val="20"/>
          <w:szCs w:val="22"/>
          <w:rtl/>
        </w:rPr>
        <w:t xml:space="preserve">נקבע בהחלטה כי הסוכנות תוסמך </w:t>
      </w:r>
      <w:r w:rsidRPr="00CB20FE">
        <w:rPr>
          <w:rFonts w:cs="FrankRuehl"/>
          <w:sz w:val="20"/>
          <w:szCs w:val="22"/>
          <w:rtl/>
        </w:rPr>
        <w:t>לרכז את</w:t>
      </w:r>
      <w:r w:rsidRPr="00CB20FE" w:rsidR="00517378">
        <w:rPr>
          <w:rFonts w:cs="FrankRuehl" w:hint="cs"/>
          <w:sz w:val="20"/>
          <w:szCs w:val="22"/>
          <w:rtl/>
        </w:rPr>
        <w:t xml:space="preserve"> </w:t>
      </w:r>
      <w:r w:rsidRPr="00CB20FE">
        <w:rPr>
          <w:rFonts w:cs="FrankRuehl"/>
          <w:sz w:val="20"/>
          <w:szCs w:val="22"/>
          <w:rtl/>
        </w:rPr>
        <w:t>הטיפול</w:t>
      </w:r>
      <w:r w:rsidRPr="00CB20FE" w:rsidR="00517378">
        <w:rPr>
          <w:rFonts w:cs="FrankRuehl" w:hint="cs"/>
          <w:sz w:val="20"/>
          <w:szCs w:val="22"/>
          <w:rtl/>
        </w:rPr>
        <w:t xml:space="preserve"> </w:t>
      </w:r>
      <w:r w:rsidRPr="00CB20FE">
        <w:rPr>
          <w:rFonts w:cs="FrankRuehl"/>
          <w:sz w:val="20"/>
          <w:szCs w:val="22"/>
          <w:rtl/>
        </w:rPr>
        <w:t>הממשלתי בקידום</w:t>
      </w:r>
      <w:r w:rsidRPr="00CB20FE" w:rsidR="00517378">
        <w:rPr>
          <w:rFonts w:cs="FrankRuehl" w:hint="cs"/>
          <w:sz w:val="20"/>
          <w:szCs w:val="22"/>
          <w:rtl/>
        </w:rPr>
        <w:t xml:space="preserve"> </w:t>
      </w:r>
      <w:r w:rsidRPr="00CB20FE">
        <w:rPr>
          <w:rFonts w:cs="FrankRuehl"/>
          <w:sz w:val="20"/>
          <w:szCs w:val="22"/>
          <w:rtl/>
        </w:rPr>
        <w:t>מעמדם של עסקים קטנים</w:t>
      </w:r>
      <w:r w:rsidRPr="00CB20FE">
        <w:rPr>
          <w:rFonts w:cs="FrankRuehl" w:hint="cs"/>
          <w:sz w:val="20"/>
          <w:szCs w:val="22"/>
          <w:rtl/>
        </w:rPr>
        <w:t xml:space="preserve"> </w:t>
      </w:r>
      <w:r w:rsidRPr="00CB20FE">
        <w:rPr>
          <w:rFonts w:cs="FrankRuehl"/>
          <w:sz w:val="20"/>
          <w:szCs w:val="22"/>
          <w:rtl/>
        </w:rPr>
        <w:t>ובינוניים</w:t>
      </w:r>
      <w:r w:rsidRPr="00CB20FE" w:rsidR="00517378">
        <w:rPr>
          <w:rFonts w:cs="FrankRuehl" w:hint="cs"/>
          <w:sz w:val="20"/>
          <w:szCs w:val="22"/>
          <w:rtl/>
        </w:rPr>
        <w:t xml:space="preserve"> </w:t>
      </w:r>
      <w:r w:rsidRPr="00CB20FE">
        <w:rPr>
          <w:rFonts w:cs="FrankRuehl"/>
          <w:sz w:val="20"/>
          <w:szCs w:val="22"/>
          <w:rtl/>
        </w:rPr>
        <w:t>וליזום ולבצע פעולות</w:t>
      </w:r>
      <w:r w:rsidRPr="00CB20FE">
        <w:rPr>
          <w:rFonts w:cs="FrankRuehl" w:hint="cs"/>
          <w:sz w:val="20"/>
          <w:szCs w:val="22"/>
          <w:rtl/>
        </w:rPr>
        <w:t xml:space="preserve"> לקדם</w:t>
      </w:r>
      <w:r w:rsidRPr="00CB20FE">
        <w:rPr>
          <w:rFonts w:cs="FrankRuehl"/>
          <w:sz w:val="20"/>
          <w:szCs w:val="22"/>
          <w:rtl/>
        </w:rPr>
        <w:t xml:space="preserve"> </w:t>
      </w:r>
      <w:r w:rsidRPr="00CB20FE">
        <w:rPr>
          <w:rFonts w:cs="FrankRuehl" w:hint="cs"/>
          <w:sz w:val="20"/>
          <w:szCs w:val="22"/>
          <w:rtl/>
        </w:rPr>
        <w:t>את ה</w:t>
      </w:r>
      <w:r w:rsidRPr="00CB20FE">
        <w:rPr>
          <w:rFonts w:cs="FrankRuehl"/>
          <w:sz w:val="20"/>
          <w:szCs w:val="22"/>
          <w:rtl/>
        </w:rPr>
        <w:t>מגזר</w:t>
      </w:r>
      <w:r w:rsidRPr="00CB20FE">
        <w:rPr>
          <w:rFonts w:cs="FrankRuehl" w:hint="cs"/>
          <w:sz w:val="20"/>
          <w:szCs w:val="22"/>
          <w:rtl/>
        </w:rPr>
        <w:t xml:space="preserve">; </w:t>
      </w:r>
      <w:r w:rsidRPr="00CB20FE">
        <w:rPr>
          <w:rFonts w:cs="FrankRuehl"/>
          <w:sz w:val="20"/>
          <w:szCs w:val="22"/>
          <w:rtl/>
        </w:rPr>
        <w:t>הכ</w:t>
      </w:r>
      <w:r w:rsidRPr="00CB20FE">
        <w:rPr>
          <w:rFonts w:cs="FrankRuehl" w:hint="cs"/>
          <w:sz w:val="20"/>
          <w:szCs w:val="22"/>
          <w:rtl/>
        </w:rPr>
        <w:t>ו</w:t>
      </w:r>
      <w:r w:rsidRPr="00CB20FE">
        <w:rPr>
          <w:rFonts w:cs="FrankRuehl"/>
          <w:sz w:val="20"/>
          <w:szCs w:val="22"/>
          <w:rtl/>
        </w:rPr>
        <w:t>ל בלי לגרוע מ</w:t>
      </w:r>
      <w:r w:rsidRPr="00CB20FE">
        <w:rPr>
          <w:rFonts w:cs="FrankRuehl" w:hint="cs"/>
          <w:sz w:val="20"/>
          <w:szCs w:val="22"/>
          <w:rtl/>
        </w:rPr>
        <w:t>ה</w:t>
      </w:r>
      <w:r w:rsidRPr="00CB20FE">
        <w:rPr>
          <w:rFonts w:cs="FrankRuehl"/>
          <w:sz w:val="20"/>
          <w:szCs w:val="22"/>
          <w:rtl/>
        </w:rPr>
        <w:t>סמכויות הנתונות לשרים ו</w:t>
      </w:r>
      <w:r w:rsidRPr="00CB20FE">
        <w:rPr>
          <w:rFonts w:cs="FrankRuehl" w:hint="cs"/>
          <w:sz w:val="20"/>
          <w:szCs w:val="22"/>
          <w:rtl/>
        </w:rPr>
        <w:t>ל</w:t>
      </w:r>
      <w:r w:rsidRPr="00CB20FE">
        <w:rPr>
          <w:rFonts w:cs="FrankRuehl"/>
          <w:sz w:val="20"/>
          <w:szCs w:val="22"/>
          <w:rtl/>
        </w:rPr>
        <w:t>גופים אחרים</w:t>
      </w:r>
      <w:r w:rsidRPr="00CB20FE" w:rsidR="00517378">
        <w:rPr>
          <w:rFonts w:cs="FrankRuehl" w:hint="cs"/>
          <w:sz w:val="20"/>
          <w:szCs w:val="22"/>
          <w:rtl/>
        </w:rPr>
        <w:t xml:space="preserve"> </w:t>
      </w:r>
      <w:r w:rsidRPr="00CB20FE">
        <w:rPr>
          <w:rFonts w:cs="FrankRuehl"/>
          <w:sz w:val="20"/>
          <w:szCs w:val="22"/>
          <w:rtl/>
        </w:rPr>
        <w:t xml:space="preserve">לפי כל דין. </w:t>
      </w:r>
      <w:r w:rsidRPr="00CB20FE">
        <w:rPr>
          <w:rFonts w:cs="FrankRuehl" w:hint="cs"/>
          <w:sz w:val="20"/>
          <w:szCs w:val="22"/>
          <w:rtl/>
        </w:rPr>
        <w:t>ההחלטה הטילה</w:t>
      </w:r>
      <w:r w:rsidRPr="00CB20FE">
        <w:rPr>
          <w:rFonts w:cs="FrankRuehl"/>
          <w:sz w:val="20"/>
          <w:szCs w:val="22"/>
          <w:rtl/>
        </w:rPr>
        <w:t xml:space="preserve"> על שר </w:t>
      </w:r>
      <w:r w:rsidRPr="00CB20FE">
        <w:rPr>
          <w:rFonts w:cs="FrankRuehl" w:hint="cs"/>
          <w:sz w:val="20"/>
          <w:szCs w:val="22"/>
          <w:rtl/>
        </w:rPr>
        <w:t>הכלכלה</w:t>
      </w:r>
      <w:r w:rsidRPr="00CB20FE">
        <w:rPr>
          <w:rFonts w:cs="FrankRuehl"/>
          <w:sz w:val="20"/>
          <w:szCs w:val="22"/>
          <w:rtl/>
        </w:rPr>
        <w:t xml:space="preserve"> להסדיר את מעמדה</w:t>
      </w:r>
      <w:r w:rsidRPr="00CB20FE" w:rsidR="00517378">
        <w:rPr>
          <w:rFonts w:cs="FrankRuehl" w:hint="cs"/>
          <w:sz w:val="20"/>
          <w:szCs w:val="22"/>
          <w:rtl/>
        </w:rPr>
        <w:t xml:space="preserve"> </w:t>
      </w:r>
      <w:r w:rsidRPr="00CB20FE">
        <w:rPr>
          <w:rFonts w:cs="FrankRuehl"/>
          <w:sz w:val="20"/>
          <w:szCs w:val="22"/>
          <w:rtl/>
        </w:rPr>
        <w:t>של</w:t>
      </w:r>
      <w:r w:rsidRPr="00CB20FE" w:rsidR="00517378">
        <w:rPr>
          <w:rFonts w:cs="FrankRuehl" w:hint="cs"/>
          <w:sz w:val="20"/>
          <w:szCs w:val="22"/>
          <w:rtl/>
        </w:rPr>
        <w:t xml:space="preserve"> </w:t>
      </w:r>
      <w:r w:rsidRPr="00CB20FE">
        <w:rPr>
          <w:rFonts w:cs="FrankRuehl"/>
          <w:sz w:val="20"/>
          <w:szCs w:val="22"/>
          <w:rtl/>
        </w:rPr>
        <w:t>הסוכנות, כך ש</w:t>
      </w:r>
      <w:r w:rsidRPr="00CB20FE">
        <w:rPr>
          <w:rFonts w:cs="FrankRuehl" w:hint="cs"/>
          <w:sz w:val="20"/>
          <w:szCs w:val="22"/>
          <w:rtl/>
        </w:rPr>
        <w:t>תוכל למלא את</w:t>
      </w:r>
      <w:r w:rsidRPr="00CB20FE" w:rsidR="00517378">
        <w:rPr>
          <w:rFonts w:cs="FrankRuehl" w:hint="cs"/>
          <w:sz w:val="20"/>
          <w:szCs w:val="22"/>
          <w:rtl/>
        </w:rPr>
        <w:t xml:space="preserve"> </w:t>
      </w:r>
      <w:r w:rsidRPr="00CB20FE">
        <w:rPr>
          <w:rFonts w:cs="FrankRuehl" w:hint="cs"/>
          <w:sz w:val="20"/>
          <w:szCs w:val="22"/>
          <w:rtl/>
        </w:rPr>
        <w:t>ה</w:t>
      </w:r>
      <w:r w:rsidRPr="00CB20FE">
        <w:rPr>
          <w:rFonts w:cs="FrankRuehl"/>
          <w:sz w:val="20"/>
          <w:szCs w:val="22"/>
          <w:rtl/>
        </w:rPr>
        <w:t>תפקיד</w:t>
      </w:r>
      <w:r w:rsidRPr="00CB20FE">
        <w:rPr>
          <w:rFonts w:cs="FrankRuehl" w:hint="cs"/>
          <w:sz w:val="20"/>
          <w:szCs w:val="22"/>
          <w:rtl/>
        </w:rPr>
        <w:t>ים שהוטלו עליה.</w:t>
      </w:r>
    </w:p>
    <w:p w:rsidR="00E21817" w:rsidRPr="00CB20FE" w:rsidP="00484EEB">
      <w:pPr>
        <w:spacing w:after="120" w:line="230" w:lineRule="exact"/>
        <w:jc w:val="both"/>
        <w:rPr>
          <w:rFonts w:cs="FrankRuehl"/>
          <w:sz w:val="20"/>
          <w:szCs w:val="22"/>
          <w:rtl/>
        </w:rPr>
      </w:pPr>
      <w:r w:rsidRPr="00CB20FE">
        <w:rPr>
          <w:rFonts w:cs="FrankRuehl" w:hint="cs"/>
          <w:sz w:val="20"/>
          <w:szCs w:val="22"/>
          <w:rtl/>
        </w:rPr>
        <w:t>בשנת 2012 הכין משרד הכלכלה הצעת חוק</w:t>
      </w:r>
      <w:r w:rsidRPr="00CB20FE">
        <w:rPr>
          <w:rFonts w:cs="FrankRuehl" w:hint="cs"/>
          <w:sz w:val="20"/>
          <w:szCs w:val="22"/>
          <w:rtl/>
          <w:lang w:eastAsia="he-IL"/>
        </w:rPr>
        <w:t xml:space="preserve"> לעידוד עסקים קטנים ובינוניים בישראל, התשע"ב-2012</w:t>
      </w:r>
      <w:r w:rsidRPr="00CB20FE">
        <w:rPr>
          <w:rFonts w:cs="FrankRuehl"/>
          <w:sz w:val="20"/>
          <w:szCs w:val="22"/>
          <w:rtl/>
          <w:lang w:eastAsia="he-IL"/>
        </w:rPr>
        <w:t xml:space="preserve">, </w:t>
      </w:r>
      <w:r w:rsidRPr="00CB20FE">
        <w:rPr>
          <w:rFonts w:cs="FrankRuehl" w:hint="cs"/>
          <w:sz w:val="20"/>
          <w:szCs w:val="22"/>
          <w:rtl/>
        </w:rPr>
        <w:t xml:space="preserve">בהתאם להחלטת הממשלה מ-2011. המשרד קיבל התנגדויות מכמה משרדי ממשלה לסעיפים בהצעת החוק המקנים סמכויות לסוכנות להתערב בהחלטות של </w:t>
      </w:r>
      <w:r w:rsidRPr="00CB20FE">
        <w:rPr>
          <w:rFonts w:cs="FrankRuehl" w:hint="cs"/>
          <w:sz w:val="20"/>
          <w:szCs w:val="22"/>
          <w:rtl/>
        </w:rPr>
        <w:t>מאסדרים</w:t>
      </w:r>
      <w:r w:rsidRPr="00CB20FE">
        <w:rPr>
          <w:rFonts w:cs="FrankRuehl" w:hint="cs"/>
          <w:sz w:val="20"/>
          <w:szCs w:val="22"/>
          <w:rtl/>
        </w:rPr>
        <w:t xml:space="preserve"> שלדעתה פוגעות בעסקים קטנים ובינוניים. כך לדוגמה, בהצעת החוק נקבע כי הסוכנות יכולה לשלוח חוות דעת לממשלה כאשר היא סבורה ש</w:t>
      </w:r>
      <w:r w:rsidRPr="00CB20FE">
        <w:rPr>
          <w:rFonts w:cs="FrankRuehl"/>
          <w:sz w:val="20"/>
          <w:szCs w:val="22"/>
          <w:rtl/>
        </w:rPr>
        <w:t>אסדרה מסוימת מכבידה על העסקים הקטנים והבינוניים יתר על המידה</w:t>
      </w:r>
      <w:r w:rsidRPr="00CB20FE">
        <w:rPr>
          <w:rFonts w:cs="FrankRuehl" w:hint="cs"/>
          <w:sz w:val="20"/>
          <w:szCs w:val="22"/>
          <w:rtl/>
        </w:rPr>
        <w:t>.</w:t>
      </w:r>
      <w:r w:rsidRPr="00CB20FE">
        <w:rPr>
          <w:rFonts w:cs="FrankRuehl"/>
          <w:sz w:val="20"/>
          <w:szCs w:val="22"/>
          <w:rtl/>
        </w:rPr>
        <w:t xml:space="preserve"> </w:t>
      </w:r>
      <w:r w:rsidRPr="00CB20FE">
        <w:rPr>
          <w:rFonts w:cs="FrankRuehl" w:hint="cs"/>
          <w:sz w:val="20"/>
          <w:szCs w:val="22"/>
          <w:rtl/>
        </w:rPr>
        <w:t xml:space="preserve">בחוות הדעת תציע הסוכנות </w:t>
      </w:r>
      <w:r w:rsidRPr="00CB20FE">
        <w:rPr>
          <w:rFonts w:cs="FrankRuehl"/>
          <w:sz w:val="20"/>
          <w:szCs w:val="22"/>
          <w:rtl/>
        </w:rPr>
        <w:t xml:space="preserve">דרכים </w:t>
      </w:r>
      <w:r w:rsidRPr="00CB20FE">
        <w:rPr>
          <w:rFonts w:cs="FrankRuehl" w:hint="cs"/>
          <w:sz w:val="20"/>
          <w:szCs w:val="22"/>
          <w:rtl/>
        </w:rPr>
        <w:t>להקלת</w:t>
      </w:r>
      <w:r w:rsidRPr="00CB20FE">
        <w:rPr>
          <w:rFonts w:cs="FrankRuehl"/>
          <w:sz w:val="20"/>
          <w:szCs w:val="22"/>
          <w:rtl/>
        </w:rPr>
        <w:t xml:space="preserve"> ההכבדה האמורה</w:t>
      </w:r>
      <w:r w:rsidRPr="00CB20FE">
        <w:rPr>
          <w:rFonts w:cs="FrankRuehl" w:hint="cs"/>
          <w:sz w:val="20"/>
          <w:szCs w:val="22"/>
          <w:rtl/>
        </w:rPr>
        <w:t>,</w:t>
      </w:r>
      <w:r w:rsidRPr="00CB20FE">
        <w:rPr>
          <w:rFonts w:cs="FrankRuehl"/>
          <w:sz w:val="20"/>
          <w:szCs w:val="22"/>
          <w:rtl/>
        </w:rPr>
        <w:t xml:space="preserve"> בהתחשב באינטרס הציבורי </w:t>
      </w:r>
      <w:r w:rsidRPr="00CB20FE">
        <w:rPr>
          <w:rFonts w:cs="FrankRuehl" w:hint="cs"/>
          <w:sz w:val="20"/>
          <w:szCs w:val="22"/>
          <w:rtl/>
        </w:rPr>
        <w:t xml:space="preserve">שבבסיס </w:t>
      </w:r>
      <w:r w:rsidRPr="00CB20FE">
        <w:rPr>
          <w:rFonts w:cs="FrankRuehl"/>
          <w:sz w:val="20"/>
          <w:szCs w:val="22"/>
          <w:rtl/>
        </w:rPr>
        <w:t xml:space="preserve">אותה </w:t>
      </w:r>
      <w:r w:rsidRPr="00CB20FE">
        <w:rPr>
          <w:rFonts w:cs="FrankRuehl" w:hint="cs"/>
          <w:sz w:val="20"/>
          <w:szCs w:val="22"/>
          <w:rtl/>
        </w:rPr>
        <w:t>ה</w:t>
      </w:r>
      <w:r w:rsidRPr="00CB20FE">
        <w:rPr>
          <w:rFonts w:cs="FrankRuehl"/>
          <w:sz w:val="20"/>
          <w:szCs w:val="22"/>
          <w:rtl/>
        </w:rPr>
        <w:t>אסדרה.</w:t>
      </w:r>
    </w:p>
    <w:p w:rsidR="00E21817" w:rsidRPr="00CB20FE" w:rsidP="00484EEB">
      <w:pPr>
        <w:spacing w:after="120" w:line="230" w:lineRule="exact"/>
        <w:jc w:val="both"/>
        <w:rPr>
          <w:rFonts w:cs="FrankRuehl"/>
          <w:sz w:val="20"/>
          <w:szCs w:val="22"/>
          <w:rtl/>
        </w:rPr>
      </w:pPr>
      <w:r w:rsidRPr="00CB20FE">
        <w:rPr>
          <w:rFonts w:cs="FrankRuehl" w:hint="cs"/>
          <w:sz w:val="20"/>
          <w:szCs w:val="22"/>
          <w:rtl/>
        </w:rPr>
        <w:t xml:space="preserve">בעקבות ההתנגדויות האמורות שונתה הצעת החוק, כך שהסוכנות תוכל להביע את דעתה על פעולות של </w:t>
      </w:r>
      <w:r w:rsidRPr="00CB20FE">
        <w:rPr>
          <w:rFonts w:cs="FrankRuehl" w:hint="cs"/>
          <w:sz w:val="20"/>
          <w:szCs w:val="22"/>
          <w:rtl/>
        </w:rPr>
        <w:t>מאסדרים</w:t>
      </w:r>
      <w:r w:rsidRPr="00CB20FE">
        <w:rPr>
          <w:rFonts w:cs="FrankRuehl" w:hint="cs"/>
          <w:sz w:val="20"/>
          <w:szCs w:val="22"/>
          <w:rtl/>
        </w:rPr>
        <w:t xml:space="preserve"> שאינן מיטיבות עם צורכיהם של עסקים קטנים ובינוניים אולם לא תהיה לה סמכות להתערב בהחלטת </w:t>
      </w:r>
      <w:r w:rsidRPr="00CB20FE">
        <w:rPr>
          <w:rFonts w:cs="FrankRuehl" w:hint="cs"/>
          <w:sz w:val="20"/>
          <w:szCs w:val="22"/>
          <w:rtl/>
        </w:rPr>
        <w:t>המאסדרים</w:t>
      </w:r>
      <w:r w:rsidRPr="00CB20FE">
        <w:rPr>
          <w:rFonts w:cs="FrankRuehl" w:hint="cs"/>
          <w:sz w:val="20"/>
          <w:szCs w:val="22"/>
          <w:rtl/>
        </w:rPr>
        <w:t xml:space="preserve">. הצעת החוק גובשה אפוא בשנת 2013 והיא עסקה בקביעת מטרות הסוכנות, המבנה שלה ופעולותיה. </w:t>
      </w:r>
      <w:r w:rsidRPr="00CB20FE">
        <w:rPr>
          <w:rFonts w:cs="FrankRuehl"/>
          <w:sz w:val="20"/>
          <w:szCs w:val="22"/>
          <w:rtl/>
        </w:rPr>
        <w:t xml:space="preserve">בהתאם </w:t>
      </w:r>
      <w:r w:rsidRPr="00CB20FE">
        <w:rPr>
          <w:rFonts w:cs="FrankRuehl" w:hint="cs"/>
          <w:sz w:val="20"/>
          <w:szCs w:val="22"/>
          <w:rtl/>
        </w:rPr>
        <w:t>ל</w:t>
      </w:r>
      <w:r w:rsidRPr="00CB20FE">
        <w:rPr>
          <w:rFonts w:cs="FrankRuehl"/>
          <w:sz w:val="20"/>
          <w:szCs w:val="22"/>
          <w:rtl/>
        </w:rPr>
        <w:t xml:space="preserve">הצעת החוק, משרדי ממשלה אשר יפרסמו </w:t>
      </w:r>
      <w:r w:rsidRPr="00CB20FE">
        <w:rPr>
          <w:rFonts w:cs="FrankRuehl"/>
          <w:sz w:val="20"/>
          <w:szCs w:val="22"/>
          <w:rtl/>
        </w:rPr>
        <w:t>יזמות חקיקה והחלטות מהותיות אחרות יקבלו את עמדתה של הסוכנות בנוגע להשפעת היזמה על עסקים קטנים ויביאו אותה בחשבון במסגרת שיקוליהם.</w:t>
      </w:r>
    </w:p>
    <w:p w:rsidR="00E21817" w:rsidRPr="00CB20FE" w:rsidP="00484EEB">
      <w:pPr>
        <w:spacing w:after="120" w:line="230" w:lineRule="exact"/>
        <w:jc w:val="both"/>
        <w:rPr>
          <w:rFonts w:cs="FrankRuehl"/>
          <w:sz w:val="20"/>
          <w:szCs w:val="22"/>
          <w:rtl/>
          <w:lang w:eastAsia="he-IL"/>
        </w:rPr>
      </w:pPr>
      <w:r w:rsidRPr="00CB20FE">
        <w:rPr>
          <w:rFonts w:cs="FrankRuehl" w:hint="cs"/>
          <w:sz w:val="20"/>
          <w:szCs w:val="22"/>
          <w:rtl/>
          <w:lang w:eastAsia="he-IL"/>
        </w:rPr>
        <w:t>בנובמבר ודצמבר 2013 דנה ועדת הכלכלה של הכנסת בהצעת החוק והחליטה שלא לקדמה מפני</w:t>
      </w:r>
      <w:r w:rsidRPr="00CB20FE">
        <w:rPr>
          <w:rFonts w:cs="FrankRuehl"/>
          <w:sz w:val="20"/>
          <w:szCs w:val="22"/>
          <w:rtl/>
        </w:rPr>
        <w:t xml:space="preserve"> </w:t>
      </w:r>
      <w:r w:rsidRPr="00CB20FE">
        <w:rPr>
          <w:rFonts w:cs="FrankRuehl"/>
          <w:sz w:val="20"/>
          <w:szCs w:val="22"/>
          <w:rtl/>
          <w:lang w:eastAsia="he-IL"/>
        </w:rPr>
        <w:t xml:space="preserve">שלדעתה </w:t>
      </w:r>
      <w:r w:rsidRPr="00CB20FE">
        <w:rPr>
          <w:rFonts w:cs="FrankRuehl" w:hint="cs"/>
          <w:sz w:val="20"/>
          <w:szCs w:val="22"/>
          <w:rtl/>
          <w:lang w:eastAsia="he-IL"/>
        </w:rPr>
        <w:t xml:space="preserve">היא לא הקנתה סמכויות מהותיות לסוכנות. </w:t>
      </w:r>
      <w:r w:rsidRPr="00CB20FE">
        <w:rPr>
          <w:rFonts w:cs="FrankRuehl" w:hint="eastAsia"/>
          <w:sz w:val="20"/>
          <w:szCs w:val="22"/>
          <w:rtl/>
          <w:lang w:eastAsia="he-IL"/>
        </w:rPr>
        <w:t>יו</w:t>
      </w:r>
      <w:r w:rsidRPr="00CB20FE">
        <w:rPr>
          <w:rFonts w:cs="FrankRuehl"/>
          <w:sz w:val="20"/>
          <w:szCs w:val="22"/>
          <w:rtl/>
          <w:lang w:eastAsia="he-IL"/>
        </w:rPr>
        <w:t xml:space="preserve">"ר </w:t>
      </w:r>
      <w:r w:rsidRPr="00CB20FE">
        <w:rPr>
          <w:rFonts w:cs="FrankRuehl" w:hint="eastAsia"/>
          <w:sz w:val="20"/>
          <w:szCs w:val="22"/>
          <w:rtl/>
          <w:lang w:eastAsia="he-IL"/>
        </w:rPr>
        <w:t>ועדת</w:t>
      </w:r>
      <w:r w:rsidRPr="00CB20FE">
        <w:rPr>
          <w:rFonts w:cs="FrankRuehl"/>
          <w:sz w:val="20"/>
          <w:szCs w:val="22"/>
          <w:rtl/>
          <w:lang w:eastAsia="he-IL"/>
        </w:rPr>
        <w:t xml:space="preserve"> </w:t>
      </w:r>
      <w:r w:rsidRPr="00CB20FE">
        <w:rPr>
          <w:rFonts w:cs="FrankRuehl" w:hint="eastAsia"/>
          <w:sz w:val="20"/>
          <w:szCs w:val="22"/>
          <w:rtl/>
          <w:lang w:eastAsia="he-IL"/>
        </w:rPr>
        <w:t>הכלכלה</w:t>
      </w:r>
      <w:r w:rsidRPr="00CB20FE">
        <w:rPr>
          <w:rFonts w:cs="FrankRuehl"/>
          <w:sz w:val="20"/>
          <w:szCs w:val="22"/>
          <w:rtl/>
          <w:lang w:eastAsia="he-IL"/>
        </w:rPr>
        <w:t xml:space="preserve"> </w:t>
      </w:r>
      <w:r w:rsidRPr="00CB20FE">
        <w:rPr>
          <w:rFonts w:cs="FrankRuehl" w:hint="cs"/>
          <w:sz w:val="20"/>
          <w:szCs w:val="22"/>
          <w:rtl/>
          <w:lang w:eastAsia="he-IL"/>
        </w:rPr>
        <w:t xml:space="preserve">דאז </w:t>
      </w:r>
      <w:r w:rsidRPr="00CB20FE">
        <w:rPr>
          <w:rFonts w:cs="FrankRuehl"/>
          <w:sz w:val="20"/>
          <w:szCs w:val="22"/>
          <w:rtl/>
          <w:lang w:eastAsia="he-IL"/>
        </w:rPr>
        <w:t>פרופ</w:t>
      </w:r>
      <w:r w:rsidRPr="00CB20FE">
        <w:rPr>
          <w:rFonts w:cs="FrankRuehl" w:hint="cs"/>
          <w:sz w:val="20"/>
          <w:szCs w:val="22"/>
          <w:rtl/>
          <w:lang w:eastAsia="he-IL"/>
        </w:rPr>
        <w:t>'</w:t>
      </w:r>
      <w:r w:rsidRPr="00CB20FE">
        <w:rPr>
          <w:rFonts w:cs="FrankRuehl"/>
          <w:sz w:val="20"/>
          <w:szCs w:val="22"/>
          <w:rtl/>
          <w:lang w:eastAsia="he-IL"/>
        </w:rPr>
        <w:t xml:space="preserve"> אבישי </w:t>
      </w:r>
      <w:r w:rsidRPr="00CB20FE">
        <w:rPr>
          <w:rFonts w:cs="FrankRuehl" w:hint="eastAsia"/>
          <w:sz w:val="20"/>
          <w:szCs w:val="22"/>
          <w:rtl/>
          <w:lang w:eastAsia="he-IL"/>
        </w:rPr>
        <w:t>ברוורמן</w:t>
      </w:r>
      <w:r w:rsidRPr="00CB20FE">
        <w:rPr>
          <w:rFonts w:cs="FrankRuehl" w:hint="cs"/>
          <w:sz w:val="20"/>
          <w:szCs w:val="22"/>
          <w:rtl/>
          <w:lang w:eastAsia="he-IL"/>
        </w:rPr>
        <w:t xml:space="preserve"> </w:t>
      </w:r>
      <w:r w:rsidRPr="00CB20FE">
        <w:rPr>
          <w:rFonts w:cs="FrankRuehl" w:hint="eastAsia"/>
          <w:sz w:val="20"/>
          <w:szCs w:val="22"/>
          <w:rtl/>
          <w:lang w:eastAsia="he-IL"/>
        </w:rPr>
        <w:t>הסביר</w:t>
      </w:r>
      <w:r w:rsidRPr="00CB20FE">
        <w:rPr>
          <w:rFonts w:cs="FrankRuehl"/>
          <w:sz w:val="20"/>
          <w:szCs w:val="22"/>
          <w:rtl/>
          <w:lang w:eastAsia="he-IL"/>
        </w:rPr>
        <w:t xml:space="preserve"> שהוא </w:t>
      </w:r>
      <w:r w:rsidRPr="00CB20FE">
        <w:rPr>
          <w:rFonts w:cs="FrankRuehl" w:hint="cs"/>
          <w:sz w:val="20"/>
          <w:szCs w:val="22"/>
          <w:rtl/>
          <w:lang w:eastAsia="he-IL"/>
        </w:rPr>
        <w:t>אינו</w:t>
      </w:r>
      <w:r w:rsidRPr="00CB20FE">
        <w:rPr>
          <w:rFonts w:cs="FrankRuehl"/>
          <w:sz w:val="20"/>
          <w:szCs w:val="22"/>
          <w:rtl/>
          <w:lang w:eastAsia="he-IL"/>
        </w:rPr>
        <w:t xml:space="preserve"> </w:t>
      </w:r>
      <w:r w:rsidRPr="00CB20FE">
        <w:rPr>
          <w:rFonts w:cs="FrankRuehl" w:hint="eastAsia"/>
          <w:sz w:val="20"/>
          <w:szCs w:val="22"/>
          <w:rtl/>
          <w:lang w:eastAsia="he-IL"/>
        </w:rPr>
        <w:t>מעביר</w:t>
      </w:r>
      <w:r w:rsidRPr="00CB20FE">
        <w:rPr>
          <w:rFonts w:cs="FrankRuehl"/>
          <w:sz w:val="20"/>
          <w:szCs w:val="22"/>
          <w:rtl/>
          <w:lang w:eastAsia="he-IL"/>
        </w:rPr>
        <w:t xml:space="preserve"> את החוק לאישור הכנסת היות ובקרב </w:t>
      </w:r>
      <w:r w:rsidRPr="00CB20FE">
        <w:rPr>
          <w:rFonts w:cs="FrankRuehl" w:hint="eastAsia"/>
          <w:sz w:val="20"/>
          <w:szCs w:val="22"/>
          <w:rtl/>
          <w:lang w:eastAsia="he-IL"/>
        </w:rPr>
        <w:t>רוב</w:t>
      </w:r>
      <w:r w:rsidRPr="00CB20FE">
        <w:rPr>
          <w:rFonts w:cs="FrankRuehl"/>
          <w:sz w:val="20"/>
          <w:szCs w:val="22"/>
          <w:rtl/>
          <w:lang w:eastAsia="he-IL"/>
        </w:rPr>
        <w:t xml:space="preserve"> </w:t>
      </w:r>
      <w:r w:rsidRPr="00CB20FE">
        <w:rPr>
          <w:rFonts w:cs="FrankRuehl" w:hint="eastAsia"/>
          <w:sz w:val="20"/>
          <w:szCs w:val="22"/>
          <w:rtl/>
          <w:lang w:eastAsia="he-IL"/>
        </w:rPr>
        <w:t>חבר</w:t>
      </w:r>
      <w:r w:rsidRPr="00CB20FE">
        <w:rPr>
          <w:rFonts w:cs="FrankRuehl" w:hint="cs"/>
          <w:sz w:val="20"/>
          <w:szCs w:val="22"/>
          <w:rtl/>
          <w:lang w:eastAsia="he-IL"/>
        </w:rPr>
        <w:t>י</w:t>
      </w:r>
      <w:r w:rsidRPr="00CB20FE">
        <w:rPr>
          <w:rFonts w:cs="FrankRuehl"/>
          <w:sz w:val="20"/>
          <w:szCs w:val="22"/>
          <w:rtl/>
          <w:lang w:eastAsia="he-IL"/>
        </w:rPr>
        <w:t xml:space="preserve"> </w:t>
      </w:r>
      <w:r w:rsidRPr="00CB20FE">
        <w:rPr>
          <w:rFonts w:cs="FrankRuehl" w:hint="eastAsia"/>
          <w:sz w:val="20"/>
          <w:szCs w:val="22"/>
          <w:rtl/>
          <w:lang w:eastAsia="he-IL"/>
        </w:rPr>
        <w:t>הוועדה</w:t>
      </w:r>
      <w:r w:rsidRPr="00CB20FE">
        <w:rPr>
          <w:rFonts w:cs="FrankRuehl"/>
          <w:sz w:val="20"/>
          <w:szCs w:val="22"/>
          <w:rtl/>
          <w:lang w:eastAsia="he-IL"/>
        </w:rPr>
        <w:t xml:space="preserve"> </w:t>
      </w:r>
      <w:r w:rsidRPr="00CB20FE">
        <w:rPr>
          <w:rFonts w:cs="FrankRuehl" w:hint="eastAsia"/>
          <w:sz w:val="20"/>
          <w:szCs w:val="22"/>
          <w:rtl/>
          <w:lang w:eastAsia="he-IL"/>
        </w:rPr>
        <w:t>הייתה</w:t>
      </w:r>
      <w:r w:rsidRPr="00CB20FE">
        <w:rPr>
          <w:rFonts w:cs="FrankRuehl"/>
          <w:sz w:val="20"/>
          <w:szCs w:val="22"/>
          <w:rtl/>
          <w:lang w:eastAsia="he-IL"/>
        </w:rPr>
        <w:t xml:space="preserve"> </w:t>
      </w:r>
      <w:r w:rsidRPr="00CB20FE">
        <w:rPr>
          <w:rFonts w:cs="FrankRuehl" w:hint="eastAsia"/>
          <w:sz w:val="20"/>
          <w:szCs w:val="22"/>
          <w:rtl/>
          <w:lang w:eastAsia="he-IL"/>
        </w:rPr>
        <w:t>תמימות</w:t>
      </w:r>
      <w:r w:rsidRPr="00CB20FE">
        <w:rPr>
          <w:rFonts w:cs="FrankRuehl"/>
          <w:sz w:val="20"/>
          <w:szCs w:val="22"/>
          <w:rtl/>
          <w:lang w:eastAsia="he-IL"/>
        </w:rPr>
        <w:t xml:space="preserve"> </w:t>
      </w:r>
      <w:r w:rsidRPr="00CB20FE">
        <w:rPr>
          <w:rFonts w:cs="FrankRuehl" w:hint="eastAsia"/>
          <w:sz w:val="20"/>
          <w:szCs w:val="22"/>
          <w:rtl/>
          <w:lang w:eastAsia="he-IL"/>
        </w:rPr>
        <w:t>דעים</w:t>
      </w:r>
      <w:r w:rsidRPr="00CB20FE">
        <w:rPr>
          <w:rFonts w:cs="FrankRuehl"/>
          <w:sz w:val="20"/>
          <w:szCs w:val="22"/>
          <w:rtl/>
          <w:lang w:eastAsia="he-IL"/>
        </w:rPr>
        <w:t xml:space="preserve"> </w:t>
      </w:r>
      <w:r w:rsidRPr="00CB20FE">
        <w:rPr>
          <w:rFonts w:cs="FrankRuehl" w:hint="eastAsia"/>
          <w:sz w:val="20"/>
          <w:szCs w:val="22"/>
          <w:rtl/>
          <w:lang w:eastAsia="he-IL"/>
        </w:rPr>
        <w:t>שאין</w:t>
      </w:r>
      <w:r w:rsidRPr="00CB20FE">
        <w:rPr>
          <w:rFonts w:cs="FrankRuehl"/>
          <w:sz w:val="20"/>
          <w:szCs w:val="22"/>
          <w:rtl/>
          <w:lang w:eastAsia="he-IL"/>
        </w:rPr>
        <w:t xml:space="preserve"> </w:t>
      </w:r>
      <w:r w:rsidRPr="00CB20FE">
        <w:rPr>
          <w:rFonts w:cs="FrankRuehl" w:hint="eastAsia"/>
          <w:sz w:val="20"/>
          <w:szCs w:val="22"/>
          <w:rtl/>
          <w:lang w:eastAsia="he-IL"/>
        </w:rPr>
        <w:t>בחוק</w:t>
      </w:r>
      <w:r w:rsidRPr="00CB20FE">
        <w:rPr>
          <w:rFonts w:cs="FrankRuehl"/>
          <w:sz w:val="20"/>
          <w:szCs w:val="22"/>
          <w:rtl/>
          <w:lang w:eastAsia="he-IL"/>
        </w:rPr>
        <w:t xml:space="preserve"> </w:t>
      </w:r>
      <w:r w:rsidRPr="00CB20FE">
        <w:rPr>
          <w:rFonts w:cs="FrankRuehl" w:hint="eastAsia"/>
          <w:sz w:val="20"/>
          <w:szCs w:val="22"/>
          <w:rtl/>
          <w:lang w:eastAsia="he-IL"/>
        </w:rPr>
        <w:t>כל</w:t>
      </w:r>
      <w:r w:rsidRPr="00CB20FE">
        <w:rPr>
          <w:rFonts w:cs="FrankRuehl"/>
          <w:sz w:val="20"/>
          <w:szCs w:val="22"/>
          <w:rtl/>
          <w:lang w:eastAsia="he-IL"/>
        </w:rPr>
        <w:t xml:space="preserve"> </w:t>
      </w:r>
      <w:r w:rsidRPr="00CB20FE">
        <w:rPr>
          <w:rFonts w:cs="FrankRuehl" w:hint="eastAsia"/>
          <w:sz w:val="20"/>
          <w:szCs w:val="22"/>
          <w:rtl/>
          <w:lang w:eastAsia="he-IL"/>
        </w:rPr>
        <w:t>עידוד</w:t>
      </w:r>
      <w:r w:rsidRPr="00CB20FE">
        <w:rPr>
          <w:rFonts w:cs="FrankRuehl"/>
          <w:sz w:val="20"/>
          <w:szCs w:val="22"/>
          <w:rtl/>
          <w:lang w:eastAsia="he-IL"/>
        </w:rPr>
        <w:t xml:space="preserve"> </w:t>
      </w:r>
      <w:r w:rsidRPr="00CB20FE">
        <w:rPr>
          <w:rFonts w:cs="FrankRuehl" w:hint="eastAsia"/>
          <w:sz w:val="20"/>
          <w:szCs w:val="22"/>
          <w:rtl/>
          <w:lang w:eastAsia="he-IL"/>
        </w:rPr>
        <w:t>לעסקים</w:t>
      </w:r>
      <w:r w:rsidRPr="00CB20FE">
        <w:rPr>
          <w:rFonts w:cs="FrankRuehl"/>
          <w:sz w:val="20"/>
          <w:szCs w:val="22"/>
          <w:rtl/>
          <w:lang w:eastAsia="he-IL"/>
        </w:rPr>
        <w:t xml:space="preserve"> </w:t>
      </w:r>
      <w:r w:rsidRPr="00CB20FE">
        <w:rPr>
          <w:rFonts w:cs="FrankRuehl" w:hint="eastAsia"/>
          <w:sz w:val="20"/>
          <w:szCs w:val="22"/>
          <w:rtl/>
          <w:lang w:eastAsia="he-IL"/>
        </w:rPr>
        <w:t>קטנים</w:t>
      </w:r>
      <w:r w:rsidRPr="00CB20FE">
        <w:rPr>
          <w:rFonts w:cs="FrankRuehl"/>
          <w:sz w:val="20"/>
          <w:szCs w:val="22"/>
          <w:rtl/>
          <w:lang w:eastAsia="he-IL"/>
        </w:rPr>
        <w:t xml:space="preserve"> </w:t>
      </w:r>
      <w:r w:rsidRPr="00CB20FE">
        <w:rPr>
          <w:rFonts w:cs="FrankRuehl" w:hint="eastAsia"/>
          <w:sz w:val="20"/>
          <w:szCs w:val="22"/>
          <w:rtl/>
          <w:lang w:eastAsia="he-IL"/>
        </w:rPr>
        <w:t>ובינוניים</w:t>
      </w:r>
      <w:r w:rsidRPr="00CB20FE">
        <w:rPr>
          <w:rFonts w:cs="FrankRuehl"/>
          <w:sz w:val="20"/>
          <w:szCs w:val="22"/>
          <w:rtl/>
          <w:lang w:eastAsia="he-IL"/>
        </w:rPr>
        <w:t xml:space="preserve">, והוא נעדר </w:t>
      </w:r>
      <w:r w:rsidRPr="00CB20FE">
        <w:rPr>
          <w:rFonts w:cs="FrankRuehl" w:hint="eastAsia"/>
          <w:sz w:val="20"/>
          <w:szCs w:val="22"/>
          <w:rtl/>
          <w:lang w:eastAsia="he-IL"/>
        </w:rPr>
        <w:t>כל</w:t>
      </w:r>
      <w:r w:rsidRPr="00CB20FE">
        <w:rPr>
          <w:rFonts w:cs="FrankRuehl"/>
          <w:sz w:val="20"/>
          <w:szCs w:val="22"/>
          <w:rtl/>
          <w:lang w:eastAsia="he-IL"/>
        </w:rPr>
        <w:t xml:space="preserve"> </w:t>
      </w:r>
      <w:r w:rsidRPr="00CB20FE">
        <w:rPr>
          <w:rFonts w:cs="FrankRuehl" w:hint="eastAsia"/>
          <w:sz w:val="20"/>
          <w:szCs w:val="22"/>
          <w:rtl/>
          <w:lang w:eastAsia="he-IL"/>
        </w:rPr>
        <w:t>סמכויות</w:t>
      </w:r>
      <w:r w:rsidRPr="00CB20FE">
        <w:rPr>
          <w:rFonts w:cs="FrankRuehl"/>
          <w:sz w:val="20"/>
          <w:szCs w:val="22"/>
          <w:rtl/>
          <w:lang w:eastAsia="he-IL"/>
        </w:rPr>
        <w:t xml:space="preserve"> שיאפשרו </w:t>
      </w:r>
      <w:r w:rsidRPr="00CB20FE">
        <w:rPr>
          <w:rFonts w:cs="FrankRuehl" w:hint="eastAsia"/>
          <w:sz w:val="20"/>
          <w:szCs w:val="22"/>
          <w:rtl/>
          <w:lang w:eastAsia="he-IL"/>
        </w:rPr>
        <w:t>לסוכנות</w:t>
      </w:r>
      <w:r w:rsidRPr="00CB20FE">
        <w:rPr>
          <w:rFonts w:cs="FrankRuehl"/>
          <w:sz w:val="20"/>
          <w:szCs w:val="22"/>
          <w:rtl/>
          <w:lang w:eastAsia="he-IL"/>
        </w:rPr>
        <w:t xml:space="preserve"> </w:t>
      </w:r>
      <w:r w:rsidRPr="00CB20FE">
        <w:rPr>
          <w:rFonts w:cs="FrankRuehl" w:hint="eastAsia"/>
          <w:sz w:val="20"/>
          <w:szCs w:val="22"/>
          <w:rtl/>
          <w:lang w:eastAsia="he-IL"/>
        </w:rPr>
        <w:t>לפעול</w:t>
      </w:r>
      <w:r w:rsidRPr="00CB20FE">
        <w:rPr>
          <w:rFonts w:cs="FrankRuehl"/>
          <w:sz w:val="20"/>
          <w:szCs w:val="22"/>
          <w:rtl/>
          <w:lang w:eastAsia="he-IL"/>
        </w:rPr>
        <w:t xml:space="preserve"> לקידום </w:t>
      </w:r>
      <w:r w:rsidRPr="00CB20FE">
        <w:rPr>
          <w:rFonts w:cs="FrankRuehl" w:hint="eastAsia"/>
          <w:sz w:val="20"/>
          <w:szCs w:val="22"/>
          <w:rtl/>
          <w:lang w:eastAsia="he-IL"/>
        </w:rPr>
        <w:t>עניינם</w:t>
      </w:r>
      <w:r w:rsidRPr="00CB20FE">
        <w:rPr>
          <w:rFonts w:cs="FrankRuehl"/>
          <w:sz w:val="20"/>
          <w:szCs w:val="22"/>
          <w:rtl/>
          <w:lang w:eastAsia="he-IL"/>
        </w:rPr>
        <w:t>.</w:t>
      </w:r>
    </w:p>
    <w:p w:rsidR="00E21817" w:rsidRPr="00CB20FE" w:rsidP="00484EEB">
      <w:pPr>
        <w:spacing w:after="240" w:line="230" w:lineRule="exact"/>
        <w:jc w:val="both"/>
        <w:rPr>
          <w:rFonts w:cs="FrankRuehl"/>
          <w:sz w:val="20"/>
          <w:szCs w:val="22"/>
          <w:rtl/>
          <w:lang w:eastAsia="he-IL"/>
        </w:rPr>
      </w:pPr>
      <w:r w:rsidRPr="00CB20FE">
        <w:rPr>
          <w:rFonts w:cs="FrankRuehl" w:hint="cs"/>
          <w:sz w:val="20"/>
          <w:szCs w:val="22"/>
          <w:rtl/>
          <w:lang w:eastAsia="he-IL"/>
        </w:rPr>
        <w:t>ב</w:t>
      </w:r>
      <w:r w:rsidRPr="00CB20FE">
        <w:rPr>
          <w:rFonts w:cs="FrankRuehl" w:hint="eastAsia"/>
          <w:sz w:val="20"/>
          <w:szCs w:val="22"/>
          <w:rtl/>
          <w:lang w:eastAsia="he-IL"/>
        </w:rPr>
        <w:t>שנת</w:t>
      </w:r>
      <w:r w:rsidRPr="00CB20FE">
        <w:rPr>
          <w:rFonts w:cs="FrankRuehl"/>
          <w:sz w:val="20"/>
          <w:szCs w:val="22"/>
          <w:rtl/>
          <w:lang w:eastAsia="he-IL"/>
        </w:rPr>
        <w:t xml:space="preserve"> 2014 </w:t>
      </w:r>
      <w:r w:rsidRPr="00CB20FE">
        <w:rPr>
          <w:rFonts w:cs="FrankRuehl" w:hint="cs"/>
          <w:sz w:val="20"/>
          <w:szCs w:val="22"/>
          <w:rtl/>
          <w:lang w:eastAsia="he-IL"/>
        </w:rPr>
        <w:t xml:space="preserve">שוב </w:t>
      </w:r>
      <w:r w:rsidRPr="00CB20FE">
        <w:rPr>
          <w:rFonts w:cs="FrankRuehl" w:hint="eastAsia"/>
          <w:sz w:val="20"/>
          <w:szCs w:val="22"/>
          <w:rtl/>
          <w:lang w:eastAsia="he-IL"/>
        </w:rPr>
        <w:t>ניסה</w:t>
      </w:r>
      <w:r w:rsidRPr="00CB20FE">
        <w:rPr>
          <w:rFonts w:cs="FrankRuehl"/>
          <w:sz w:val="20"/>
          <w:szCs w:val="22"/>
          <w:rtl/>
          <w:lang w:eastAsia="he-IL"/>
        </w:rPr>
        <w:t xml:space="preserve"> </w:t>
      </w:r>
      <w:r w:rsidRPr="00CB20FE">
        <w:rPr>
          <w:rFonts w:cs="FrankRuehl" w:hint="eastAsia"/>
          <w:sz w:val="20"/>
          <w:szCs w:val="22"/>
          <w:rtl/>
          <w:lang w:eastAsia="he-IL"/>
        </w:rPr>
        <w:t>משרד</w:t>
      </w:r>
      <w:r w:rsidRPr="00CB20FE">
        <w:rPr>
          <w:rFonts w:cs="FrankRuehl"/>
          <w:sz w:val="20"/>
          <w:szCs w:val="22"/>
          <w:rtl/>
          <w:lang w:eastAsia="he-IL"/>
        </w:rPr>
        <w:t xml:space="preserve"> </w:t>
      </w:r>
      <w:r w:rsidRPr="00CB20FE">
        <w:rPr>
          <w:rFonts w:cs="FrankRuehl" w:hint="eastAsia"/>
          <w:sz w:val="20"/>
          <w:szCs w:val="22"/>
          <w:rtl/>
          <w:lang w:eastAsia="he-IL"/>
        </w:rPr>
        <w:t>הכלכלה</w:t>
      </w:r>
      <w:r w:rsidRPr="00CB20FE">
        <w:rPr>
          <w:rFonts w:cs="FrankRuehl"/>
          <w:sz w:val="20"/>
          <w:szCs w:val="22"/>
          <w:rtl/>
          <w:lang w:eastAsia="he-IL"/>
        </w:rPr>
        <w:t xml:space="preserve"> </w:t>
      </w:r>
      <w:r w:rsidRPr="00CB20FE">
        <w:rPr>
          <w:rFonts w:cs="FrankRuehl" w:hint="eastAsia"/>
          <w:sz w:val="20"/>
          <w:szCs w:val="22"/>
          <w:rtl/>
          <w:lang w:eastAsia="he-IL"/>
        </w:rPr>
        <w:t>לקדם</w:t>
      </w:r>
      <w:r w:rsidRPr="00CB20FE">
        <w:rPr>
          <w:rFonts w:cs="FrankRuehl"/>
          <w:sz w:val="20"/>
          <w:szCs w:val="22"/>
          <w:rtl/>
          <w:lang w:eastAsia="he-IL"/>
        </w:rPr>
        <w:t xml:space="preserve"> </w:t>
      </w:r>
      <w:r w:rsidRPr="00CB20FE">
        <w:rPr>
          <w:rFonts w:cs="FrankRuehl" w:hint="eastAsia"/>
          <w:sz w:val="20"/>
          <w:szCs w:val="22"/>
          <w:rtl/>
          <w:lang w:eastAsia="he-IL"/>
        </w:rPr>
        <w:t>את</w:t>
      </w:r>
      <w:r w:rsidRPr="00CB20FE">
        <w:rPr>
          <w:rFonts w:cs="FrankRuehl"/>
          <w:sz w:val="20"/>
          <w:szCs w:val="22"/>
          <w:rtl/>
          <w:lang w:eastAsia="he-IL"/>
        </w:rPr>
        <w:t xml:space="preserve"> </w:t>
      </w:r>
      <w:r w:rsidRPr="00CB20FE">
        <w:rPr>
          <w:rFonts w:cs="FrankRuehl" w:hint="eastAsia"/>
          <w:sz w:val="20"/>
          <w:szCs w:val="22"/>
          <w:rtl/>
          <w:lang w:eastAsia="he-IL"/>
        </w:rPr>
        <w:t>הצעת</w:t>
      </w:r>
      <w:r w:rsidRPr="00CB20FE">
        <w:rPr>
          <w:rFonts w:cs="FrankRuehl"/>
          <w:sz w:val="20"/>
          <w:szCs w:val="22"/>
          <w:rtl/>
          <w:lang w:eastAsia="he-IL"/>
        </w:rPr>
        <w:t xml:space="preserve"> </w:t>
      </w:r>
      <w:r w:rsidRPr="00CB20FE">
        <w:rPr>
          <w:rFonts w:cs="FrankRuehl" w:hint="eastAsia"/>
          <w:sz w:val="20"/>
          <w:szCs w:val="22"/>
          <w:rtl/>
          <w:lang w:eastAsia="he-IL"/>
        </w:rPr>
        <w:t>החוק</w:t>
      </w:r>
      <w:r w:rsidRPr="00CB20FE">
        <w:rPr>
          <w:rFonts w:cs="FrankRuehl" w:hint="cs"/>
          <w:sz w:val="20"/>
          <w:szCs w:val="22"/>
          <w:rtl/>
          <w:lang w:eastAsia="he-IL"/>
        </w:rPr>
        <w:t xml:space="preserve"> </w:t>
      </w:r>
      <w:r w:rsidRPr="00CB20FE">
        <w:rPr>
          <w:rFonts w:cs="FrankRuehl"/>
          <w:sz w:val="20"/>
          <w:szCs w:val="22"/>
          <w:rtl/>
          <w:lang w:eastAsia="he-IL"/>
        </w:rPr>
        <w:t xml:space="preserve">באמצעות פגישות עם גורמים בכנסת ובמשרדי </w:t>
      </w:r>
      <w:r w:rsidRPr="00CB20FE">
        <w:rPr>
          <w:rFonts w:cs="FrankRuehl" w:hint="cs"/>
          <w:sz w:val="20"/>
          <w:szCs w:val="22"/>
          <w:rtl/>
          <w:lang w:eastAsia="he-IL"/>
        </w:rPr>
        <w:t>ה</w:t>
      </w:r>
      <w:r w:rsidRPr="00CB20FE">
        <w:rPr>
          <w:rFonts w:cs="FrankRuehl"/>
          <w:sz w:val="20"/>
          <w:szCs w:val="22"/>
          <w:rtl/>
          <w:lang w:eastAsia="he-IL"/>
        </w:rPr>
        <w:t>ממשלה</w:t>
      </w:r>
      <w:r w:rsidRPr="00CB20FE">
        <w:rPr>
          <w:rFonts w:cs="FrankRuehl" w:hint="cs"/>
          <w:sz w:val="20"/>
          <w:szCs w:val="22"/>
          <w:rtl/>
          <w:lang w:eastAsia="he-IL"/>
        </w:rPr>
        <w:t>. עד מועד סיום הביקורת לא דנה עוד הכנסת בהצעת החוק</w:t>
      </w:r>
      <w:r w:rsidRPr="00CB20FE">
        <w:rPr>
          <w:rFonts w:cs="FrankRuehl"/>
          <w:sz w:val="20"/>
          <w:szCs w:val="22"/>
          <w:rtl/>
          <w:lang w:eastAsia="he-IL"/>
        </w:rPr>
        <w:t xml:space="preserve">. </w:t>
      </w:r>
      <w:r w:rsidRPr="00CB20FE">
        <w:rPr>
          <w:rFonts w:cs="FrankRuehl" w:hint="eastAsia"/>
          <w:sz w:val="20"/>
          <w:szCs w:val="22"/>
          <w:rtl/>
          <w:lang w:eastAsia="he-IL"/>
        </w:rPr>
        <w:t>יוצא</w:t>
      </w:r>
      <w:r w:rsidRPr="00CB20FE">
        <w:rPr>
          <w:rFonts w:cs="FrankRuehl"/>
          <w:sz w:val="20"/>
          <w:szCs w:val="22"/>
          <w:rtl/>
          <w:lang w:eastAsia="he-IL"/>
        </w:rPr>
        <w:t xml:space="preserve"> </w:t>
      </w:r>
      <w:r w:rsidRPr="00CB20FE">
        <w:rPr>
          <w:rFonts w:cs="FrankRuehl" w:hint="eastAsia"/>
          <w:sz w:val="20"/>
          <w:szCs w:val="22"/>
          <w:rtl/>
          <w:lang w:eastAsia="he-IL"/>
        </w:rPr>
        <w:t>אפוא</w:t>
      </w:r>
      <w:r w:rsidRPr="00CB20FE">
        <w:rPr>
          <w:rFonts w:cs="FrankRuehl"/>
          <w:sz w:val="20"/>
          <w:szCs w:val="22"/>
          <w:rtl/>
          <w:lang w:eastAsia="he-IL"/>
        </w:rPr>
        <w:t xml:space="preserve"> ש</w:t>
      </w:r>
      <w:r w:rsidRPr="00CB20FE">
        <w:rPr>
          <w:rFonts w:cs="FrankRuehl" w:hint="cs"/>
          <w:sz w:val="20"/>
          <w:szCs w:val="22"/>
          <w:rtl/>
          <w:lang w:eastAsia="he-IL"/>
        </w:rPr>
        <w:t xml:space="preserve">במשך יותר משלוש </w:t>
      </w:r>
      <w:r w:rsidRPr="00CB20FE">
        <w:rPr>
          <w:rFonts w:cs="FrankRuehl"/>
          <w:sz w:val="20"/>
          <w:szCs w:val="22"/>
          <w:rtl/>
          <w:lang w:eastAsia="he-IL"/>
        </w:rPr>
        <w:t>שנים מ</w:t>
      </w:r>
      <w:r w:rsidRPr="00CB20FE">
        <w:rPr>
          <w:rFonts w:cs="FrankRuehl" w:hint="cs"/>
          <w:sz w:val="20"/>
          <w:szCs w:val="22"/>
          <w:rtl/>
          <w:lang w:eastAsia="he-IL"/>
        </w:rPr>
        <w:t xml:space="preserve">אז התקבלה </w:t>
      </w:r>
      <w:r w:rsidRPr="00CB20FE">
        <w:rPr>
          <w:rFonts w:cs="FrankRuehl"/>
          <w:sz w:val="20"/>
          <w:szCs w:val="22"/>
          <w:rtl/>
          <w:lang w:eastAsia="he-IL"/>
        </w:rPr>
        <w:t>החלטת הממשלה</w:t>
      </w:r>
      <w:r w:rsidRPr="00CB20FE">
        <w:rPr>
          <w:rFonts w:cs="FrankRuehl" w:hint="cs"/>
          <w:sz w:val="20"/>
          <w:szCs w:val="22"/>
          <w:rtl/>
          <w:lang w:eastAsia="he-IL"/>
        </w:rPr>
        <w:t xml:space="preserve"> מ-2011</w:t>
      </w:r>
      <w:r w:rsidRPr="00CB20FE">
        <w:rPr>
          <w:rFonts w:cs="FrankRuehl"/>
          <w:sz w:val="20"/>
          <w:szCs w:val="22"/>
          <w:rtl/>
          <w:lang w:eastAsia="he-IL"/>
        </w:rPr>
        <w:t xml:space="preserve"> </w:t>
      </w:r>
      <w:r w:rsidRPr="00CB20FE">
        <w:rPr>
          <w:rFonts w:cs="FrankRuehl" w:hint="eastAsia"/>
          <w:sz w:val="20"/>
          <w:szCs w:val="22"/>
          <w:rtl/>
          <w:lang w:eastAsia="he-IL"/>
        </w:rPr>
        <w:t>לעגן</w:t>
      </w:r>
      <w:r w:rsidRPr="00CB20FE">
        <w:rPr>
          <w:rFonts w:cs="FrankRuehl"/>
          <w:sz w:val="20"/>
          <w:szCs w:val="22"/>
          <w:rtl/>
          <w:lang w:eastAsia="he-IL"/>
        </w:rPr>
        <w:t xml:space="preserve"> בחוק את מטרות הסוכנות </w:t>
      </w:r>
      <w:r w:rsidRPr="00CB20FE">
        <w:rPr>
          <w:rFonts w:cs="FrankRuehl" w:hint="cs"/>
          <w:sz w:val="20"/>
          <w:szCs w:val="22"/>
          <w:rtl/>
          <w:lang w:eastAsia="he-IL"/>
        </w:rPr>
        <w:t xml:space="preserve">וסמכויותיה </w:t>
      </w:r>
      <w:r w:rsidRPr="00CB20FE">
        <w:rPr>
          <w:rFonts w:cs="FrankRuehl" w:hint="eastAsia"/>
          <w:sz w:val="20"/>
          <w:szCs w:val="22"/>
          <w:rtl/>
          <w:lang w:eastAsia="he-IL"/>
        </w:rPr>
        <w:t>לא</w:t>
      </w:r>
      <w:r w:rsidRPr="00CB20FE">
        <w:rPr>
          <w:rFonts w:cs="FrankRuehl"/>
          <w:sz w:val="20"/>
          <w:szCs w:val="22"/>
          <w:rtl/>
          <w:lang w:eastAsia="he-IL"/>
        </w:rPr>
        <w:t xml:space="preserve"> </w:t>
      </w:r>
      <w:r w:rsidRPr="00CB20FE">
        <w:rPr>
          <w:rFonts w:cs="FrankRuehl" w:hint="cs"/>
          <w:sz w:val="20"/>
          <w:szCs w:val="22"/>
          <w:rtl/>
          <w:lang w:eastAsia="he-IL"/>
        </w:rPr>
        <w:t>הצליח משרד הכלכלה להביא לחקיקת</w:t>
      </w:r>
      <w:r w:rsidRPr="00CB20FE">
        <w:rPr>
          <w:rFonts w:cs="FrankRuehl"/>
          <w:sz w:val="20"/>
          <w:szCs w:val="22"/>
          <w:rtl/>
          <w:lang w:eastAsia="he-IL"/>
        </w:rPr>
        <w:t xml:space="preserve"> </w:t>
      </w:r>
      <w:r w:rsidRPr="00CB20FE">
        <w:rPr>
          <w:rFonts w:cs="FrankRuehl" w:hint="eastAsia"/>
          <w:sz w:val="20"/>
          <w:szCs w:val="22"/>
          <w:rtl/>
          <w:lang w:eastAsia="he-IL"/>
        </w:rPr>
        <w:t>חוק</w:t>
      </w:r>
      <w:r w:rsidRPr="00CB20FE">
        <w:rPr>
          <w:rFonts w:cs="FrankRuehl"/>
          <w:sz w:val="20"/>
          <w:szCs w:val="22"/>
          <w:rtl/>
          <w:lang w:eastAsia="he-IL"/>
        </w:rPr>
        <w:t xml:space="preserve"> </w:t>
      </w:r>
      <w:r w:rsidRPr="00CB20FE">
        <w:rPr>
          <w:rFonts w:cs="FrankRuehl" w:hint="cs"/>
          <w:sz w:val="20"/>
          <w:szCs w:val="22"/>
          <w:rtl/>
          <w:lang w:eastAsia="he-IL"/>
        </w:rPr>
        <w:t>לעידוד</w:t>
      </w:r>
      <w:r w:rsidRPr="00CB20FE">
        <w:rPr>
          <w:rFonts w:cs="FrankRuehl"/>
          <w:sz w:val="20"/>
          <w:szCs w:val="22"/>
          <w:rtl/>
          <w:lang w:eastAsia="he-IL"/>
        </w:rPr>
        <w:t xml:space="preserve"> </w:t>
      </w:r>
      <w:r w:rsidRPr="00CB20FE">
        <w:rPr>
          <w:rFonts w:cs="FrankRuehl" w:hint="eastAsia"/>
          <w:sz w:val="20"/>
          <w:szCs w:val="22"/>
          <w:rtl/>
          <w:lang w:eastAsia="he-IL"/>
        </w:rPr>
        <w:t>עסקים</w:t>
      </w:r>
      <w:r w:rsidRPr="00CB20FE">
        <w:rPr>
          <w:rFonts w:cs="FrankRuehl"/>
          <w:sz w:val="20"/>
          <w:szCs w:val="22"/>
          <w:rtl/>
          <w:lang w:eastAsia="he-IL"/>
        </w:rPr>
        <w:t xml:space="preserve"> </w:t>
      </w:r>
      <w:r w:rsidRPr="00CB20FE">
        <w:rPr>
          <w:rFonts w:cs="FrankRuehl" w:hint="eastAsia"/>
          <w:sz w:val="20"/>
          <w:szCs w:val="22"/>
          <w:rtl/>
          <w:lang w:eastAsia="he-IL"/>
        </w:rPr>
        <w:t>קטנים</w:t>
      </w:r>
      <w:r w:rsidRPr="00CB20FE">
        <w:rPr>
          <w:rFonts w:cs="FrankRuehl" w:hint="cs"/>
          <w:sz w:val="20"/>
          <w:szCs w:val="22"/>
          <w:rtl/>
          <w:lang w:eastAsia="he-IL"/>
        </w:rPr>
        <w:t xml:space="preserve"> ובינוניים</w:t>
      </w:r>
      <w:r w:rsidRPr="00CB20FE">
        <w:rPr>
          <w:rFonts w:cs="FrankRuehl"/>
          <w:sz w:val="20"/>
          <w:szCs w:val="22"/>
          <w:rtl/>
          <w:lang w:eastAsia="he-IL"/>
        </w:rPr>
        <w:t>.</w:t>
      </w:r>
      <w:r w:rsidRPr="00CB20FE">
        <w:rPr>
          <w:rFonts w:cs="FrankRuehl" w:hint="cs"/>
          <w:sz w:val="20"/>
          <w:szCs w:val="22"/>
          <w:rtl/>
          <w:lang w:eastAsia="he-IL"/>
        </w:rPr>
        <w:t xml:space="preserve"> </w:t>
      </w:r>
    </w:p>
    <w:p w:rsidR="00E21817" w:rsidRPr="00CB20FE" w:rsidP="00484EEB">
      <w:pPr>
        <w:pStyle w:val="RESHET"/>
      </w:pPr>
      <w:r w:rsidRPr="00CB20FE">
        <w:rPr>
          <w:rFonts w:hint="eastAsia"/>
          <w:rtl/>
        </w:rPr>
        <w:t>לדעת</w:t>
      </w:r>
      <w:r w:rsidRPr="00CB20FE">
        <w:rPr>
          <w:rtl/>
        </w:rPr>
        <w:t xml:space="preserve"> משרד מבקר המדינה</w:t>
      </w:r>
      <w:r w:rsidRPr="00CB20FE">
        <w:rPr>
          <w:rFonts w:hint="cs"/>
          <w:rtl/>
        </w:rPr>
        <w:t>,</w:t>
      </w:r>
      <w:r w:rsidRPr="00CB20FE">
        <w:rPr>
          <w:rtl/>
        </w:rPr>
        <w:t xml:space="preserve"> על </w:t>
      </w:r>
      <w:r w:rsidRPr="00CB20FE">
        <w:rPr>
          <w:rFonts w:hint="eastAsia"/>
          <w:rtl/>
        </w:rPr>
        <w:t>משרד</w:t>
      </w:r>
      <w:r w:rsidRPr="00CB20FE">
        <w:rPr>
          <w:rtl/>
        </w:rPr>
        <w:t xml:space="preserve"> הכלכלה</w:t>
      </w:r>
      <w:r w:rsidRPr="00CB20FE">
        <w:rPr>
          <w:rFonts w:hint="cs"/>
          <w:rtl/>
        </w:rPr>
        <w:t>, בשיתוף משרד האוצר וכל הגורמים הנוגעים בדבר, להמשיך ולפעול</w:t>
      </w:r>
      <w:r w:rsidRPr="00CB20FE">
        <w:rPr>
          <w:rFonts w:hint="cs"/>
          <w:rtl/>
        </w:rPr>
        <w:t xml:space="preserve"> </w:t>
      </w:r>
      <w:r w:rsidRPr="00CB20FE">
        <w:rPr>
          <w:rFonts w:hint="cs"/>
          <w:rtl/>
        </w:rPr>
        <w:t>כדי</w:t>
      </w:r>
      <w:r w:rsidRPr="00CB20FE">
        <w:rPr>
          <w:rtl/>
        </w:rPr>
        <w:t xml:space="preserve"> להביא ל</w:t>
      </w:r>
      <w:r w:rsidRPr="00CB20FE">
        <w:rPr>
          <w:rFonts w:hint="eastAsia"/>
          <w:rtl/>
        </w:rPr>
        <w:t>גיבוש</w:t>
      </w:r>
      <w:r w:rsidRPr="00CB20FE">
        <w:rPr>
          <w:rtl/>
        </w:rPr>
        <w:t xml:space="preserve"> </w:t>
      </w:r>
      <w:r w:rsidRPr="00CB20FE">
        <w:rPr>
          <w:rFonts w:hint="cs"/>
          <w:rtl/>
        </w:rPr>
        <w:t>הצעת</w:t>
      </w:r>
      <w:r w:rsidRPr="00CB20FE">
        <w:rPr>
          <w:rtl/>
        </w:rPr>
        <w:t xml:space="preserve"> חוק </w:t>
      </w:r>
      <w:r w:rsidRPr="00CB20FE">
        <w:rPr>
          <w:rFonts w:hint="cs"/>
          <w:rtl/>
        </w:rPr>
        <w:t>שתאפשר לקדם את מגזר ה</w:t>
      </w:r>
      <w:r w:rsidRPr="00CB20FE">
        <w:rPr>
          <w:rFonts w:hint="eastAsia"/>
          <w:rtl/>
        </w:rPr>
        <w:t>עסקים</w:t>
      </w:r>
      <w:r w:rsidRPr="00CB20FE">
        <w:rPr>
          <w:rtl/>
        </w:rPr>
        <w:t xml:space="preserve"> </w:t>
      </w:r>
      <w:r w:rsidRPr="00CB20FE">
        <w:rPr>
          <w:rFonts w:hint="cs"/>
          <w:rtl/>
        </w:rPr>
        <w:t>ה</w:t>
      </w:r>
      <w:r w:rsidRPr="00CB20FE">
        <w:rPr>
          <w:rFonts w:hint="eastAsia"/>
          <w:rtl/>
        </w:rPr>
        <w:t>קטנים</w:t>
      </w:r>
      <w:r w:rsidRPr="00CB20FE">
        <w:rPr>
          <w:rtl/>
        </w:rPr>
        <w:t xml:space="preserve"> </w:t>
      </w:r>
      <w:r w:rsidRPr="00CB20FE">
        <w:rPr>
          <w:rFonts w:hint="eastAsia"/>
          <w:rtl/>
        </w:rPr>
        <w:t>ו</w:t>
      </w:r>
      <w:r w:rsidRPr="00CB20FE">
        <w:rPr>
          <w:rFonts w:hint="cs"/>
          <w:rtl/>
        </w:rPr>
        <w:t>ה</w:t>
      </w:r>
      <w:r w:rsidRPr="00CB20FE">
        <w:rPr>
          <w:rFonts w:hint="eastAsia"/>
          <w:rtl/>
        </w:rPr>
        <w:t>בינוניים</w:t>
      </w:r>
      <w:r w:rsidRPr="00CB20FE">
        <w:rPr>
          <w:rtl/>
        </w:rPr>
        <w:t xml:space="preserve"> ולסייע</w:t>
      </w:r>
      <w:r w:rsidRPr="00CB20FE">
        <w:rPr>
          <w:rFonts w:hint="cs"/>
          <w:rtl/>
        </w:rPr>
        <w:t xml:space="preserve"> להם כפי שנקבע בהחלטת הממשלה מ-2011.</w:t>
      </w:r>
    </w:p>
    <w:p w:rsidR="00E21817" w:rsidRPr="00CB20FE" w:rsidP="00484EEB">
      <w:pPr>
        <w:spacing w:after="120" w:line="230" w:lineRule="exact"/>
        <w:jc w:val="both"/>
        <w:rPr>
          <w:rFonts w:cs="FrankRuehl"/>
          <w:sz w:val="20"/>
          <w:szCs w:val="22"/>
          <w:rtl/>
          <w:lang w:eastAsia="he-IL"/>
        </w:rPr>
      </w:pPr>
    </w:p>
    <w:p w:rsidR="00F2068A" w:rsidRPr="00CB20FE" w:rsidP="00484EEB">
      <w:pPr>
        <w:spacing w:after="120" w:line="230" w:lineRule="exact"/>
        <w:jc w:val="both"/>
        <w:rPr>
          <w:rFonts w:cs="FrankRuehl"/>
          <w:sz w:val="20"/>
          <w:szCs w:val="22"/>
          <w:rtl/>
          <w:lang w:eastAsia="he-IL"/>
        </w:rPr>
      </w:pPr>
    </w:p>
    <w:p w:rsidR="00E21817" w:rsidP="00484EEB">
      <w:pPr>
        <w:pStyle w:val="KOT4"/>
        <w:rPr>
          <w:rtl/>
        </w:rPr>
      </w:pPr>
      <w:r>
        <w:rPr>
          <w:rFonts w:hint="cs"/>
          <w:rtl/>
        </w:rPr>
        <w:t xml:space="preserve">תגמול </w:t>
      </w:r>
      <w:r w:rsidRPr="00DA4D76">
        <w:rPr>
          <w:rFonts w:hint="cs"/>
          <w:rtl/>
        </w:rPr>
        <w:t xml:space="preserve">בעלי עסקים קטנים </w:t>
      </w:r>
      <w:r>
        <w:rPr>
          <w:rFonts w:hint="cs"/>
          <w:rtl/>
        </w:rPr>
        <w:t xml:space="preserve">ובינוניים שעובדיהם </w:t>
      </w:r>
      <w:r w:rsidRPr="00DA4D76">
        <w:rPr>
          <w:rFonts w:hint="cs"/>
          <w:rtl/>
        </w:rPr>
        <w:t xml:space="preserve">משרתים במילואים </w:t>
      </w:r>
    </w:p>
    <w:p w:rsidR="00E21817" w:rsidRPr="00CB20FE" w:rsidP="00484EEB">
      <w:pPr>
        <w:keepNext/>
        <w:keepLines/>
        <w:spacing w:after="120" w:line="230" w:lineRule="exact"/>
        <w:jc w:val="both"/>
        <w:outlineLvl w:val="3"/>
        <w:rPr>
          <w:rFonts w:cs="FrankRuehl"/>
          <w:bCs/>
          <w:sz w:val="20"/>
          <w:szCs w:val="22"/>
          <w:rtl/>
        </w:rPr>
      </w:pPr>
      <w:r w:rsidRPr="00CB20FE">
        <w:rPr>
          <w:rFonts w:cs="FrankRuehl" w:hint="cs"/>
          <w:sz w:val="20"/>
          <w:szCs w:val="22"/>
          <w:rtl/>
          <w:lang w:eastAsia="he-IL"/>
        </w:rPr>
        <w:t>חוק שירות המילואים, התשס"ח-2008 (להלן - חוק המילואים), נחקק "</w:t>
      </w:r>
      <w:r w:rsidRPr="00CB20FE">
        <w:rPr>
          <w:rFonts w:cs="FrankRuehl"/>
          <w:sz w:val="20"/>
          <w:szCs w:val="22"/>
          <w:rtl/>
          <w:lang w:eastAsia="he-IL"/>
        </w:rPr>
        <w:t>מתוך הכרה ב</w:t>
      </w:r>
      <w:r w:rsidRPr="00CB20FE">
        <w:rPr>
          <w:rFonts w:cs="FrankRuehl" w:hint="cs"/>
          <w:sz w:val="20"/>
          <w:szCs w:val="22"/>
          <w:rtl/>
          <w:lang w:eastAsia="he-IL"/>
        </w:rPr>
        <w:t xml:space="preserve">תרומתו של </w:t>
      </w:r>
      <w:r w:rsidRPr="00CB20FE">
        <w:rPr>
          <w:rFonts w:cs="FrankRuehl"/>
          <w:sz w:val="20"/>
          <w:szCs w:val="22"/>
          <w:rtl/>
          <w:lang w:eastAsia="he-IL"/>
        </w:rPr>
        <w:t xml:space="preserve">מערך המילואים </w:t>
      </w:r>
      <w:r w:rsidRPr="00CB20FE">
        <w:rPr>
          <w:rFonts w:cs="FrankRuehl" w:hint="cs"/>
          <w:sz w:val="20"/>
          <w:szCs w:val="22"/>
          <w:rtl/>
          <w:lang w:eastAsia="he-IL"/>
        </w:rPr>
        <w:t>לעוצמת צה"ל ולחוסנה של ה</w:t>
      </w:r>
      <w:r w:rsidRPr="00CB20FE">
        <w:rPr>
          <w:rFonts w:cs="FrankRuehl"/>
          <w:sz w:val="20"/>
          <w:szCs w:val="22"/>
          <w:rtl/>
          <w:lang w:eastAsia="he-IL"/>
        </w:rPr>
        <w:t>מדינה</w:t>
      </w:r>
      <w:r w:rsidRPr="00CB20FE">
        <w:rPr>
          <w:rFonts w:cs="FrankRuehl" w:hint="cs"/>
          <w:sz w:val="20"/>
          <w:szCs w:val="22"/>
          <w:rtl/>
          <w:lang w:eastAsia="he-IL"/>
        </w:rPr>
        <w:t xml:space="preserve">, ומתוך ההבנה </w:t>
      </w:r>
      <w:r w:rsidRPr="00CB20FE">
        <w:rPr>
          <w:rFonts w:cs="FrankRuehl"/>
          <w:sz w:val="20"/>
          <w:szCs w:val="22"/>
          <w:rtl/>
          <w:lang w:eastAsia="he-IL"/>
        </w:rPr>
        <w:t>ש</w:t>
      </w:r>
      <w:r w:rsidRPr="00CB20FE">
        <w:rPr>
          <w:rFonts w:cs="FrankRuehl" w:hint="cs"/>
          <w:sz w:val="20"/>
          <w:szCs w:val="22"/>
          <w:rtl/>
          <w:lang w:eastAsia="he-IL"/>
        </w:rPr>
        <w:t>החברה הישראלית חבה לחיילי המילואים חוב ערכי ומוסרי". החוק מעגן בחובו זכויות וחובות של חיילים המשרתים במילואים. החוק אינו עוסק בעניינים הספציפיים של עצמאים בעלי עסקים קטנים המשרתים במילואים. בדיקת משרד מבקר המדינה העלתה כמה נושאים שבהם קבוצת אוכלוסייה זו נתקלת בקשיים אשר טרם נמצא להם פתרון בחקיקה או בדרך אחרת, כמפורט להלן.</w:t>
      </w:r>
    </w:p>
    <w:p w:rsidR="00E21817" w:rsidRPr="00CB20FE" w:rsidP="00484EEB">
      <w:pPr>
        <w:spacing w:after="120" w:line="230" w:lineRule="exact"/>
        <w:jc w:val="both"/>
        <w:rPr>
          <w:rFonts w:cs="FrankRuehl"/>
          <w:sz w:val="20"/>
          <w:szCs w:val="22"/>
          <w:rtl/>
        </w:rPr>
      </w:pPr>
      <w:r w:rsidRPr="00484EEB">
        <w:rPr>
          <w:rStyle w:val="Heading5Char"/>
          <w:rFonts w:cs="FrankRuehl" w:hint="cs"/>
          <w:spacing w:val="40"/>
          <w:sz w:val="20"/>
          <w:szCs w:val="22"/>
          <w:rtl/>
        </w:rPr>
        <w:t>הכרה</w:t>
      </w:r>
      <w:r w:rsidRPr="00484EEB">
        <w:rPr>
          <w:rStyle w:val="Heading5Char"/>
          <w:rFonts w:cs="FrankRuehl"/>
          <w:spacing w:val="40"/>
          <w:sz w:val="20"/>
          <w:szCs w:val="22"/>
          <w:rtl/>
        </w:rPr>
        <w:t xml:space="preserve"> </w:t>
      </w:r>
      <w:r w:rsidRPr="00484EEB">
        <w:rPr>
          <w:rStyle w:val="Heading5Char"/>
          <w:rFonts w:cs="FrankRuehl" w:hint="cs"/>
          <w:spacing w:val="40"/>
          <w:sz w:val="20"/>
          <w:szCs w:val="22"/>
          <w:rtl/>
        </w:rPr>
        <w:t>בהוצאות</w:t>
      </w:r>
      <w:r w:rsidRPr="00484EEB">
        <w:rPr>
          <w:rStyle w:val="Heading5Char"/>
          <w:rFonts w:cs="FrankRuehl"/>
          <w:spacing w:val="40"/>
          <w:sz w:val="20"/>
          <w:szCs w:val="22"/>
          <w:rtl/>
        </w:rPr>
        <w:t xml:space="preserve"> </w:t>
      </w:r>
      <w:r w:rsidRPr="00484EEB">
        <w:rPr>
          <w:rStyle w:val="Heading5Char"/>
          <w:rFonts w:cs="FrankRuehl" w:hint="cs"/>
          <w:spacing w:val="40"/>
          <w:sz w:val="20"/>
          <w:szCs w:val="22"/>
          <w:rtl/>
        </w:rPr>
        <w:t>קבועות</w:t>
      </w:r>
      <w:r w:rsidRPr="00484EEB">
        <w:rPr>
          <w:rStyle w:val="Heading4Char"/>
          <w:rFonts w:cs="FrankRuehl"/>
          <w:spacing w:val="40"/>
          <w:sz w:val="20"/>
          <w:szCs w:val="22"/>
          <w:rtl/>
        </w:rPr>
        <w:t>:</w:t>
      </w:r>
      <w:r w:rsidRPr="00CB20FE">
        <w:rPr>
          <w:rFonts w:cs="FrankRuehl"/>
          <w:sz w:val="20"/>
          <w:szCs w:val="22"/>
          <w:rtl/>
        </w:rPr>
        <w:t xml:space="preserve"> </w:t>
      </w:r>
      <w:r w:rsidRPr="00CB20FE">
        <w:rPr>
          <w:rFonts w:cs="FrankRuehl" w:hint="cs"/>
          <w:sz w:val="20"/>
          <w:szCs w:val="22"/>
          <w:rtl/>
        </w:rPr>
        <w:t>בשונה מ</w:t>
      </w:r>
      <w:r w:rsidRPr="00CB20FE">
        <w:rPr>
          <w:rFonts w:cs="FrankRuehl"/>
          <w:sz w:val="20"/>
          <w:szCs w:val="22"/>
          <w:rtl/>
        </w:rPr>
        <w:t xml:space="preserve">המבוטח השכיר, שבכל מקרה </w:t>
      </w:r>
      <w:r w:rsidRPr="00CB20FE">
        <w:rPr>
          <w:rFonts w:cs="FrankRuehl" w:hint="cs"/>
          <w:sz w:val="20"/>
          <w:szCs w:val="22"/>
          <w:rtl/>
        </w:rPr>
        <w:t>מ</w:t>
      </w:r>
      <w:r w:rsidRPr="00CB20FE">
        <w:rPr>
          <w:rFonts w:cs="FrankRuehl"/>
          <w:sz w:val="20"/>
          <w:szCs w:val="22"/>
          <w:rtl/>
        </w:rPr>
        <w:t xml:space="preserve">קבל </w:t>
      </w:r>
      <w:r w:rsidRPr="00CB20FE">
        <w:rPr>
          <w:rFonts w:cs="FrankRuehl" w:hint="cs"/>
          <w:sz w:val="20"/>
          <w:szCs w:val="22"/>
          <w:rtl/>
        </w:rPr>
        <w:t>מהמוסד לביטוח לאומי (להלן - הביטוח הלאומי) תגמול בהתאם לגובה</w:t>
      </w:r>
      <w:r w:rsidRPr="00CB20FE">
        <w:rPr>
          <w:rFonts w:cs="FrankRuehl"/>
          <w:sz w:val="20"/>
          <w:szCs w:val="22"/>
          <w:rtl/>
        </w:rPr>
        <w:t xml:space="preserve"> הכנסתו לפני יציאתו למילואים</w:t>
      </w:r>
      <w:r w:rsidRPr="00CB20FE">
        <w:rPr>
          <w:rFonts w:cs="FrankRuehl" w:hint="cs"/>
          <w:sz w:val="20"/>
          <w:szCs w:val="22"/>
          <w:rtl/>
        </w:rPr>
        <w:t>,</w:t>
      </w:r>
      <w:r w:rsidRPr="00CB20FE">
        <w:rPr>
          <w:rFonts w:cs="FrankRuehl"/>
          <w:sz w:val="20"/>
          <w:szCs w:val="22"/>
          <w:rtl/>
        </w:rPr>
        <w:t xml:space="preserve"> </w:t>
      </w:r>
      <w:r w:rsidRPr="00CB20FE">
        <w:rPr>
          <w:rFonts w:cs="FrankRuehl" w:hint="cs"/>
          <w:sz w:val="20"/>
          <w:szCs w:val="22"/>
          <w:rtl/>
        </w:rPr>
        <w:t>התגמול של הביטוח הלאומי לעצמאי בעל עסק המשרת במילואים מחושב לפי נוסחה המבוססת על השומה האחרונה שהגיש בעל העסק לרשויות המס (הכנסות שנתיות פחות הוצאות שנתיות, והתוצאה מחולקת ב-12). חישוב התגמול אינו כולל החזר עבור הוצאות קבועות מדווחות. בעל עסק קטן משלם הוצאות קבועות עבור העסק בתקופת שירות המילואים וכן שכר לעובדים. כאשר היעדרותו עקב שירות מילואים היא לתקופה ממושכת, לעתים קרובות העסק אינו מתפקד בפועל אך יש וההוצאות הקבועות עדיין משולמות (כגון אגרות, שכר ותשלומים עבור תנאים סוציאליים לעובדים).</w:t>
      </w:r>
    </w:p>
    <w:p w:rsidR="00E21817" w:rsidRPr="00CB20FE" w:rsidP="00484EEB">
      <w:pPr>
        <w:tabs>
          <w:tab w:val="left" w:pos="-1"/>
        </w:tabs>
        <w:spacing w:after="120" w:line="230" w:lineRule="exact"/>
        <w:jc w:val="both"/>
        <w:rPr>
          <w:rFonts w:cs="FrankRuehl"/>
          <w:sz w:val="20"/>
          <w:szCs w:val="22"/>
          <w:rtl/>
        </w:rPr>
      </w:pPr>
      <w:r w:rsidRPr="00CB20FE">
        <w:rPr>
          <w:rFonts w:cs="FrankRuehl" w:hint="cs"/>
          <w:sz w:val="20"/>
          <w:szCs w:val="22"/>
          <w:rtl/>
        </w:rPr>
        <w:t>לפי דיווח של מנהל הסוכנות למנכ"ל משרד הכלכלה במרץ 2014, ההפסד שנגרם לעסקים קטנים ובינוניים כתוצאה מתשלום הוצאות סוציאליות לעובדים בתקופות שבהן העסק מושבת עקב שירות בעל העסק במילואים נאמד בכ-21% מעלות שכרו של בעל העסק, והוא מסתכם ביותר מ-175 מיליון ש"ח בשנה.</w:t>
      </w:r>
      <w:r w:rsidRPr="00CB20FE">
        <w:rPr>
          <w:rFonts w:cs="FrankRuehl"/>
          <w:sz w:val="20"/>
          <w:szCs w:val="22"/>
          <w:rtl/>
        </w:rPr>
        <w:t xml:space="preserve"> בעקבות </w:t>
      </w:r>
      <w:r w:rsidRPr="00CB20FE">
        <w:rPr>
          <w:rFonts w:cs="FrankRuehl" w:hint="cs"/>
          <w:sz w:val="20"/>
          <w:szCs w:val="22"/>
          <w:rtl/>
        </w:rPr>
        <w:t>ה</w:t>
      </w:r>
      <w:r w:rsidRPr="00CB20FE">
        <w:rPr>
          <w:rFonts w:cs="FrankRuehl"/>
          <w:sz w:val="20"/>
          <w:szCs w:val="22"/>
          <w:rtl/>
        </w:rPr>
        <w:t xml:space="preserve">דוח </w:t>
      </w:r>
      <w:r w:rsidRPr="00CB20FE">
        <w:rPr>
          <w:rFonts w:cs="FrankRuehl" w:hint="cs"/>
          <w:sz w:val="20"/>
          <w:szCs w:val="22"/>
          <w:rtl/>
        </w:rPr>
        <w:t xml:space="preserve">הקודם </w:t>
      </w:r>
      <w:r w:rsidRPr="00CB20FE">
        <w:rPr>
          <w:rFonts w:cs="FrankRuehl"/>
          <w:sz w:val="20"/>
          <w:szCs w:val="22"/>
          <w:rtl/>
        </w:rPr>
        <w:t>ד</w:t>
      </w:r>
      <w:r w:rsidRPr="00CB20FE">
        <w:rPr>
          <w:rFonts w:cs="FrankRuehl" w:hint="cs"/>
          <w:sz w:val="20"/>
          <w:szCs w:val="22"/>
          <w:rtl/>
        </w:rPr>
        <w:t>נה</w:t>
      </w:r>
      <w:r w:rsidRPr="00CB20FE">
        <w:rPr>
          <w:rFonts w:cs="FrankRuehl"/>
          <w:sz w:val="20"/>
          <w:szCs w:val="22"/>
          <w:rtl/>
        </w:rPr>
        <w:t xml:space="preserve"> </w:t>
      </w:r>
      <w:r w:rsidRPr="00CB20FE">
        <w:rPr>
          <w:rFonts w:cs="FrankRuehl" w:hint="cs"/>
          <w:sz w:val="20"/>
          <w:szCs w:val="22"/>
          <w:rtl/>
        </w:rPr>
        <w:t>הו</w:t>
      </w:r>
      <w:r w:rsidRPr="00CB20FE">
        <w:rPr>
          <w:rFonts w:cs="FrankRuehl"/>
          <w:sz w:val="20"/>
          <w:szCs w:val="22"/>
          <w:rtl/>
        </w:rPr>
        <w:t>ועדה ל</w:t>
      </w:r>
      <w:r w:rsidRPr="00CB20FE">
        <w:rPr>
          <w:rFonts w:cs="FrankRuehl" w:hint="cs"/>
          <w:sz w:val="20"/>
          <w:szCs w:val="22"/>
          <w:rtl/>
        </w:rPr>
        <w:t xml:space="preserve">ענייני </w:t>
      </w:r>
      <w:r w:rsidRPr="00CB20FE">
        <w:rPr>
          <w:rFonts w:cs="FrankRuehl"/>
          <w:sz w:val="20"/>
          <w:szCs w:val="22"/>
          <w:rtl/>
        </w:rPr>
        <w:t xml:space="preserve">ביקורת המדינה </w:t>
      </w:r>
      <w:r w:rsidRPr="00CB20FE">
        <w:rPr>
          <w:rFonts w:cs="FrankRuehl" w:hint="cs"/>
          <w:sz w:val="20"/>
          <w:szCs w:val="22"/>
          <w:rtl/>
        </w:rPr>
        <w:t xml:space="preserve">של הכנסת במרץ 2012 </w:t>
      </w:r>
      <w:r w:rsidRPr="00CB20FE">
        <w:rPr>
          <w:rFonts w:cs="FrankRuehl"/>
          <w:sz w:val="20"/>
          <w:szCs w:val="22"/>
          <w:rtl/>
        </w:rPr>
        <w:t>בבעיית</w:t>
      </w:r>
      <w:r w:rsidRPr="00CB20FE">
        <w:rPr>
          <w:rFonts w:cs="FrankRuehl" w:hint="cs"/>
          <w:sz w:val="20"/>
          <w:szCs w:val="22"/>
          <w:rtl/>
        </w:rPr>
        <w:t xml:space="preserve"> </w:t>
      </w:r>
      <w:r w:rsidRPr="00CB20FE">
        <w:rPr>
          <w:rFonts w:cs="FrankRuehl"/>
          <w:sz w:val="20"/>
          <w:szCs w:val="22"/>
          <w:rtl/>
        </w:rPr>
        <w:t>ההפסדים הנגרמים ל</w:t>
      </w:r>
      <w:r w:rsidRPr="00CB20FE">
        <w:rPr>
          <w:rFonts w:cs="FrankRuehl" w:hint="cs"/>
          <w:sz w:val="20"/>
          <w:szCs w:val="22"/>
          <w:rtl/>
        </w:rPr>
        <w:t xml:space="preserve">בעלי </w:t>
      </w:r>
      <w:r w:rsidRPr="00CB20FE">
        <w:rPr>
          <w:rFonts w:cs="FrankRuehl"/>
          <w:sz w:val="20"/>
          <w:szCs w:val="22"/>
          <w:rtl/>
        </w:rPr>
        <w:t xml:space="preserve">עסקים </w:t>
      </w:r>
      <w:r w:rsidRPr="00CB20FE">
        <w:rPr>
          <w:rFonts w:cs="FrankRuehl" w:hint="cs"/>
          <w:sz w:val="20"/>
          <w:szCs w:val="22"/>
          <w:rtl/>
        </w:rPr>
        <w:t xml:space="preserve">קטנים ובינוניים </w:t>
      </w:r>
      <w:r w:rsidRPr="00CB20FE">
        <w:rPr>
          <w:rFonts w:cs="FrankRuehl"/>
          <w:sz w:val="20"/>
          <w:szCs w:val="22"/>
          <w:rtl/>
        </w:rPr>
        <w:t xml:space="preserve">בעקבות שירות המילואים של המועסקים </w:t>
      </w:r>
      <w:r w:rsidRPr="00CB20FE">
        <w:rPr>
          <w:rFonts w:cs="FrankRuehl" w:hint="cs"/>
          <w:sz w:val="20"/>
          <w:szCs w:val="22"/>
          <w:rtl/>
        </w:rPr>
        <w:t xml:space="preserve">בעסק. לאחר הדיון הוקם בשנת 2012, </w:t>
      </w:r>
      <w:r w:rsidRPr="00CB20FE">
        <w:rPr>
          <w:rFonts w:cs="FrankRuehl"/>
          <w:sz w:val="20"/>
          <w:szCs w:val="22"/>
          <w:rtl/>
        </w:rPr>
        <w:t>לבקשת מנכ"ל משרד</w:t>
      </w:r>
      <w:r w:rsidRPr="00CB20FE">
        <w:rPr>
          <w:rFonts w:cs="FrankRuehl" w:hint="cs"/>
          <w:sz w:val="20"/>
          <w:szCs w:val="22"/>
          <w:rtl/>
        </w:rPr>
        <w:t xml:space="preserve"> הכלכלה דאז </w:t>
      </w:r>
      <w:r w:rsidRPr="00CB20FE">
        <w:rPr>
          <w:rFonts w:cs="FrankRuehl"/>
          <w:sz w:val="20"/>
          <w:szCs w:val="22"/>
          <w:rtl/>
        </w:rPr>
        <w:t xml:space="preserve">מר שרון </w:t>
      </w:r>
      <w:r w:rsidRPr="00CB20FE">
        <w:rPr>
          <w:rFonts w:cs="FrankRuehl"/>
          <w:sz w:val="20"/>
          <w:szCs w:val="22"/>
          <w:rtl/>
        </w:rPr>
        <w:t>קדמי</w:t>
      </w:r>
      <w:r w:rsidRPr="00CB20FE">
        <w:rPr>
          <w:rFonts w:cs="FrankRuehl" w:hint="cs"/>
          <w:sz w:val="20"/>
          <w:szCs w:val="22"/>
          <w:rtl/>
        </w:rPr>
        <w:t>,</w:t>
      </w:r>
      <w:r w:rsidRPr="00CB20FE">
        <w:rPr>
          <w:rFonts w:cs="FrankRuehl"/>
          <w:sz w:val="20"/>
          <w:szCs w:val="22"/>
          <w:rtl/>
        </w:rPr>
        <w:t xml:space="preserve"> צוות</w:t>
      </w:r>
      <w:r>
        <w:rPr>
          <w:rFonts w:cs="FrankRuehl"/>
          <w:sz w:val="20"/>
          <w:szCs w:val="22"/>
          <w:vertAlign w:val="superscript"/>
          <w:rtl/>
        </w:rPr>
        <w:footnoteReference w:id="31"/>
      </w:r>
      <w:r w:rsidRPr="00CB20FE">
        <w:rPr>
          <w:rFonts w:cs="FrankRuehl"/>
          <w:sz w:val="20"/>
          <w:szCs w:val="22"/>
          <w:rtl/>
        </w:rPr>
        <w:t xml:space="preserve"> </w:t>
      </w:r>
      <w:r w:rsidRPr="00CB20FE">
        <w:rPr>
          <w:rFonts w:cs="FrankRuehl" w:hint="cs"/>
          <w:sz w:val="20"/>
          <w:szCs w:val="22"/>
          <w:rtl/>
        </w:rPr>
        <w:t>בריכוז</w:t>
      </w:r>
      <w:r w:rsidRPr="00CB20FE">
        <w:rPr>
          <w:rFonts w:cs="FrankRuehl"/>
          <w:sz w:val="20"/>
          <w:szCs w:val="22"/>
          <w:rtl/>
        </w:rPr>
        <w:t xml:space="preserve"> </w:t>
      </w:r>
      <w:r w:rsidRPr="00CB20FE">
        <w:rPr>
          <w:rFonts w:cs="FrankRuehl" w:hint="cs"/>
          <w:sz w:val="20"/>
          <w:szCs w:val="22"/>
          <w:rtl/>
        </w:rPr>
        <w:t xml:space="preserve">מנהל הסוכנות לצורך דיון בחישוב התגמול למשרתי המילואים (להלן - הצוות). הצוות </w:t>
      </w:r>
      <w:r w:rsidRPr="00CB20FE">
        <w:rPr>
          <w:rFonts w:cs="FrankRuehl"/>
          <w:sz w:val="20"/>
          <w:szCs w:val="22"/>
          <w:rtl/>
        </w:rPr>
        <w:t xml:space="preserve">כלל נציגים </w:t>
      </w:r>
      <w:r w:rsidRPr="00CB20FE">
        <w:rPr>
          <w:rFonts w:cs="FrankRuehl" w:hint="cs"/>
          <w:sz w:val="20"/>
          <w:szCs w:val="22"/>
          <w:rtl/>
        </w:rPr>
        <w:t>ממשרד</w:t>
      </w:r>
      <w:r w:rsidRPr="00CB20FE">
        <w:rPr>
          <w:rFonts w:cs="FrankRuehl"/>
          <w:sz w:val="20"/>
          <w:szCs w:val="22"/>
          <w:rtl/>
        </w:rPr>
        <w:t xml:space="preserve"> הביטחון, ממשרד האוצר, </w:t>
      </w:r>
      <w:r w:rsidRPr="00CB20FE">
        <w:rPr>
          <w:rFonts w:cs="FrankRuehl" w:hint="cs"/>
          <w:sz w:val="20"/>
          <w:szCs w:val="22"/>
          <w:rtl/>
        </w:rPr>
        <w:t>מה</w:t>
      </w:r>
      <w:r w:rsidRPr="00CB20FE">
        <w:rPr>
          <w:rFonts w:cs="FrankRuehl"/>
          <w:sz w:val="20"/>
          <w:szCs w:val="22"/>
          <w:rtl/>
        </w:rPr>
        <w:t>ביטוח</w:t>
      </w:r>
      <w:r w:rsidRPr="00CB20FE">
        <w:rPr>
          <w:rFonts w:cs="FrankRuehl" w:hint="cs"/>
          <w:sz w:val="20"/>
          <w:szCs w:val="22"/>
          <w:rtl/>
        </w:rPr>
        <w:t xml:space="preserve"> ה</w:t>
      </w:r>
      <w:r w:rsidRPr="00CB20FE">
        <w:rPr>
          <w:rFonts w:cs="FrankRuehl"/>
          <w:sz w:val="20"/>
          <w:szCs w:val="22"/>
          <w:rtl/>
        </w:rPr>
        <w:t>לאומי ו</w:t>
      </w:r>
      <w:r w:rsidRPr="00CB20FE">
        <w:rPr>
          <w:rFonts w:cs="FrankRuehl" w:hint="cs"/>
          <w:sz w:val="20"/>
          <w:szCs w:val="22"/>
          <w:rtl/>
        </w:rPr>
        <w:t>מ</w:t>
      </w:r>
      <w:r w:rsidRPr="00CB20FE">
        <w:rPr>
          <w:rFonts w:cs="FrankRuehl"/>
          <w:sz w:val="20"/>
          <w:szCs w:val="22"/>
          <w:rtl/>
        </w:rPr>
        <w:t>ארגונים</w:t>
      </w:r>
      <w:r w:rsidRPr="00CB20FE">
        <w:rPr>
          <w:rFonts w:cs="FrankRuehl" w:hint="cs"/>
          <w:sz w:val="20"/>
          <w:szCs w:val="22"/>
          <w:rtl/>
        </w:rPr>
        <w:t xml:space="preserve"> </w:t>
      </w:r>
      <w:r w:rsidRPr="00CB20FE">
        <w:rPr>
          <w:rFonts w:cs="FrankRuehl"/>
          <w:sz w:val="20"/>
          <w:szCs w:val="22"/>
          <w:rtl/>
        </w:rPr>
        <w:t xml:space="preserve">כלכליים. </w:t>
      </w:r>
      <w:r w:rsidRPr="00CB20FE">
        <w:rPr>
          <w:rFonts w:cs="FrankRuehl" w:hint="cs"/>
          <w:sz w:val="20"/>
          <w:szCs w:val="22"/>
          <w:rtl/>
        </w:rPr>
        <w:t>הצוות</w:t>
      </w:r>
      <w:r w:rsidRPr="00CB20FE">
        <w:rPr>
          <w:rFonts w:cs="FrankRuehl"/>
          <w:sz w:val="20"/>
          <w:szCs w:val="22"/>
          <w:rtl/>
        </w:rPr>
        <w:t xml:space="preserve"> </w:t>
      </w:r>
      <w:r w:rsidRPr="00CB20FE">
        <w:rPr>
          <w:rFonts w:cs="FrankRuehl" w:hint="cs"/>
          <w:sz w:val="20"/>
          <w:szCs w:val="22"/>
          <w:rtl/>
        </w:rPr>
        <w:t>המליץ שכדאי</w:t>
      </w:r>
      <w:r w:rsidRPr="00CB20FE">
        <w:rPr>
          <w:rFonts w:cs="FrankRuehl"/>
          <w:sz w:val="20"/>
          <w:szCs w:val="22"/>
          <w:rtl/>
        </w:rPr>
        <w:t xml:space="preserve"> </w:t>
      </w:r>
      <w:r w:rsidRPr="00CB20FE">
        <w:rPr>
          <w:rFonts w:cs="FrankRuehl" w:hint="cs"/>
          <w:sz w:val="20"/>
          <w:szCs w:val="22"/>
          <w:rtl/>
        </w:rPr>
        <w:t>לפצות</w:t>
      </w:r>
      <w:r w:rsidRPr="00CB20FE">
        <w:rPr>
          <w:rFonts w:cs="FrankRuehl"/>
          <w:sz w:val="20"/>
          <w:szCs w:val="22"/>
          <w:rtl/>
        </w:rPr>
        <w:t xml:space="preserve"> </w:t>
      </w:r>
      <w:r w:rsidRPr="00CB20FE">
        <w:rPr>
          <w:rFonts w:cs="FrankRuehl" w:hint="cs"/>
          <w:sz w:val="20"/>
          <w:szCs w:val="22"/>
          <w:rtl/>
        </w:rPr>
        <w:t>עצמאים</w:t>
      </w:r>
      <w:r w:rsidRPr="00CB20FE">
        <w:rPr>
          <w:rFonts w:cs="FrankRuehl"/>
          <w:sz w:val="20"/>
          <w:szCs w:val="22"/>
          <w:rtl/>
        </w:rPr>
        <w:t xml:space="preserve"> </w:t>
      </w:r>
      <w:r w:rsidRPr="00CB20FE">
        <w:rPr>
          <w:rFonts w:cs="FrankRuehl" w:hint="cs"/>
          <w:sz w:val="20"/>
          <w:szCs w:val="22"/>
          <w:rtl/>
        </w:rPr>
        <w:t>ובעלי עסקים</w:t>
      </w:r>
      <w:r w:rsidRPr="00CB20FE">
        <w:rPr>
          <w:rFonts w:cs="FrankRuehl"/>
          <w:sz w:val="20"/>
          <w:szCs w:val="22"/>
          <w:rtl/>
        </w:rPr>
        <w:t xml:space="preserve"> </w:t>
      </w:r>
      <w:r w:rsidRPr="00CB20FE">
        <w:rPr>
          <w:rFonts w:cs="FrankRuehl" w:hint="cs"/>
          <w:sz w:val="20"/>
          <w:szCs w:val="22"/>
          <w:rtl/>
        </w:rPr>
        <w:t>קטנים ובינוניים</w:t>
      </w:r>
      <w:r w:rsidRPr="00CB20FE">
        <w:rPr>
          <w:rFonts w:cs="FrankRuehl"/>
          <w:sz w:val="20"/>
          <w:szCs w:val="22"/>
          <w:rtl/>
        </w:rPr>
        <w:t xml:space="preserve"> </w:t>
      </w:r>
      <w:r w:rsidRPr="00CB20FE">
        <w:rPr>
          <w:rFonts w:cs="FrankRuehl" w:hint="cs"/>
          <w:sz w:val="20"/>
          <w:szCs w:val="22"/>
          <w:rtl/>
        </w:rPr>
        <w:t>עבור חלק מההפסדים</w:t>
      </w:r>
      <w:r w:rsidRPr="00CB20FE">
        <w:rPr>
          <w:rFonts w:cs="FrankRuehl"/>
          <w:sz w:val="20"/>
          <w:szCs w:val="22"/>
          <w:rtl/>
        </w:rPr>
        <w:t xml:space="preserve"> </w:t>
      </w:r>
      <w:r w:rsidRPr="00CB20FE">
        <w:rPr>
          <w:rFonts w:cs="FrankRuehl" w:hint="cs"/>
          <w:sz w:val="20"/>
          <w:szCs w:val="22"/>
          <w:rtl/>
        </w:rPr>
        <w:t>הנגרמים להם</w:t>
      </w:r>
      <w:r w:rsidRPr="00CB20FE">
        <w:rPr>
          <w:rFonts w:cs="FrankRuehl"/>
          <w:sz w:val="20"/>
          <w:szCs w:val="22"/>
          <w:rtl/>
        </w:rPr>
        <w:t xml:space="preserve"> </w:t>
      </w:r>
      <w:r w:rsidRPr="00CB20FE">
        <w:rPr>
          <w:rFonts w:cs="FrankRuehl" w:hint="cs"/>
          <w:sz w:val="20"/>
          <w:szCs w:val="22"/>
          <w:rtl/>
        </w:rPr>
        <w:t>עקב</w:t>
      </w:r>
      <w:r w:rsidRPr="00CB20FE">
        <w:rPr>
          <w:rFonts w:cs="FrankRuehl"/>
          <w:sz w:val="20"/>
          <w:szCs w:val="22"/>
          <w:rtl/>
        </w:rPr>
        <w:t xml:space="preserve"> </w:t>
      </w:r>
      <w:r w:rsidRPr="00CB20FE">
        <w:rPr>
          <w:rFonts w:cs="FrankRuehl" w:hint="cs"/>
          <w:sz w:val="20"/>
          <w:szCs w:val="22"/>
          <w:rtl/>
        </w:rPr>
        <w:t>שירות</w:t>
      </w:r>
      <w:r w:rsidRPr="00CB20FE">
        <w:rPr>
          <w:rFonts w:cs="FrankRuehl"/>
          <w:sz w:val="20"/>
          <w:szCs w:val="22"/>
          <w:rtl/>
        </w:rPr>
        <w:t xml:space="preserve"> </w:t>
      </w:r>
      <w:r w:rsidRPr="00CB20FE">
        <w:rPr>
          <w:rFonts w:cs="FrankRuehl" w:hint="cs"/>
          <w:sz w:val="20"/>
          <w:szCs w:val="22"/>
          <w:rtl/>
        </w:rPr>
        <w:t>מילואים, אולם</w:t>
      </w:r>
      <w:r w:rsidRPr="00CB20FE">
        <w:rPr>
          <w:rFonts w:cs="FrankRuehl"/>
          <w:sz w:val="20"/>
          <w:szCs w:val="22"/>
          <w:rtl/>
        </w:rPr>
        <w:t xml:space="preserve"> </w:t>
      </w:r>
      <w:r w:rsidRPr="00CB20FE">
        <w:rPr>
          <w:rFonts w:cs="FrankRuehl" w:hint="cs"/>
          <w:sz w:val="20"/>
          <w:szCs w:val="22"/>
          <w:rtl/>
        </w:rPr>
        <w:t>לא</w:t>
      </w:r>
      <w:r w:rsidRPr="00CB20FE">
        <w:rPr>
          <w:rFonts w:cs="FrankRuehl"/>
          <w:sz w:val="20"/>
          <w:szCs w:val="22"/>
          <w:rtl/>
        </w:rPr>
        <w:t xml:space="preserve"> </w:t>
      </w:r>
      <w:r w:rsidRPr="00CB20FE">
        <w:rPr>
          <w:rFonts w:cs="FrankRuehl" w:hint="cs"/>
          <w:sz w:val="20"/>
          <w:szCs w:val="22"/>
          <w:rtl/>
        </w:rPr>
        <w:t>הגיע להסכמה</w:t>
      </w:r>
      <w:r w:rsidRPr="00CB20FE">
        <w:rPr>
          <w:rFonts w:cs="FrankRuehl"/>
          <w:sz w:val="20"/>
          <w:szCs w:val="22"/>
          <w:rtl/>
        </w:rPr>
        <w:t xml:space="preserve"> </w:t>
      </w:r>
      <w:r w:rsidRPr="00CB20FE">
        <w:rPr>
          <w:rFonts w:cs="FrankRuehl" w:hint="cs"/>
          <w:sz w:val="20"/>
          <w:szCs w:val="22"/>
          <w:rtl/>
        </w:rPr>
        <w:t>בשאלה אילו משרדים יישאו במימון</w:t>
      </w:r>
      <w:r w:rsidRPr="00CB20FE">
        <w:rPr>
          <w:rFonts w:cs="FrankRuehl"/>
          <w:sz w:val="20"/>
          <w:szCs w:val="22"/>
          <w:rtl/>
        </w:rPr>
        <w:t xml:space="preserve"> </w:t>
      </w:r>
      <w:r w:rsidRPr="00CB20FE">
        <w:rPr>
          <w:rFonts w:cs="FrankRuehl" w:hint="cs"/>
          <w:sz w:val="20"/>
          <w:szCs w:val="22"/>
          <w:rtl/>
        </w:rPr>
        <w:t>התגמול. בשל חוסר ההסכמה של חברי הצוות לא התקבלה החלטה בעניין, ולפיכך עצמאים ובעלי עסקים קטנים ובינוניים המשרתים במילואים אינם מקבלים את התגמול שהצוות המליץ עליו.</w:t>
      </w:r>
    </w:p>
    <w:p w:rsidR="00E21817" w:rsidRPr="00CB20FE" w:rsidP="00484EEB">
      <w:pPr>
        <w:spacing w:after="120" w:line="230" w:lineRule="exact"/>
        <w:ind w:left="-1"/>
        <w:jc w:val="both"/>
        <w:rPr>
          <w:rFonts w:cs="FrankRuehl"/>
          <w:sz w:val="20"/>
          <w:szCs w:val="22"/>
          <w:rtl/>
        </w:rPr>
      </w:pPr>
      <w:r w:rsidRPr="00484EEB">
        <w:rPr>
          <w:rStyle w:val="Heading5Char"/>
          <w:rFonts w:cs="FrankRuehl" w:hint="cs"/>
          <w:spacing w:val="40"/>
          <w:sz w:val="20"/>
          <w:szCs w:val="22"/>
          <w:rtl/>
        </w:rPr>
        <w:t>עסקים</w:t>
      </w:r>
      <w:r w:rsidRPr="00484EEB">
        <w:rPr>
          <w:rStyle w:val="Heading5Char"/>
          <w:rFonts w:cs="FrankRuehl"/>
          <w:spacing w:val="40"/>
          <w:sz w:val="20"/>
          <w:szCs w:val="22"/>
          <w:rtl/>
        </w:rPr>
        <w:t xml:space="preserve"> </w:t>
      </w:r>
      <w:r w:rsidRPr="00484EEB">
        <w:rPr>
          <w:rStyle w:val="Heading5Char"/>
          <w:rFonts w:cs="FrankRuehl" w:hint="cs"/>
          <w:spacing w:val="40"/>
          <w:sz w:val="20"/>
          <w:szCs w:val="22"/>
          <w:rtl/>
        </w:rPr>
        <w:t>עונתיים</w:t>
      </w:r>
      <w:r w:rsidRPr="00484EEB" w:rsidR="00555376">
        <w:rPr>
          <w:rStyle w:val="Heading4Char"/>
          <w:rFonts w:cs="FrankRuehl"/>
          <w:spacing w:val="40"/>
          <w:sz w:val="20"/>
          <w:szCs w:val="22"/>
          <w:rtl/>
        </w:rPr>
        <w:t>:</w:t>
      </w:r>
      <w:r w:rsidRPr="00CB20FE">
        <w:rPr>
          <w:rFonts w:cs="FrankRuehl"/>
          <w:sz w:val="20"/>
          <w:szCs w:val="22"/>
          <w:rtl/>
        </w:rPr>
        <w:t xml:space="preserve"> </w:t>
      </w:r>
      <w:r w:rsidRPr="00CB20FE">
        <w:rPr>
          <w:rFonts w:cs="FrankRuehl" w:hint="cs"/>
          <w:sz w:val="20"/>
          <w:szCs w:val="22"/>
          <w:rtl/>
        </w:rPr>
        <w:t xml:space="preserve">עסקים רבים שייכים לענפים עסקיים המאופיינים בתנודות עונתיות, כגון התקנת מזגנים ומורי דרך. כאשר שירות המילואים נקבע במהלך העונה הפעילה של העסק, שבה בעל העסק מרוויח את החלק הארי של ההכנסה השנתית שלו, הבסיס לחישוב התגמול לצורך תשלומו בשנה שלאחר מכן קטן בצורה משמעותית. יתר על כן, בעל עסק כאמור, שבעונה הפעילה של עסקו נמצא בתקופת מילואים, עלול להפסיד לקוחות רבים בשל אי-יכולתו לספק להם שירות שיכול להינתן רק בתקופה זו. קושי נוסף העומד בפני בעל העסק הוא חוסר אפשרות לאתר לקוחות עתידיים בתקופת השירות. </w:t>
      </w:r>
      <w:r w:rsidRPr="00CB20FE">
        <w:rPr>
          <w:rFonts w:cs="FrankRuehl"/>
          <w:sz w:val="20"/>
          <w:szCs w:val="22"/>
          <w:rtl/>
        </w:rPr>
        <w:t xml:space="preserve">נוסף </w:t>
      </w:r>
      <w:r w:rsidRPr="00CB20FE">
        <w:rPr>
          <w:rFonts w:cs="FrankRuehl" w:hint="cs"/>
          <w:sz w:val="20"/>
          <w:szCs w:val="22"/>
          <w:rtl/>
        </w:rPr>
        <w:t>על כך</w:t>
      </w:r>
      <w:r w:rsidRPr="00CB20FE">
        <w:rPr>
          <w:rFonts w:cs="FrankRuehl"/>
          <w:sz w:val="20"/>
          <w:szCs w:val="22"/>
          <w:rtl/>
        </w:rPr>
        <w:t xml:space="preserve"> </w:t>
      </w:r>
      <w:r w:rsidRPr="00CB20FE">
        <w:rPr>
          <w:rFonts w:cs="FrankRuehl" w:hint="cs"/>
          <w:sz w:val="20"/>
          <w:szCs w:val="22"/>
          <w:rtl/>
        </w:rPr>
        <w:t>בעת שבעל עסק משרת במילואים, מושבת ה</w:t>
      </w:r>
      <w:r w:rsidRPr="00CB20FE">
        <w:rPr>
          <w:rFonts w:cs="FrankRuehl"/>
          <w:sz w:val="20"/>
          <w:szCs w:val="22"/>
          <w:rtl/>
        </w:rPr>
        <w:t>הון המשמש ל</w:t>
      </w:r>
      <w:r w:rsidRPr="00CB20FE">
        <w:rPr>
          <w:rFonts w:cs="FrankRuehl" w:hint="cs"/>
          <w:sz w:val="20"/>
          <w:szCs w:val="22"/>
          <w:rtl/>
        </w:rPr>
        <w:t>י</w:t>
      </w:r>
      <w:r w:rsidRPr="00CB20FE">
        <w:rPr>
          <w:rFonts w:cs="FrankRuehl"/>
          <w:sz w:val="20"/>
          <w:szCs w:val="22"/>
          <w:rtl/>
        </w:rPr>
        <w:t>יצור</w:t>
      </w:r>
      <w:r w:rsidRPr="00CB20FE">
        <w:rPr>
          <w:rFonts w:cs="FrankRuehl" w:hint="cs"/>
          <w:sz w:val="20"/>
          <w:szCs w:val="22"/>
          <w:rtl/>
        </w:rPr>
        <w:t xml:space="preserve"> (לדוגמה ציוד), ואין פיצוי לבעל עסק על הפסד זה.</w:t>
      </w:r>
    </w:p>
    <w:p w:rsidR="00E21817" w:rsidRPr="00CB20FE" w:rsidP="00484EEB">
      <w:pPr>
        <w:spacing w:after="120" w:line="230" w:lineRule="exact"/>
        <w:ind w:left="-1"/>
        <w:jc w:val="both"/>
        <w:rPr>
          <w:rFonts w:cs="FrankRuehl"/>
          <w:sz w:val="20"/>
          <w:szCs w:val="22"/>
          <w:rtl/>
          <w:lang w:eastAsia="he-IL"/>
        </w:rPr>
      </w:pPr>
      <w:r w:rsidRPr="00484EEB">
        <w:rPr>
          <w:rStyle w:val="Heading5Char"/>
          <w:rFonts w:cs="FrankRuehl" w:hint="eastAsia"/>
          <w:spacing w:val="40"/>
          <w:sz w:val="20"/>
          <w:szCs w:val="22"/>
          <w:rtl/>
        </w:rPr>
        <w:t>תשלום</w:t>
      </w:r>
      <w:r w:rsidRPr="00484EEB">
        <w:rPr>
          <w:rStyle w:val="Heading5Char"/>
          <w:rFonts w:cs="FrankRuehl"/>
          <w:spacing w:val="40"/>
          <w:sz w:val="20"/>
          <w:szCs w:val="22"/>
          <w:rtl/>
        </w:rPr>
        <w:t xml:space="preserve"> </w:t>
      </w:r>
      <w:r w:rsidRPr="00484EEB">
        <w:rPr>
          <w:rStyle w:val="Heading5Char"/>
          <w:rFonts w:cs="FrankRuehl" w:hint="eastAsia"/>
          <w:spacing w:val="40"/>
          <w:sz w:val="20"/>
          <w:szCs w:val="22"/>
          <w:rtl/>
        </w:rPr>
        <w:t>לביטוח</w:t>
      </w:r>
      <w:r w:rsidRPr="00484EEB">
        <w:rPr>
          <w:rStyle w:val="Heading5Char"/>
          <w:rFonts w:cs="FrankRuehl"/>
          <w:spacing w:val="40"/>
          <w:sz w:val="20"/>
          <w:szCs w:val="22"/>
          <w:rtl/>
        </w:rPr>
        <w:t xml:space="preserve"> </w:t>
      </w:r>
      <w:r w:rsidRPr="00484EEB">
        <w:rPr>
          <w:rStyle w:val="Heading5Char"/>
          <w:rFonts w:cs="FrankRuehl" w:hint="eastAsia"/>
          <w:spacing w:val="40"/>
          <w:sz w:val="20"/>
          <w:szCs w:val="22"/>
          <w:rtl/>
        </w:rPr>
        <w:t>הלאומי</w:t>
      </w:r>
      <w:r w:rsidRPr="00484EEB">
        <w:rPr>
          <w:rStyle w:val="Heading5Char"/>
          <w:rFonts w:cs="FrankRuehl"/>
          <w:spacing w:val="40"/>
          <w:sz w:val="20"/>
          <w:szCs w:val="22"/>
          <w:rtl/>
        </w:rPr>
        <w:t xml:space="preserve"> </w:t>
      </w:r>
      <w:r w:rsidRPr="00484EEB">
        <w:rPr>
          <w:rStyle w:val="Heading5Char"/>
          <w:rFonts w:cs="FrankRuehl" w:hint="eastAsia"/>
          <w:spacing w:val="40"/>
          <w:sz w:val="20"/>
          <w:szCs w:val="22"/>
          <w:rtl/>
        </w:rPr>
        <w:t>במועד</w:t>
      </w:r>
      <w:r w:rsidRPr="00484EEB">
        <w:rPr>
          <w:rStyle w:val="Heading5Char"/>
          <w:rFonts w:cs="FrankRuehl"/>
          <w:spacing w:val="40"/>
          <w:sz w:val="20"/>
          <w:szCs w:val="22"/>
          <w:rtl/>
        </w:rPr>
        <w:t xml:space="preserve"> </w:t>
      </w:r>
      <w:r w:rsidRPr="00484EEB">
        <w:rPr>
          <w:rStyle w:val="Heading5Char"/>
          <w:rFonts w:cs="FrankRuehl" w:hint="eastAsia"/>
          <w:spacing w:val="40"/>
          <w:sz w:val="20"/>
          <w:szCs w:val="22"/>
          <w:rtl/>
        </w:rPr>
        <w:t>השירות</w:t>
      </w:r>
      <w:r w:rsidRPr="00484EEB" w:rsidR="00555376">
        <w:rPr>
          <w:rStyle w:val="Heading4Char"/>
          <w:rFonts w:cs="FrankRuehl"/>
          <w:spacing w:val="40"/>
          <w:sz w:val="20"/>
          <w:szCs w:val="22"/>
          <w:rtl/>
        </w:rPr>
        <w:t>:</w:t>
      </w:r>
      <w:r w:rsidRPr="00CB20FE">
        <w:rPr>
          <w:rFonts w:cs="FrankRuehl"/>
          <w:sz w:val="20"/>
          <w:szCs w:val="22"/>
          <w:rtl/>
          <w:lang w:eastAsia="he-IL"/>
        </w:rPr>
        <w:t xml:space="preserve"> </w:t>
      </w:r>
      <w:r w:rsidRPr="00CB20FE">
        <w:rPr>
          <w:rFonts w:cs="FrankRuehl" w:hint="cs"/>
          <w:sz w:val="20"/>
          <w:szCs w:val="22"/>
          <w:rtl/>
          <w:lang w:eastAsia="he-IL"/>
        </w:rPr>
        <w:t>על פי חוק</w:t>
      </w:r>
      <w:r w:rsidRPr="00CB20FE">
        <w:rPr>
          <w:rFonts w:cs="FrankRuehl"/>
          <w:sz w:val="20"/>
          <w:szCs w:val="22"/>
          <w:rtl/>
          <w:lang w:eastAsia="he-IL"/>
        </w:rPr>
        <w:t xml:space="preserve"> </w:t>
      </w:r>
      <w:r w:rsidRPr="00CB20FE">
        <w:rPr>
          <w:rFonts w:cs="FrankRuehl" w:hint="cs"/>
          <w:sz w:val="20"/>
          <w:szCs w:val="22"/>
          <w:rtl/>
          <w:lang w:eastAsia="he-IL"/>
        </w:rPr>
        <w:t>הביטוח</w:t>
      </w:r>
      <w:r w:rsidRPr="00CB20FE">
        <w:rPr>
          <w:rFonts w:cs="FrankRuehl"/>
          <w:sz w:val="20"/>
          <w:szCs w:val="22"/>
          <w:rtl/>
          <w:lang w:eastAsia="he-IL"/>
        </w:rPr>
        <w:t xml:space="preserve"> </w:t>
      </w:r>
      <w:r w:rsidRPr="00CB20FE">
        <w:rPr>
          <w:rFonts w:cs="FrankRuehl" w:hint="cs"/>
          <w:sz w:val="20"/>
          <w:szCs w:val="22"/>
          <w:rtl/>
          <w:lang w:eastAsia="he-IL"/>
        </w:rPr>
        <w:t>הלאומי [נוסח משולב], התשנ"ה-1995 (להלן - חוק הביטוח הלאומי), על המעסיק להמשיך לשלם תשלומים לביטוח הלאומי עבור עובד שיצא למילואים, כולל בעל העסק. לעומת זאת, במקרים של היעדרות מעבודה מטעמים אחרים, אין המעסיק משלם את חלקו בביטוח הלאומי. על פי דיווח של מנהל הסוכנות למנכ"ל משרד הכלכלה במרץ 2014, ההפסד הנגרם לעסקים מתשלום זה נאמד בכ-5.9% מעלות</w:t>
      </w:r>
      <w:r w:rsidRPr="00CB20FE">
        <w:rPr>
          <w:rFonts w:cs="FrankRuehl"/>
          <w:sz w:val="20"/>
          <w:szCs w:val="22"/>
          <w:rtl/>
          <w:lang w:eastAsia="he-IL"/>
        </w:rPr>
        <w:t xml:space="preserve"> </w:t>
      </w:r>
      <w:r w:rsidRPr="00CB20FE">
        <w:rPr>
          <w:rFonts w:cs="FrankRuehl" w:hint="cs"/>
          <w:sz w:val="20"/>
          <w:szCs w:val="22"/>
          <w:rtl/>
          <w:lang w:eastAsia="he-IL"/>
        </w:rPr>
        <w:t>שכרם</w:t>
      </w:r>
      <w:r w:rsidRPr="00CB20FE">
        <w:rPr>
          <w:rFonts w:cs="FrankRuehl"/>
          <w:sz w:val="20"/>
          <w:szCs w:val="22"/>
          <w:rtl/>
          <w:lang w:eastAsia="he-IL"/>
        </w:rPr>
        <w:t xml:space="preserve"> </w:t>
      </w:r>
      <w:r w:rsidRPr="00CB20FE">
        <w:rPr>
          <w:rFonts w:cs="FrankRuehl" w:hint="cs"/>
          <w:sz w:val="20"/>
          <w:szCs w:val="22"/>
          <w:rtl/>
          <w:lang w:eastAsia="he-IL"/>
        </w:rPr>
        <w:t>של</w:t>
      </w:r>
      <w:r w:rsidRPr="00CB20FE">
        <w:rPr>
          <w:rFonts w:cs="FrankRuehl"/>
          <w:sz w:val="20"/>
          <w:szCs w:val="22"/>
          <w:rtl/>
          <w:lang w:eastAsia="he-IL"/>
        </w:rPr>
        <w:t xml:space="preserve"> </w:t>
      </w:r>
      <w:r w:rsidRPr="00CB20FE">
        <w:rPr>
          <w:rFonts w:cs="FrankRuehl" w:hint="cs"/>
          <w:sz w:val="20"/>
          <w:szCs w:val="22"/>
          <w:rtl/>
          <w:lang w:eastAsia="he-IL"/>
        </w:rPr>
        <w:t>משרתי</w:t>
      </w:r>
      <w:r w:rsidRPr="00CB20FE">
        <w:rPr>
          <w:rFonts w:cs="FrankRuehl"/>
          <w:sz w:val="20"/>
          <w:szCs w:val="22"/>
          <w:rtl/>
          <w:lang w:eastAsia="he-IL"/>
        </w:rPr>
        <w:t xml:space="preserve"> </w:t>
      </w:r>
      <w:r w:rsidRPr="00CB20FE">
        <w:rPr>
          <w:rFonts w:cs="FrankRuehl" w:hint="cs"/>
          <w:sz w:val="20"/>
          <w:szCs w:val="22"/>
          <w:rtl/>
          <w:lang w:eastAsia="he-IL"/>
        </w:rPr>
        <w:t xml:space="preserve">המילואים, דהיינו בכ-48 מיליון ש"ח לשנה. </w:t>
      </w:r>
      <w:r w:rsidRPr="00CB20FE">
        <w:rPr>
          <w:rFonts w:cs="FrankRuehl" w:hint="eastAsia"/>
          <w:sz w:val="20"/>
          <w:szCs w:val="22"/>
          <w:rtl/>
          <w:lang w:eastAsia="he-IL"/>
        </w:rPr>
        <w:t>תיקון</w:t>
      </w:r>
      <w:r w:rsidRPr="00CB20FE">
        <w:rPr>
          <w:rFonts w:cs="FrankRuehl"/>
          <w:sz w:val="20"/>
          <w:szCs w:val="22"/>
          <w:rtl/>
          <w:lang w:eastAsia="he-IL"/>
        </w:rPr>
        <w:t xml:space="preserve"> </w:t>
      </w:r>
      <w:r w:rsidRPr="00CB20FE">
        <w:rPr>
          <w:rFonts w:cs="FrankRuehl" w:hint="eastAsia"/>
          <w:sz w:val="20"/>
          <w:szCs w:val="22"/>
          <w:rtl/>
          <w:lang w:eastAsia="he-IL"/>
        </w:rPr>
        <w:t>המצב</w:t>
      </w:r>
      <w:r w:rsidRPr="00CB20FE">
        <w:rPr>
          <w:rFonts w:cs="FrankRuehl"/>
          <w:sz w:val="20"/>
          <w:szCs w:val="22"/>
          <w:rtl/>
          <w:lang w:eastAsia="he-IL"/>
        </w:rPr>
        <w:t xml:space="preserve"> </w:t>
      </w:r>
      <w:r w:rsidRPr="00CB20FE">
        <w:rPr>
          <w:rFonts w:cs="FrankRuehl" w:hint="eastAsia"/>
          <w:sz w:val="20"/>
          <w:szCs w:val="22"/>
          <w:rtl/>
          <w:lang w:eastAsia="he-IL"/>
        </w:rPr>
        <w:t>מחייב</w:t>
      </w:r>
      <w:r w:rsidRPr="00CB20FE">
        <w:rPr>
          <w:rFonts w:cs="FrankRuehl"/>
          <w:sz w:val="20"/>
          <w:szCs w:val="22"/>
          <w:rtl/>
          <w:lang w:eastAsia="he-IL"/>
        </w:rPr>
        <w:t xml:space="preserve"> </w:t>
      </w:r>
      <w:r w:rsidRPr="00CB20FE">
        <w:rPr>
          <w:rFonts w:cs="FrankRuehl" w:hint="eastAsia"/>
          <w:sz w:val="20"/>
          <w:szCs w:val="22"/>
          <w:rtl/>
          <w:lang w:eastAsia="he-IL"/>
        </w:rPr>
        <w:t>שינוי</w:t>
      </w:r>
      <w:r w:rsidRPr="00CB20FE">
        <w:rPr>
          <w:rFonts w:cs="FrankRuehl"/>
          <w:sz w:val="20"/>
          <w:szCs w:val="22"/>
          <w:rtl/>
          <w:lang w:eastAsia="he-IL"/>
        </w:rPr>
        <w:t xml:space="preserve"> </w:t>
      </w:r>
      <w:r w:rsidRPr="00CB20FE">
        <w:rPr>
          <w:rFonts w:cs="FrankRuehl" w:hint="eastAsia"/>
          <w:sz w:val="20"/>
          <w:szCs w:val="22"/>
          <w:rtl/>
          <w:lang w:eastAsia="he-IL"/>
        </w:rPr>
        <w:t>בחוק</w:t>
      </w:r>
      <w:r w:rsidRPr="00CB20FE">
        <w:rPr>
          <w:rFonts w:cs="FrankRuehl"/>
          <w:sz w:val="20"/>
          <w:szCs w:val="22"/>
          <w:rtl/>
          <w:lang w:eastAsia="he-IL"/>
        </w:rPr>
        <w:t xml:space="preserve"> </w:t>
      </w:r>
      <w:r w:rsidRPr="00CB20FE">
        <w:rPr>
          <w:rFonts w:cs="FrankRuehl" w:hint="eastAsia"/>
          <w:sz w:val="20"/>
          <w:szCs w:val="22"/>
          <w:rtl/>
          <w:lang w:eastAsia="he-IL"/>
        </w:rPr>
        <w:t>הביטוח</w:t>
      </w:r>
      <w:r w:rsidRPr="00CB20FE">
        <w:rPr>
          <w:rFonts w:cs="FrankRuehl"/>
          <w:sz w:val="20"/>
          <w:szCs w:val="22"/>
          <w:rtl/>
          <w:lang w:eastAsia="he-IL"/>
        </w:rPr>
        <w:t xml:space="preserve"> </w:t>
      </w:r>
      <w:r w:rsidRPr="00CB20FE">
        <w:rPr>
          <w:rFonts w:cs="FrankRuehl" w:hint="eastAsia"/>
          <w:sz w:val="20"/>
          <w:szCs w:val="22"/>
          <w:rtl/>
          <w:lang w:eastAsia="he-IL"/>
        </w:rPr>
        <w:t>הלאומי</w:t>
      </w:r>
      <w:r w:rsidRPr="00CB20FE">
        <w:rPr>
          <w:rFonts w:cs="FrankRuehl" w:hint="cs"/>
          <w:sz w:val="20"/>
          <w:szCs w:val="22"/>
          <w:rtl/>
          <w:lang w:eastAsia="he-IL"/>
        </w:rPr>
        <w:t xml:space="preserve"> באופן שיעניק למעסיק פטור מהפרשת חלקו בתקופה שבה העובד או בעל העסק עצמו משרת במילואים.</w:t>
      </w:r>
    </w:p>
    <w:p w:rsidR="00E21817" w:rsidRPr="00CB20FE" w:rsidP="00484EEB">
      <w:pPr>
        <w:spacing w:after="120" w:line="230" w:lineRule="exact"/>
        <w:jc w:val="both"/>
        <w:rPr>
          <w:rFonts w:cs="FrankRuehl"/>
          <w:sz w:val="20"/>
          <w:szCs w:val="22"/>
          <w:rtl/>
        </w:rPr>
      </w:pPr>
      <w:r w:rsidRPr="00CB20FE">
        <w:rPr>
          <w:rFonts w:cs="FrankRuehl"/>
          <w:sz w:val="20"/>
          <w:szCs w:val="22"/>
          <w:rtl/>
        </w:rPr>
        <w:t xml:space="preserve">רוב חברי </w:t>
      </w:r>
      <w:r w:rsidRPr="00CB20FE">
        <w:rPr>
          <w:rFonts w:cs="FrankRuehl" w:hint="cs"/>
          <w:sz w:val="20"/>
          <w:szCs w:val="22"/>
          <w:rtl/>
        </w:rPr>
        <w:t>הצוות</w:t>
      </w:r>
      <w:r w:rsidRPr="00CB20FE">
        <w:rPr>
          <w:rFonts w:cs="FrankRuehl"/>
          <w:sz w:val="20"/>
          <w:szCs w:val="22"/>
          <w:rtl/>
        </w:rPr>
        <w:t xml:space="preserve"> סבר</w:t>
      </w:r>
      <w:r w:rsidRPr="00CB20FE">
        <w:rPr>
          <w:rFonts w:cs="FrankRuehl" w:hint="cs"/>
          <w:sz w:val="20"/>
          <w:szCs w:val="22"/>
          <w:rtl/>
        </w:rPr>
        <w:t>ו</w:t>
      </w:r>
      <w:r w:rsidRPr="00CB20FE">
        <w:rPr>
          <w:rFonts w:cs="FrankRuehl"/>
          <w:sz w:val="20"/>
          <w:szCs w:val="22"/>
          <w:rtl/>
        </w:rPr>
        <w:t xml:space="preserve"> ש</w:t>
      </w:r>
      <w:r w:rsidRPr="00CB20FE">
        <w:rPr>
          <w:rFonts w:cs="FrankRuehl" w:hint="cs"/>
          <w:sz w:val="20"/>
          <w:szCs w:val="22"/>
          <w:rtl/>
        </w:rPr>
        <w:t xml:space="preserve">אכן </w:t>
      </w:r>
      <w:r w:rsidRPr="00CB20FE">
        <w:rPr>
          <w:rFonts w:cs="FrankRuehl"/>
          <w:sz w:val="20"/>
          <w:szCs w:val="22"/>
          <w:rtl/>
        </w:rPr>
        <w:t xml:space="preserve">יש </w:t>
      </w:r>
      <w:r w:rsidRPr="00CB20FE">
        <w:rPr>
          <w:rFonts w:cs="FrankRuehl" w:hint="cs"/>
          <w:sz w:val="20"/>
          <w:szCs w:val="22"/>
          <w:rtl/>
        </w:rPr>
        <w:t xml:space="preserve">בתשלום לביטוח הלאומי בתקופת שירות המילואים </w:t>
      </w:r>
      <w:r w:rsidRPr="00CB20FE">
        <w:rPr>
          <w:rFonts w:cs="FrankRuehl"/>
          <w:sz w:val="20"/>
          <w:szCs w:val="22"/>
          <w:rtl/>
        </w:rPr>
        <w:t>בעיה עקרונית</w:t>
      </w:r>
      <w:r w:rsidRPr="00CB20FE">
        <w:rPr>
          <w:rFonts w:cs="FrankRuehl" w:hint="cs"/>
          <w:sz w:val="20"/>
          <w:szCs w:val="22"/>
          <w:rtl/>
        </w:rPr>
        <w:t>.</w:t>
      </w:r>
      <w:r w:rsidRPr="00CB20FE">
        <w:rPr>
          <w:rFonts w:cs="FrankRuehl"/>
          <w:sz w:val="20"/>
          <w:szCs w:val="22"/>
          <w:rtl/>
        </w:rPr>
        <w:t xml:space="preserve"> אולם </w:t>
      </w:r>
      <w:r w:rsidRPr="00CB20FE">
        <w:rPr>
          <w:rFonts w:cs="FrankRuehl" w:hint="cs"/>
          <w:sz w:val="20"/>
          <w:szCs w:val="22"/>
          <w:rtl/>
        </w:rPr>
        <w:t xml:space="preserve">לאחר קבלת המלצות הצוות טענו </w:t>
      </w:r>
      <w:r w:rsidRPr="00CB20FE">
        <w:rPr>
          <w:rFonts w:cs="FrankRuehl"/>
          <w:sz w:val="20"/>
          <w:szCs w:val="22"/>
          <w:rtl/>
        </w:rPr>
        <w:t xml:space="preserve">משרד האוצר ומשרד הביטחון שלא ניתן לממן את תיקון </w:t>
      </w:r>
      <w:r w:rsidRPr="00CB20FE">
        <w:rPr>
          <w:rFonts w:cs="FrankRuehl" w:hint="cs"/>
          <w:sz w:val="20"/>
          <w:szCs w:val="22"/>
          <w:rtl/>
        </w:rPr>
        <w:t>המצב היות וזה מחייב</w:t>
      </w:r>
      <w:r w:rsidRPr="00CB20FE">
        <w:rPr>
          <w:rFonts w:cs="FrankRuehl"/>
          <w:sz w:val="20"/>
          <w:szCs w:val="22"/>
          <w:rtl/>
        </w:rPr>
        <w:t xml:space="preserve"> </w:t>
      </w:r>
      <w:r w:rsidRPr="00CB20FE">
        <w:rPr>
          <w:rFonts w:cs="FrankRuehl" w:hint="cs"/>
          <w:sz w:val="20"/>
          <w:szCs w:val="22"/>
          <w:rtl/>
        </w:rPr>
        <w:t>את תיקון</w:t>
      </w:r>
      <w:r w:rsidRPr="00CB20FE">
        <w:rPr>
          <w:rFonts w:cs="FrankRuehl"/>
          <w:sz w:val="20"/>
          <w:szCs w:val="22"/>
          <w:rtl/>
        </w:rPr>
        <w:t xml:space="preserve"> חוק המילואים,</w:t>
      </w:r>
      <w:r w:rsidRPr="00CB20FE">
        <w:rPr>
          <w:rFonts w:cs="FrankRuehl" w:hint="cs"/>
          <w:sz w:val="20"/>
          <w:szCs w:val="22"/>
          <w:rtl/>
        </w:rPr>
        <w:t xml:space="preserve"> פעולה</w:t>
      </w:r>
      <w:r w:rsidRPr="00CB20FE">
        <w:rPr>
          <w:rFonts w:cs="FrankRuehl"/>
          <w:sz w:val="20"/>
          <w:szCs w:val="22"/>
          <w:rtl/>
        </w:rPr>
        <w:t xml:space="preserve"> </w:t>
      </w:r>
      <w:r w:rsidRPr="00CB20FE">
        <w:rPr>
          <w:rFonts w:cs="FrankRuehl" w:hint="cs"/>
          <w:sz w:val="20"/>
          <w:szCs w:val="22"/>
          <w:rtl/>
        </w:rPr>
        <w:t>ה</w:t>
      </w:r>
      <w:r w:rsidRPr="00CB20FE">
        <w:rPr>
          <w:rFonts w:cs="FrankRuehl"/>
          <w:sz w:val="20"/>
          <w:szCs w:val="22"/>
          <w:rtl/>
        </w:rPr>
        <w:t>עלול</w:t>
      </w:r>
      <w:r w:rsidRPr="00CB20FE">
        <w:rPr>
          <w:rFonts w:cs="FrankRuehl" w:hint="cs"/>
          <w:sz w:val="20"/>
          <w:szCs w:val="22"/>
          <w:rtl/>
        </w:rPr>
        <w:t>ה</w:t>
      </w:r>
      <w:r w:rsidRPr="00CB20FE">
        <w:rPr>
          <w:rFonts w:cs="FrankRuehl"/>
          <w:sz w:val="20"/>
          <w:szCs w:val="22"/>
          <w:rtl/>
        </w:rPr>
        <w:t xml:space="preserve"> </w:t>
      </w:r>
      <w:r w:rsidRPr="00CB20FE">
        <w:rPr>
          <w:rFonts w:cs="FrankRuehl" w:hint="cs"/>
          <w:sz w:val="20"/>
          <w:szCs w:val="22"/>
          <w:rtl/>
        </w:rPr>
        <w:t>להשפיע על קבוצות אחרות ב</w:t>
      </w:r>
      <w:r w:rsidRPr="00CB20FE">
        <w:rPr>
          <w:rFonts w:cs="FrankRuehl"/>
          <w:sz w:val="20"/>
          <w:szCs w:val="22"/>
          <w:rtl/>
        </w:rPr>
        <w:t>אוכלוסי</w:t>
      </w:r>
      <w:r w:rsidRPr="00CB20FE">
        <w:rPr>
          <w:rFonts w:cs="FrankRuehl" w:hint="cs"/>
          <w:sz w:val="20"/>
          <w:szCs w:val="22"/>
          <w:rtl/>
        </w:rPr>
        <w:t>יה</w:t>
      </w:r>
      <w:r w:rsidRPr="00CB20FE">
        <w:rPr>
          <w:rFonts w:cs="FrankRuehl"/>
          <w:sz w:val="20"/>
          <w:szCs w:val="22"/>
          <w:rtl/>
        </w:rPr>
        <w:t xml:space="preserve"> </w:t>
      </w:r>
      <w:r w:rsidRPr="00CB20FE">
        <w:rPr>
          <w:rFonts w:cs="FrankRuehl" w:hint="cs"/>
          <w:sz w:val="20"/>
          <w:szCs w:val="22"/>
          <w:rtl/>
        </w:rPr>
        <w:t>ולצורך ביצועה יידרשו</w:t>
      </w:r>
      <w:r w:rsidRPr="00CB20FE">
        <w:rPr>
          <w:rFonts w:cs="FrankRuehl"/>
          <w:sz w:val="20"/>
          <w:szCs w:val="22"/>
          <w:rtl/>
        </w:rPr>
        <w:t xml:space="preserve"> תקציבים גדולים בהרבה.</w:t>
      </w:r>
    </w:p>
    <w:p w:rsidR="00E21817" w:rsidRPr="00CB20FE" w:rsidP="00484EEB">
      <w:pPr>
        <w:spacing w:after="120" w:line="230" w:lineRule="exact"/>
        <w:jc w:val="both"/>
        <w:rPr>
          <w:rFonts w:cs="FrankRuehl"/>
          <w:sz w:val="20"/>
          <w:szCs w:val="22"/>
          <w:rtl/>
        </w:rPr>
      </w:pPr>
      <w:r w:rsidRPr="00CB20FE">
        <w:rPr>
          <w:rFonts w:cs="FrankRuehl" w:hint="cs"/>
          <w:sz w:val="20"/>
          <w:szCs w:val="22"/>
          <w:rtl/>
        </w:rPr>
        <w:t>על מנת לטפל בסוגיות שהועלו לעיל הוגשה לכנסת ביולי 2013 הצעת חוק הביטוח הלאומי (תיקון - תגמולים מוגדלים לעצמאי בשירות מילואים והוראות לעניין מעביד שהוא עצמאי), התשע"ג-2013, המיועדת לתקן את חוק הביטוח הלאומי. לפי ההצעה, יתווספו 25% מההכנסה החודשית</w:t>
      </w:r>
      <w:r>
        <w:rPr>
          <w:rStyle w:val="FootnoteReference"/>
          <w:rFonts w:cs="FrankRuehl"/>
          <w:sz w:val="20"/>
          <w:szCs w:val="22"/>
          <w:rtl/>
        </w:rPr>
        <w:footnoteReference w:id="32"/>
      </w:r>
      <w:r w:rsidRPr="00CB20FE">
        <w:rPr>
          <w:rFonts w:cs="FrankRuehl" w:hint="cs"/>
          <w:sz w:val="20"/>
          <w:szCs w:val="22"/>
          <w:rtl/>
        </w:rPr>
        <w:t xml:space="preserve"> לפיצוי עבור ההוצאות הקבועות החלות על העסק. עוד נקבע בהצעת החוק, כי עסקים קטנים המעסיקים עובדים המשרתים במילואים לא ישלמו דמי ביטוח לאומי עבור תקופת שהות העובד בשירות המילואים</w:t>
      </w:r>
      <w:r>
        <w:rPr>
          <w:rFonts w:cs="FrankRuehl"/>
          <w:sz w:val="20"/>
          <w:szCs w:val="22"/>
          <w:vertAlign w:val="superscript"/>
          <w:rtl/>
        </w:rPr>
        <w:footnoteReference w:id="33"/>
      </w:r>
      <w:r w:rsidRPr="00CB20FE">
        <w:rPr>
          <w:rFonts w:cs="FrankRuehl" w:hint="cs"/>
          <w:sz w:val="20"/>
          <w:szCs w:val="22"/>
          <w:rtl/>
        </w:rPr>
        <w:t>. יצוין שהממשלה התנגדה להצעת החוק</w:t>
      </w:r>
      <w:r>
        <w:rPr>
          <w:rStyle w:val="FootnoteReference"/>
          <w:rFonts w:cs="FrankRuehl"/>
          <w:sz w:val="20"/>
          <w:szCs w:val="22"/>
          <w:rtl/>
        </w:rPr>
        <w:footnoteReference w:id="34"/>
      </w:r>
      <w:r w:rsidRPr="00CB20FE">
        <w:rPr>
          <w:rFonts w:cs="FrankRuehl" w:hint="cs"/>
          <w:sz w:val="20"/>
          <w:szCs w:val="22"/>
          <w:rtl/>
        </w:rPr>
        <w:t xml:space="preserve">. עד מועד סיום הביקורת טרם אושרה הצעת החוק בכנסת. </w:t>
      </w:r>
    </w:p>
    <w:p w:rsidR="00E21817" w:rsidRPr="00CB20FE" w:rsidP="00484EEB">
      <w:pPr>
        <w:spacing w:after="120" w:line="230" w:lineRule="exact"/>
        <w:jc w:val="both"/>
        <w:rPr>
          <w:rFonts w:cs="FrankRuehl"/>
          <w:sz w:val="20"/>
          <w:szCs w:val="22"/>
          <w:rtl/>
        </w:rPr>
      </w:pPr>
      <w:r w:rsidRPr="00CB20FE">
        <w:rPr>
          <w:rFonts w:cs="FrankRuehl" w:hint="cs"/>
          <w:sz w:val="20"/>
          <w:szCs w:val="22"/>
          <w:rtl/>
        </w:rPr>
        <w:t xml:space="preserve">בתשובה שמסר משרד הביטחון למשרד מבקר המדינה באפריל 2015 צוין כי הוא בעד כל הטבה שתינתן לאנשי מילואים בעלי עסקים קטנים שנגרם להם הפסד עקב שירותם במילואים, אך הוא סבור כי מימון התיקון לחוק אמור להיות מתקציב הביטוח הלאומי. בתשובה שמסר משרד האוצר למשרד מבקר המדינה באפריל 2015 צוין כי עמדתו ועמדת הביטוח הלאומי היא ששינוי כזה אמנם </w:t>
      </w:r>
      <w:r w:rsidRPr="00CB20FE">
        <w:rPr>
          <w:rFonts w:cs="FrankRuehl" w:hint="cs"/>
          <w:sz w:val="20"/>
          <w:szCs w:val="22"/>
          <w:rtl/>
        </w:rPr>
        <w:t xml:space="preserve">מוצדק, אולם עלותו צריכה לבוא מתקציב משרד הביטחון, שהוא המעסיק של העובד בזמן שירות המילואים. </w:t>
      </w:r>
    </w:p>
    <w:p w:rsidR="00E21817" w:rsidRPr="00CB20FE" w:rsidP="00484EEB">
      <w:pPr>
        <w:spacing w:after="120" w:line="230" w:lineRule="exact"/>
        <w:jc w:val="both"/>
        <w:rPr>
          <w:rFonts w:cs="FrankRuehl"/>
          <w:sz w:val="20"/>
          <w:szCs w:val="22"/>
          <w:rtl/>
        </w:rPr>
      </w:pPr>
      <w:r w:rsidRPr="00CB20FE">
        <w:rPr>
          <w:rFonts w:cs="FrankRuehl" w:hint="cs"/>
          <w:sz w:val="20"/>
          <w:szCs w:val="22"/>
          <w:rtl/>
        </w:rPr>
        <w:t>בתשובה שמסר הביטוח הלאומי למשרד מבקר המדינה באפריל 2015 נאמר כי הוא תומך במתן פיצוי לבעלי עסקים קטנים המשרתים במילואים, אשר כתוצאה משירותם במילואים נפגעת הכנסת העסק, בעוד ההוצאות הקבועות ממשיכות להשתלם. אולם יש להבחין בין התגמול המשולם לעצמאים לפי פרק י"ב לחוק הביטוח הלאומי, המבוסס על החזר מלא של אבדן הכנסה המבוטחת בתקופת השירות במילואים, ובין ההצעה למתן פיצוי נוסף לבעלי עסקים קטנים בגין פגיעה בהכנסות העסק. הפיצוי הנוסף מקומו בחוק המילואים, המתוקצב על ידי משרד הביטחון, ולא בחוק הביטוח הלאומי, וזאת בדומה לתגמול הנוסף המשולם על ידי צה"ל למי ששירת תקופות מילואים ארוכות. מובן שיהיה צורך לקבוע בנוסחה מתאימה על אילו בעלי עסקים יחול הפיצוי וכיצד הוא יחושב.</w:t>
      </w:r>
    </w:p>
    <w:p w:rsidR="00E21817" w:rsidRPr="00CB20FE" w:rsidP="00484EEB">
      <w:pPr>
        <w:spacing w:after="240" w:line="230" w:lineRule="exact"/>
        <w:jc w:val="both"/>
        <w:rPr>
          <w:rFonts w:cs="FrankRuehl"/>
          <w:sz w:val="20"/>
          <w:szCs w:val="22"/>
          <w:rtl/>
        </w:rPr>
      </w:pPr>
      <w:r w:rsidRPr="00484EEB">
        <w:rPr>
          <w:rStyle w:val="Heading5Char"/>
          <w:rFonts w:cs="FrankRuehl" w:hint="cs"/>
          <w:spacing w:val="40"/>
          <w:sz w:val="20"/>
          <w:szCs w:val="22"/>
          <w:rtl/>
        </w:rPr>
        <w:t>ארנונה</w:t>
      </w:r>
      <w:r w:rsidRPr="00484EEB" w:rsidR="00555376">
        <w:rPr>
          <w:rStyle w:val="Heading4Char"/>
          <w:rFonts w:cs="FrankRuehl"/>
          <w:spacing w:val="40"/>
          <w:sz w:val="20"/>
          <w:szCs w:val="22"/>
          <w:rtl/>
        </w:rPr>
        <w:t>:</w:t>
      </w:r>
      <w:r w:rsidRPr="00CB20FE">
        <w:rPr>
          <w:rStyle w:val="Heading7Char"/>
          <w:rFonts w:cs="FrankRuehl"/>
          <w:b/>
          <w:sz w:val="20"/>
          <w:szCs w:val="22"/>
          <w:rtl/>
        </w:rPr>
        <w:t xml:space="preserve"> </w:t>
      </w:r>
      <w:r w:rsidRPr="00CB20FE">
        <w:rPr>
          <w:rFonts w:cs="FrankRuehl" w:hint="cs"/>
          <w:sz w:val="20"/>
          <w:szCs w:val="22"/>
          <w:rtl/>
        </w:rPr>
        <w:t>בדצמבר 2011 המליצה ועדה שהקים משרד הפנים</w:t>
      </w:r>
      <w:r>
        <w:rPr>
          <w:rStyle w:val="FootnoteReference"/>
          <w:rFonts w:cs="FrankRuehl"/>
          <w:sz w:val="20"/>
          <w:szCs w:val="22"/>
          <w:rtl/>
        </w:rPr>
        <w:footnoteReference w:id="35"/>
      </w:r>
      <w:r w:rsidRPr="00CB20FE">
        <w:rPr>
          <w:rFonts w:cs="FrankRuehl" w:hint="cs"/>
          <w:sz w:val="20"/>
          <w:szCs w:val="22"/>
          <w:rtl/>
        </w:rPr>
        <w:t xml:space="preserve"> על הנחה של 5% בארנונה המוטלת על מגורים למשרת מילואים פעיל</w:t>
      </w:r>
      <w:r>
        <w:rPr>
          <w:rFonts w:cs="FrankRuehl"/>
          <w:sz w:val="20"/>
          <w:szCs w:val="22"/>
          <w:vertAlign w:val="superscript"/>
          <w:rtl/>
        </w:rPr>
        <w:footnoteReference w:id="36"/>
      </w:r>
      <w:r w:rsidRPr="00CB20FE">
        <w:rPr>
          <w:rFonts w:cs="FrankRuehl" w:hint="cs"/>
          <w:sz w:val="20"/>
          <w:szCs w:val="22"/>
          <w:rtl/>
        </w:rPr>
        <w:t>. באותו מועד אישר שר הפנים את ההמלצה, אך שר האוצר התנגד לה. יצוין כי ההמלצה אינה נוגעת לארנונה שמשרת מילואים פעיל, בעל עסק קטן, משלם על הנכס שבו שוכן עסקו.</w:t>
      </w:r>
    </w:p>
    <w:p w:rsidR="00E21817" w:rsidRPr="00CB20FE" w:rsidP="00484EEB">
      <w:pPr>
        <w:pStyle w:val="RESHET"/>
        <w:rPr>
          <w:rtl/>
        </w:rPr>
      </w:pPr>
      <w:r w:rsidRPr="00CB20FE">
        <w:rPr>
          <w:rFonts w:hint="cs"/>
          <w:rtl/>
        </w:rPr>
        <w:t>לדעת</w:t>
      </w:r>
      <w:r w:rsidRPr="00CB20FE">
        <w:rPr>
          <w:rtl/>
        </w:rPr>
        <w:t xml:space="preserve"> משרד מבקר המדינה, נוכח התמשכות הטיפול בנושאים </w:t>
      </w:r>
      <w:r w:rsidRPr="00CB20FE">
        <w:rPr>
          <w:rFonts w:hint="cs"/>
          <w:rtl/>
        </w:rPr>
        <w:t>הנוגעים</w:t>
      </w:r>
      <w:r w:rsidRPr="00CB20FE">
        <w:rPr>
          <w:rtl/>
        </w:rPr>
        <w:t xml:space="preserve"> </w:t>
      </w:r>
      <w:r w:rsidRPr="00CB20FE">
        <w:rPr>
          <w:rFonts w:hint="cs"/>
          <w:rtl/>
        </w:rPr>
        <w:t>לתגמול</w:t>
      </w:r>
      <w:r w:rsidRPr="00CB20FE">
        <w:rPr>
          <w:rtl/>
        </w:rPr>
        <w:t xml:space="preserve"> בעלי עסקים קטנים המשרתים במילואים, </w:t>
      </w:r>
      <w:r w:rsidRPr="00CB20FE">
        <w:rPr>
          <w:rFonts w:hint="cs"/>
          <w:rtl/>
        </w:rPr>
        <w:t>והיות</w:t>
      </w:r>
      <w:r w:rsidRPr="00CB20FE">
        <w:rPr>
          <w:rtl/>
        </w:rPr>
        <w:t xml:space="preserve"> וקיימת הסכמה כללית </w:t>
      </w:r>
      <w:r w:rsidRPr="00CB20FE">
        <w:rPr>
          <w:rFonts w:hint="cs"/>
          <w:rtl/>
        </w:rPr>
        <w:t>מצד</w:t>
      </w:r>
      <w:r w:rsidRPr="00CB20FE">
        <w:rPr>
          <w:rtl/>
        </w:rPr>
        <w:t xml:space="preserve"> הגורמים הרלוונטיים שההסדר </w:t>
      </w:r>
      <w:r w:rsidRPr="00CB20FE">
        <w:rPr>
          <w:rFonts w:hint="cs"/>
          <w:rtl/>
        </w:rPr>
        <w:t>הקיים</w:t>
      </w:r>
      <w:r w:rsidRPr="00CB20FE">
        <w:rPr>
          <w:rtl/>
        </w:rPr>
        <w:t xml:space="preserve"> </w:t>
      </w:r>
      <w:r w:rsidRPr="00CB20FE">
        <w:rPr>
          <w:rFonts w:hint="cs"/>
          <w:rtl/>
        </w:rPr>
        <w:t>טעון</w:t>
      </w:r>
      <w:r w:rsidRPr="00CB20FE">
        <w:rPr>
          <w:rtl/>
        </w:rPr>
        <w:t xml:space="preserve"> </w:t>
      </w:r>
      <w:r w:rsidRPr="00CB20FE">
        <w:rPr>
          <w:rFonts w:hint="cs"/>
          <w:rtl/>
        </w:rPr>
        <w:t>תיקון</w:t>
      </w:r>
      <w:r w:rsidRPr="00CB20FE">
        <w:rPr>
          <w:rtl/>
        </w:rPr>
        <w:t xml:space="preserve">, </w:t>
      </w:r>
      <w:r w:rsidRPr="00CB20FE">
        <w:rPr>
          <w:rFonts w:hint="cs"/>
          <w:rtl/>
        </w:rPr>
        <w:t>מן</w:t>
      </w:r>
      <w:r w:rsidRPr="00CB20FE">
        <w:rPr>
          <w:rtl/>
        </w:rPr>
        <w:t xml:space="preserve"> </w:t>
      </w:r>
      <w:r w:rsidRPr="00CB20FE">
        <w:rPr>
          <w:rFonts w:hint="cs"/>
          <w:rtl/>
        </w:rPr>
        <w:t>הראוי</w:t>
      </w:r>
      <w:r w:rsidRPr="00CB20FE">
        <w:rPr>
          <w:rtl/>
        </w:rPr>
        <w:t xml:space="preserve"> </w:t>
      </w:r>
      <w:r w:rsidRPr="00CB20FE">
        <w:rPr>
          <w:rFonts w:hint="cs"/>
          <w:rtl/>
        </w:rPr>
        <w:t>שמשרד</w:t>
      </w:r>
      <w:r w:rsidRPr="00CB20FE">
        <w:rPr>
          <w:rtl/>
        </w:rPr>
        <w:t xml:space="preserve"> </w:t>
      </w:r>
      <w:r w:rsidRPr="00CB20FE">
        <w:rPr>
          <w:rFonts w:hint="cs"/>
          <w:rtl/>
        </w:rPr>
        <w:t>הביטחון</w:t>
      </w:r>
      <w:r w:rsidRPr="00CB20FE">
        <w:rPr>
          <w:rtl/>
        </w:rPr>
        <w:t xml:space="preserve">, </w:t>
      </w:r>
      <w:r w:rsidRPr="00CB20FE">
        <w:rPr>
          <w:rFonts w:hint="cs"/>
          <w:rtl/>
        </w:rPr>
        <w:t>המוסד</w:t>
      </w:r>
      <w:r w:rsidRPr="00CB20FE">
        <w:rPr>
          <w:rtl/>
        </w:rPr>
        <w:t xml:space="preserve"> </w:t>
      </w:r>
      <w:r w:rsidRPr="00CB20FE">
        <w:rPr>
          <w:rFonts w:hint="cs"/>
          <w:rtl/>
        </w:rPr>
        <w:t>לביטוח</w:t>
      </w:r>
      <w:r w:rsidRPr="00CB20FE">
        <w:rPr>
          <w:rtl/>
        </w:rPr>
        <w:t xml:space="preserve"> </w:t>
      </w:r>
      <w:r w:rsidRPr="00CB20FE">
        <w:rPr>
          <w:rFonts w:hint="cs"/>
          <w:rtl/>
        </w:rPr>
        <w:t>לאומי</w:t>
      </w:r>
      <w:r w:rsidRPr="00CB20FE">
        <w:rPr>
          <w:rtl/>
        </w:rPr>
        <w:t xml:space="preserve">, משרד האוצר והסוכנות יפעלו במשותף כדי למצוא </w:t>
      </w:r>
      <w:r w:rsidRPr="00CB20FE">
        <w:rPr>
          <w:rFonts w:hint="cs"/>
          <w:rtl/>
        </w:rPr>
        <w:t>פתרון</w:t>
      </w:r>
      <w:r w:rsidRPr="00CB20FE">
        <w:rPr>
          <w:rtl/>
        </w:rPr>
        <w:t xml:space="preserve"> </w:t>
      </w:r>
      <w:r w:rsidRPr="00CB20FE">
        <w:rPr>
          <w:rFonts w:hint="cs"/>
          <w:rtl/>
        </w:rPr>
        <w:t>ולאתר</w:t>
      </w:r>
      <w:r w:rsidRPr="00CB20FE">
        <w:rPr>
          <w:rtl/>
        </w:rPr>
        <w:t xml:space="preserve"> </w:t>
      </w:r>
      <w:r w:rsidRPr="00CB20FE">
        <w:rPr>
          <w:rFonts w:hint="cs"/>
          <w:rtl/>
        </w:rPr>
        <w:t>מקורות</w:t>
      </w:r>
      <w:r w:rsidRPr="00CB20FE">
        <w:rPr>
          <w:rtl/>
        </w:rPr>
        <w:t xml:space="preserve"> </w:t>
      </w:r>
      <w:r w:rsidRPr="00CB20FE">
        <w:rPr>
          <w:rFonts w:hint="cs"/>
          <w:rtl/>
        </w:rPr>
        <w:t>מימון כדי לסייע</w:t>
      </w:r>
      <w:r w:rsidRPr="00CB20FE">
        <w:rPr>
          <w:rtl/>
        </w:rPr>
        <w:t xml:space="preserve"> </w:t>
      </w:r>
      <w:r w:rsidRPr="00CB20FE">
        <w:rPr>
          <w:rFonts w:hint="cs"/>
          <w:rtl/>
        </w:rPr>
        <w:t>למגזר</w:t>
      </w:r>
      <w:r w:rsidRPr="00CB20FE">
        <w:rPr>
          <w:rtl/>
        </w:rPr>
        <w:t xml:space="preserve"> </w:t>
      </w:r>
      <w:r w:rsidRPr="00CB20FE">
        <w:rPr>
          <w:rFonts w:hint="cs"/>
          <w:rtl/>
        </w:rPr>
        <w:t>זה</w:t>
      </w:r>
      <w:r w:rsidRPr="00CB20FE">
        <w:rPr>
          <w:rtl/>
        </w:rPr>
        <w:t xml:space="preserve">. </w:t>
      </w:r>
    </w:p>
    <w:p w:rsidR="00E21817" w:rsidRPr="00CB20FE" w:rsidP="00484EEB">
      <w:pPr>
        <w:spacing w:after="120" w:line="230" w:lineRule="exact"/>
        <w:jc w:val="both"/>
        <w:rPr>
          <w:rFonts w:cs="FrankRuehl"/>
          <w:sz w:val="20"/>
          <w:szCs w:val="22"/>
          <w:rtl/>
        </w:rPr>
      </w:pPr>
    </w:p>
    <w:p w:rsidR="004013A9" w:rsidRPr="00CB20FE" w:rsidP="00484EEB">
      <w:pPr>
        <w:spacing w:after="120" w:line="230" w:lineRule="exact"/>
        <w:jc w:val="both"/>
        <w:rPr>
          <w:rFonts w:cs="FrankRuehl"/>
          <w:sz w:val="20"/>
          <w:szCs w:val="22"/>
          <w:rtl/>
        </w:rPr>
      </w:pPr>
    </w:p>
    <w:p w:rsidR="00E21817" w:rsidRPr="00FE64D8" w:rsidP="00484EEB">
      <w:pPr>
        <w:pStyle w:val="KOT4"/>
        <w:rPr>
          <w:rtl/>
        </w:rPr>
      </w:pPr>
      <w:r w:rsidRPr="00FE64D8">
        <w:rPr>
          <w:rFonts w:hint="cs"/>
          <w:rtl/>
        </w:rPr>
        <w:t>קרן ההלוואות בערבות המדינה לעסקים קטנים ובינוניים</w:t>
      </w:r>
    </w:p>
    <w:p w:rsidR="00E21817" w:rsidRPr="00CB20FE" w:rsidP="00484EEB">
      <w:pPr>
        <w:spacing w:after="120" w:line="230" w:lineRule="exact"/>
        <w:jc w:val="both"/>
        <w:rPr>
          <w:rFonts w:cs="FrankRuehl"/>
          <w:sz w:val="20"/>
          <w:szCs w:val="22"/>
          <w:rtl/>
        </w:rPr>
      </w:pPr>
      <w:r w:rsidRPr="00CB20FE">
        <w:rPr>
          <w:rFonts w:cs="FrankRuehl" w:hint="cs"/>
          <w:sz w:val="20"/>
          <w:szCs w:val="22"/>
          <w:rtl/>
        </w:rPr>
        <w:t xml:space="preserve">עסקים קטנים ובינוניים זקוקים לעתים קרובות למימון כדי לקדם את פעולותיהם. במשך השנים נתקלו עסקים קטנים ובינוניים בחסמים בקבלת אשראי. המדינה הייתה ערה לקשיים אלו והקימה בסוף המאה העשרים קרנות למתן הלוואות לעסקים קטנים באמצעות מימון מהבנקים וערבות המדינה על חלק מההלוואה. פעילותן של קרנות אלו הופסקה עקב קשיים במנגנון חילוט הערבות. </w:t>
      </w:r>
    </w:p>
    <w:p w:rsidR="00E21817" w:rsidRPr="00CB20FE" w:rsidP="00484EEB">
      <w:pPr>
        <w:spacing w:after="120" w:line="230" w:lineRule="exact"/>
        <w:jc w:val="both"/>
        <w:rPr>
          <w:rFonts w:cs="FrankRuehl"/>
          <w:sz w:val="20"/>
          <w:szCs w:val="22"/>
          <w:rtl/>
        </w:rPr>
      </w:pPr>
      <w:r w:rsidRPr="00CB20FE">
        <w:rPr>
          <w:rFonts w:cs="FrankRuehl" w:hint="cs"/>
          <w:sz w:val="20"/>
          <w:szCs w:val="22"/>
          <w:rtl/>
        </w:rPr>
        <w:t xml:space="preserve">בשנת 2003 הקימה המדינה באמצעות </w:t>
      </w:r>
      <w:r w:rsidRPr="00CB20FE">
        <w:rPr>
          <w:rFonts w:cs="FrankRuehl" w:hint="cs"/>
          <w:sz w:val="20"/>
          <w:szCs w:val="22"/>
          <w:rtl/>
        </w:rPr>
        <w:t>החשכ"ל</w:t>
      </w:r>
      <w:r w:rsidRPr="00CB20FE">
        <w:rPr>
          <w:rFonts w:cs="FrankRuehl" w:hint="cs"/>
          <w:sz w:val="20"/>
          <w:szCs w:val="22"/>
          <w:rtl/>
        </w:rPr>
        <w:t xml:space="preserve"> את קרן ההלוואות בערבות המדינה לעסקים קטנים ובינוניים (להלן - הקרן) כדי להגדיל את היקף האשראי העומד לרשות עסקים קטנים. מימון הקרן בא ממערכת הבנקאות המסחרית, והמדינה נותנת ערבות לחלק ניכר מסכום ההלוואה (85%-70%), בהתאם לאמות מידה שהיא מפרסמת ומעדכנת מפעם לפעם. בין היתר נקבע כי הסכום המרבי של ההלוואה שבעל עסק יכול לקבל הוא 500,000 ש"ח; ההלוואות ניתנות לתקופה של עד 5 שנים; הבנקים המשתתפים בתכנית נבחרים במכרז; המדינה מפקידה בבנקים אלו פיקדון העומד לרשותם אם לווה אינו פורע את הלוואתו. בשנת 2009 החלה המדינה להפעיל קרן דומה עבור עסקים בינוניים. נקבע כי סכום ההלוואה המרבית עבור עסקים אלו הוא 8% ממחזורם עד לתקרה של 8 </w:t>
      </w:r>
      <w:r w:rsidRPr="00CB20FE">
        <w:rPr>
          <w:rFonts w:cs="FrankRuehl" w:hint="cs"/>
          <w:sz w:val="20"/>
          <w:szCs w:val="22"/>
          <w:rtl/>
        </w:rPr>
        <w:t>מיליון ש"ח; גופי התיאום</w:t>
      </w:r>
      <w:r>
        <w:rPr>
          <w:rFonts w:cs="FrankRuehl"/>
          <w:sz w:val="20"/>
          <w:szCs w:val="22"/>
          <w:vertAlign w:val="superscript"/>
          <w:rtl/>
        </w:rPr>
        <w:footnoteReference w:id="37"/>
      </w:r>
      <w:r w:rsidRPr="00CB20FE">
        <w:rPr>
          <w:rFonts w:cs="FrankRuehl" w:hint="cs"/>
          <w:sz w:val="20"/>
          <w:szCs w:val="22"/>
          <w:rtl/>
        </w:rPr>
        <w:t xml:space="preserve"> בוחנים את הבקשות של עסקים לקבל הלוואות וממליצים לוועדת האשראי</w:t>
      </w:r>
      <w:r>
        <w:rPr>
          <w:rFonts w:cs="FrankRuehl"/>
          <w:sz w:val="20"/>
          <w:szCs w:val="22"/>
          <w:vertAlign w:val="superscript"/>
          <w:rtl/>
        </w:rPr>
        <w:footnoteReference w:id="38"/>
      </w:r>
      <w:r w:rsidRPr="00CB20FE">
        <w:rPr>
          <w:rFonts w:cs="FrankRuehl" w:hint="cs"/>
          <w:sz w:val="20"/>
          <w:szCs w:val="22"/>
          <w:rtl/>
        </w:rPr>
        <w:t xml:space="preserve"> על קבלה או דחייה של הבקשה; ועדת האשראי מוסמכת לאשר את מתן ההלוואה. מאז הקמת הקרן דחו גופי התיאום כשליש מהבקשות, והבנקים - באמצעות ועדת האשראי</w:t>
      </w:r>
      <w:r>
        <w:rPr>
          <w:rFonts w:cs="FrankRuehl"/>
          <w:sz w:val="20"/>
          <w:szCs w:val="22"/>
          <w:vertAlign w:val="superscript"/>
          <w:rtl/>
        </w:rPr>
        <w:footnoteReference w:id="39"/>
      </w:r>
      <w:r w:rsidRPr="00CB20FE">
        <w:rPr>
          <w:rFonts w:cs="FrankRuehl" w:hint="cs"/>
          <w:sz w:val="20"/>
          <w:szCs w:val="22"/>
          <w:rtl/>
        </w:rPr>
        <w:t xml:space="preserve"> של הקרן - דחו עוד כ-10% מהבקשות. בשנת 2012 אוחדו שתי</w:t>
      </w:r>
      <w:r w:rsidRPr="00CB20FE">
        <w:rPr>
          <w:rFonts w:cs="FrankRuehl"/>
          <w:sz w:val="20"/>
          <w:szCs w:val="22"/>
          <w:rtl/>
        </w:rPr>
        <w:t xml:space="preserve"> </w:t>
      </w:r>
      <w:r w:rsidRPr="00CB20FE">
        <w:rPr>
          <w:rFonts w:cs="FrankRuehl" w:hint="cs"/>
          <w:sz w:val="20"/>
          <w:szCs w:val="22"/>
          <w:rtl/>
        </w:rPr>
        <w:t>הקרנות לקרן לעסקים קטנים ובינוניים. משנת 2003 עד סוף מרץ 2015 אישרה הקרן</w:t>
      </w:r>
      <w:r>
        <w:rPr>
          <w:rStyle w:val="FootnoteReference"/>
          <w:rFonts w:cs="FrankRuehl"/>
          <w:sz w:val="20"/>
          <w:szCs w:val="22"/>
          <w:rtl/>
        </w:rPr>
        <w:footnoteReference w:id="40"/>
      </w:r>
      <w:r w:rsidRPr="00CB20FE">
        <w:rPr>
          <w:rFonts w:cs="FrankRuehl" w:hint="cs"/>
          <w:sz w:val="20"/>
          <w:szCs w:val="22"/>
          <w:rtl/>
        </w:rPr>
        <w:t xml:space="preserve"> כ-20,000 הלוואות בסכום כולל של כ-9.5 מיליארד ש"ח. הבנקים חילטו (או פועלים לחילוט) כ-1,000 מההלוואות בסכום של מעל 200 מיליון ש"ח</w:t>
      </w:r>
      <w:r>
        <w:rPr>
          <w:rStyle w:val="FootnoteReference"/>
          <w:rFonts w:cs="FrankRuehl"/>
          <w:sz w:val="20"/>
          <w:szCs w:val="22"/>
          <w:rtl/>
        </w:rPr>
        <w:footnoteReference w:id="41"/>
      </w:r>
      <w:r w:rsidRPr="00CB20FE">
        <w:rPr>
          <w:rFonts w:cs="FrankRuehl" w:hint="cs"/>
          <w:sz w:val="20"/>
          <w:szCs w:val="22"/>
          <w:rtl/>
        </w:rPr>
        <w:t>. ברוב ההפסד הזה נושאת המדינה.</w:t>
      </w:r>
    </w:p>
    <w:p w:rsidR="00E21817" w:rsidRPr="00CB20FE" w:rsidP="00484EEB">
      <w:pPr>
        <w:spacing w:after="120" w:line="230" w:lineRule="exact"/>
        <w:jc w:val="both"/>
        <w:rPr>
          <w:rFonts w:cs="FrankRuehl"/>
          <w:sz w:val="20"/>
          <w:szCs w:val="22"/>
          <w:rtl/>
        </w:rPr>
      </w:pPr>
    </w:p>
    <w:p w:rsidR="00E21817" w:rsidRPr="00DA4D76" w:rsidP="00484EEB">
      <w:pPr>
        <w:pStyle w:val="KOT5"/>
        <w:rPr>
          <w:rtl/>
        </w:rPr>
      </w:pPr>
      <w:r w:rsidRPr="000E15FB">
        <w:rPr>
          <w:rFonts w:hint="cs"/>
          <w:rtl/>
        </w:rPr>
        <w:t>פעילות הקרן</w:t>
      </w:r>
    </w:p>
    <w:p w:rsidR="00E21817" w:rsidRPr="00CB20FE" w:rsidP="00484EEB">
      <w:pPr>
        <w:spacing w:after="120" w:line="230" w:lineRule="exact"/>
        <w:jc w:val="both"/>
        <w:rPr>
          <w:rFonts w:cs="FrankRuehl"/>
          <w:sz w:val="20"/>
          <w:szCs w:val="22"/>
          <w:rtl/>
        </w:rPr>
      </w:pPr>
      <w:r w:rsidRPr="00CB20FE">
        <w:rPr>
          <w:rStyle w:val="Heading5Char"/>
          <w:rFonts w:cs="FrankRuehl" w:hint="cs"/>
          <w:sz w:val="20"/>
          <w:szCs w:val="22"/>
          <w:rtl/>
        </w:rPr>
        <w:t>מערכת</w:t>
      </w:r>
      <w:r w:rsidRPr="00CB20FE">
        <w:rPr>
          <w:rStyle w:val="Heading5Char"/>
          <w:rFonts w:cs="FrankRuehl"/>
          <w:sz w:val="20"/>
          <w:szCs w:val="22"/>
          <w:rtl/>
        </w:rPr>
        <w:t xml:space="preserve"> </w:t>
      </w:r>
      <w:r w:rsidRPr="00CB20FE">
        <w:rPr>
          <w:rStyle w:val="Heading5Char"/>
          <w:rFonts w:cs="FrankRuehl" w:hint="cs"/>
          <w:sz w:val="20"/>
          <w:szCs w:val="22"/>
          <w:rtl/>
        </w:rPr>
        <w:t>ממוחשבת</w:t>
      </w:r>
      <w:r w:rsidRPr="00CB20FE">
        <w:rPr>
          <w:rStyle w:val="Heading7Char"/>
          <w:rFonts w:cs="FrankRuehl"/>
          <w:b/>
          <w:sz w:val="20"/>
          <w:szCs w:val="22"/>
          <w:rtl/>
        </w:rPr>
        <w:t xml:space="preserve">: </w:t>
      </w:r>
      <w:r w:rsidRPr="00CB20FE">
        <w:rPr>
          <w:rFonts w:cs="FrankRuehl" w:hint="cs"/>
          <w:sz w:val="20"/>
          <w:szCs w:val="22"/>
          <w:rtl/>
        </w:rPr>
        <w:t xml:space="preserve">למעקב אחר התקדמות העסקים הקטנים והבינוניים בביצוע התכנית העסקית שהייתה הבסיס לקבלת הלוואה מהקרן על ידי גופי התיאום יש חשיבות רבה. המדינה כאמור ערבה לרוב כספי ההלוואה שניתנו באמצעות הקרן. ברשות המדינה נמצאים אפוא כמה כלים שנועדו לאפשר </w:t>
      </w:r>
      <w:r w:rsidRPr="00CB20FE">
        <w:rPr>
          <w:rFonts w:cs="FrankRuehl" w:hint="cs"/>
          <w:sz w:val="20"/>
          <w:szCs w:val="22"/>
          <w:rtl/>
        </w:rPr>
        <w:t>לחשכ"ל</w:t>
      </w:r>
      <w:r w:rsidRPr="00CB20FE">
        <w:rPr>
          <w:rFonts w:cs="FrankRuehl" w:hint="cs"/>
          <w:sz w:val="20"/>
          <w:szCs w:val="22"/>
          <w:rtl/>
        </w:rPr>
        <w:t xml:space="preserve"> ולסוכנות לעקוב אחר הפעילות העסקית של הלווים. בהתאם לדרישת </w:t>
      </w:r>
      <w:r w:rsidRPr="00CB20FE">
        <w:rPr>
          <w:rFonts w:cs="FrankRuehl" w:hint="cs"/>
          <w:sz w:val="20"/>
          <w:szCs w:val="22"/>
          <w:rtl/>
        </w:rPr>
        <w:t>החשכ"ל</w:t>
      </w:r>
      <w:r w:rsidRPr="00CB20FE">
        <w:rPr>
          <w:rFonts w:cs="FrankRuehl" w:hint="cs"/>
          <w:sz w:val="20"/>
          <w:szCs w:val="22"/>
          <w:rtl/>
        </w:rPr>
        <w:t xml:space="preserve">, פיתחו גופי התיאום מערכת עיבוד נתונים ממוחשבת אשר תהיה מסוגלת לקלוט ולעבד את נתוני הפניות לקרנות בכל שלבי הטיפול עד למתן ההלוואה לצורך אישור ההלוואה. </w:t>
      </w:r>
    </w:p>
    <w:p w:rsidR="00E21817" w:rsidRPr="00CB20FE" w:rsidP="00484EEB">
      <w:pPr>
        <w:spacing w:after="120" w:line="230" w:lineRule="exact"/>
        <w:jc w:val="both"/>
        <w:rPr>
          <w:rFonts w:cs="FrankRuehl"/>
          <w:sz w:val="20"/>
          <w:szCs w:val="22"/>
          <w:rtl/>
        </w:rPr>
      </w:pPr>
      <w:r w:rsidRPr="00CB20FE">
        <w:rPr>
          <w:rFonts w:cs="FrankRuehl" w:hint="cs"/>
          <w:sz w:val="20"/>
          <w:szCs w:val="22"/>
          <w:rtl/>
        </w:rPr>
        <w:t xml:space="preserve">מבדיקת משרד מבקר המדינה עולה כי </w:t>
      </w:r>
      <w:r w:rsidRPr="00CB20FE">
        <w:rPr>
          <w:rFonts w:cs="FrankRuehl" w:hint="cs"/>
          <w:sz w:val="20"/>
          <w:szCs w:val="22"/>
          <w:rtl/>
        </w:rPr>
        <w:t>החשכ"ל</w:t>
      </w:r>
      <w:r w:rsidRPr="00CB20FE">
        <w:rPr>
          <w:rFonts w:cs="FrankRuehl" w:hint="cs"/>
          <w:sz w:val="20"/>
          <w:szCs w:val="22"/>
          <w:rtl/>
        </w:rPr>
        <w:t xml:space="preserve"> לא דרש מגופי התיאום להוסיף למערכת הממוחשבת הקיימת את המידע על העסקים בקרן שהתקבל לאחר אישור וביצוע ההלוואה. המידע שמקבל </w:t>
      </w:r>
      <w:r w:rsidRPr="00CB20FE">
        <w:rPr>
          <w:rFonts w:cs="FrankRuehl" w:hint="cs"/>
          <w:sz w:val="20"/>
          <w:szCs w:val="22"/>
          <w:rtl/>
        </w:rPr>
        <w:t>החשכ"ל</w:t>
      </w:r>
      <w:r w:rsidRPr="00CB20FE">
        <w:rPr>
          <w:rFonts w:cs="FrankRuehl" w:hint="cs"/>
          <w:sz w:val="20"/>
          <w:szCs w:val="22"/>
          <w:rtl/>
        </w:rPr>
        <w:t xml:space="preserve"> על מצב ההלוואות בקרן כולל מידע על פיגורים בתשלום; תוצאות ביקורי מעקב של גופי התיאום בעסקים</w:t>
      </w:r>
      <w:r>
        <w:rPr>
          <w:rFonts w:cs="FrankRuehl"/>
          <w:sz w:val="20"/>
          <w:szCs w:val="22"/>
          <w:vertAlign w:val="superscript"/>
          <w:rtl/>
        </w:rPr>
        <w:footnoteReference w:id="42"/>
      </w:r>
      <w:r w:rsidRPr="00CB20FE">
        <w:rPr>
          <w:rFonts w:cs="FrankRuehl" w:hint="cs"/>
          <w:sz w:val="20"/>
          <w:szCs w:val="22"/>
          <w:vertAlign w:val="superscript"/>
          <w:rtl/>
        </w:rPr>
        <w:t xml:space="preserve"> </w:t>
      </w:r>
      <w:r w:rsidRPr="00CB20FE">
        <w:rPr>
          <w:rFonts w:cs="FrankRuehl" w:hint="cs"/>
          <w:sz w:val="20"/>
          <w:szCs w:val="22"/>
          <w:rtl/>
        </w:rPr>
        <w:t>ומידע</w:t>
      </w:r>
      <w:r w:rsidRPr="00CB20FE">
        <w:rPr>
          <w:rFonts w:cs="FrankRuehl"/>
          <w:sz w:val="20"/>
          <w:szCs w:val="22"/>
          <w:rtl/>
        </w:rPr>
        <w:t xml:space="preserve"> </w:t>
      </w:r>
      <w:r w:rsidRPr="00CB20FE">
        <w:rPr>
          <w:rFonts w:cs="FrankRuehl" w:hint="cs"/>
          <w:sz w:val="20"/>
          <w:szCs w:val="22"/>
          <w:rtl/>
        </w:rPr>
        <w:t>עסקי</w:t>
      </w:r>
      <w:r w:rsidRPr="00CB20FE">
        <w:rPr>
          <w:rFonts w:cs="FrankRuehl"/>
          <w:sz w:val="20"/>
          <w:szCs w:val="22"/>
          <w:rtl/>
        </w:rPr>
        <w:t xml:space="preserve"> </w:t>
      </w:r>
      <w:r w:rsidRPr="00CB20FE">
        <w:rPr>
          <w:rFonts w:cs="FrankRuehl" w:hint="cs"/>
          <w:sz w:val="20"/>
          <w:szCs w:val="22"/>
          <w:rtl/>
        </w:rPr>
        <w:t>על</w:t>
      </w:r>
      <w:r w:rsidRPr="00CB20FE">
        <w:rPr>
          <w:rFonts w:cs="FrankRuehl"/>
          <w:sz w:val="20"/>
          <w:szCs w:val="22"/>
          <w:rtl/>
        </w:rPr>
        <w:t xml:space="preserve"> </w:t>
      </w:r>
      <w:r w:rsidRPr="00CB20FE">
        <w:rPr>
          <w:rFonts w:cs="FrankRuehl" w:hint="cs"/>
          <w:sz w:val="20"/>
          <w:szCs w:val="22"/>
          <w:rtl/>
        </w:rPr>
        <w:t>לווים</w:t>
      </w:r>
      <w:r w:rsidRPr="00CB20FE">
        <w:rPr>
          <w:rFonts w:cs="FrankRuehl"/>
          <w:sz w:val="20"/>
          <w:szCs w:val="22"/>
          <w:rtl/>
        </w:rPr>
        <w:t xml:space="preserve"> </w:t>
      </w:r>
      <w:r w:rsidRPr="00CB20FE">
        <w:rPr>
          <w:rFonts w:cs="FrankRuehl" w:hint="cs"/>
          <w:sz w:val="20"/>
          <w:szCs w:val="22"/>
          <w:rtl/>
        </w:rPr>
        <w:t>מהקרן</w:t>
      </w:r>
      <w:r w:rsidRPr="00CB20FE">
        <w:rPr>
          <w:rFonts w:cs="FrankRuehl"/>
          <w:sz w:val="20"/>
          <w:szCs w:val="22"/>
          <w:rtl/>
        </w:rPr>
        <w:t xml:space="preserve"> </w:t>
      </w:r>
      <w:r w:rsidRPr="00CB20FE">
        <w:rPr>
          <w:rFonts w:cs="FrankRuehl" w:hint="cs"/>
          <w:sz w:val="20"/>
          <w:szCs w:val="22"/>
          <w:rtl/>
        </w:rPr>
        <w:t>שנרכש</w:t>
      </w:r>
      <w:r w:rsidRPr="00CB20FE">
        <w:rPr>
          <w:rFonts w:cs="FrankRuehl"/>
          <w:sz w:val="20"/>
          <w:szCs w:val="22"/>
          <w:rtl/>
        </w:rPr>
        <w:t xml:space="preserve"> </w:t>
      </w:r>
      <w:r w:rsidRPr="00CB20FE">
        <w:rPr>
          <w:rFonts w:cs="FrankRuehl" w:hint="cs"/>
          <w:sz w:val="20"/>
          <w:szCs w:val="22"/>
          <w:rtl/>
        </w:rPr>
        <w:t>מחברות</w:t>
      </w:r>
      <w:r w:rsidRPr="00CB20FE">
        <w:rPr>
          <w:rFonts w:cs="FrankRuehl"/>
          <w:sz w:val="20"/>
          <w:szCs w:val="22"/>
          <w:rtl/>
        </w:rPr>
        <w:t xml:space="preserve"> </w:t>
      </w:r>
      <w:r w:rsidRPr="00CB20FE">
        <w:rPr>
          <w:rFonts w:cs="FrankRuehl" w:hint="cs"/>
          <w:sz w:val="20"/>
          <w:szCs w:val="22"/>
          <w:rtl/>
        </w:rPr>
        <w:t>חיצוניות</w:t>
      </w:r>
      <w:r w:rsidRPr="00CB20FE">
        <w:rPr>
          <w:rFonts w:cs="FrankRuehl"/>
          <w:sz w:val="20"/>
          <w:szCs w:val="22"/>
          <w:rtl/>
        </w:rPr>
        <w:t xml:space="preserve"> (ראו </w:t>
      </w:r>
      <w:r w:rsidRPr="00CB20FE">
        <w:rPr>
          <w:rFonts w:cs="FrankRuehl" w:hint="cs"/>
          <w:sz w:val="20"/>
          <w:szCs w:val="22"/>
          <w:rtl/>
        </w:rPr>
        <w:t>להלן</w:t>
      </w:r>
      <w:r w:rsidRPr="00CB20FE">
        <w:rPr>
          <w:rFonts w:cs="FrankRuehl"/>
          <w:sz w:val="20"/>
          <w:szCs w:val="22"/>
          <w:rtl/>
        </w:rPr>
        <w:t xml:space="preserve"> - </w:t>
      </w:r>
      <w:r w:rsidRPr="00CB20FE">
        <w:rPr>
          <w:rFonts w:cs="FrankRuehl" w:hint="cs"/>
          <w:sz w:val="20"/>
          <w:szCs w:val="22"/>
          <w:rtl/>
        </w:rPr>
        <w:t>חברות</w:t>
      </w:r>
      <w:r w:rsidRPr="00CB20FE">
        <w:rPr>
          <w:rFonts w:cs="FrankRuehl"/>
          <w:sz w:val="20"/>
          <w:szCs w:val="22"/>
          <w:rtl/>
        </w:rPr>
        <w:t xml:space="preserve"> </w:t>
      </w:r>
      <w:r w:rsidRPr="00CB20FE">
        <w:rPr>
          <w:rFonts w:cs="FrankRuehl" w:hint="cs"/>
          <w:sz w:val="20"/>
          <w:szCs w:val="22"/>
          <w:rtl/>
        </w:rPr>
        <w:t>מידע</w:t>
      </w:r>
      <w:r w:rsidRPr="00CB20FE">
        <w:rPr>
          <w:rFonts w:cs="FrankRuehl"/>
          <w:sz w:val="20"/>
          <w:szCs w:val="22"/>
          <w:rtl/>
        </w:rPr>
        <w:t>).</w:t>
      </w:r>
      <w:r w:rsidRPr="00CB20FE">
        <w:rPr>
          <w:rFonts w:cs="FrankRuehl" w:hint="cs"/>
          <w:sz w:val="20"/>
          <w:szCs w:val="22"/>
          <w:rtl/>
        </w:rPr>
        <w:t xml:space="preserve"> בביקורי המעקב בבתי העסק</w:t>
      </w:r>
      <w:r w:rsidRPr="00CB20FE">
        <w:rPr>
          <w:rFonts w:cs="FrankRuehl"/>
          <w:sz w:val="20"/>
          <w:szCs w:val="22"/>
          <w:rtl/>
        </w:rPr>
        <w:t xml:space="preserve"> נאספו</w:t>
      </w:r>
      <w:r w:rsidRPr="00CB20FE">
        <w:rPr>
          <w:rFonts w:cs="FrankRuehl" w:hint="cs"/>
          <w:sz w:val="20"/>
          <w:szCs w:val="22"/>
          <w:rtl/>
        </w:rPr>
        <w:t xml:space="preserve"> דוחות כספיים ומאזני בוחן מעודכנים, פרטים על מספר המועסקים בעסק, נתונים פיננסיים ופרטים על ניהול העסק. נתונים אלו, בתוספת חוות דעת של הבודק, עשויים להצביע על כשלים בעסק שניתנים לתיקון באמצעות הדרכה מקצועית של בעל העסק. </w:t>
      </w:r>
      <w:r w:rsidRPr="00CB20FE">
        <w:rPr>
          <w:rFonts w:cs="FrankRuehl" w:hint="cs"/>
          <w:sz w:val="20"/>
          <w:szCs w:val="22"/>
          <w:rtl/>
        </w:rPr>
        <w:t>החשכ"ל</w:t>
      </w:r>
      <w:r w:rsidRPr="00CB20FE">
        <w:rPr>
          <w:rFonts w:cs="FrankRuehl" w:hint="cs"/>
          <w:sz w:val="20"/>
          <w:szCs w:val="22"/>
          <w:rtl/>
        </w:rPr>
        <w:t xml:space="preserve"> גם לא קבע פורמט ממוחשב אחיד לבנקים לצורך דיווח על מצב ההלוואות שהם העמידו בקרן. הדבר מקשה על </w:t>
      </w:r>
      <w:r w:rsidRPr="00CB20FE">
        <w:rPr>
          <w:rFonts w:cs="FrankRuehl" w:hint="cs"/>
          <w:sz w:val="20"/>
          <w:szCs w:val="22"/>
          <w:rtl/>
        </w:rPr>
        <w:t>החשכ"ל</w:t>
      </w:r>
      <w:r w:rsidRPr="00CB20FE">
        <w:rPr>
          <w:rFonts w:cs="FrankRuehl" w:hint="cs"/>
          <w:sz w:val="20"/>
          <w:szCs w:val="22"/>
          <w:rtl/>
        </w:rPr>
        <w:t xml:space="preserve"> לבצע מעקב אחר כלל ההלוואות בקרן.</w:t>
      </w:r>
    </w:p>
    <w:p w:rsidR="00E21817" w:rsidRPr="00CB20FE" w:rsidP="00484EEB">
      <w:pPr>
        <w:autoSpaceDE w:val="0"/>
        <w:autoSpaceDN w:val="0"/>
        <w:adjustRightInd w:val="0"/>
        <w:spacing w:after="120" w:line="230" w:lineRule="exact"/>
        <w:ind w:left="-1"/>
        <w:jc w:val="both"/>
        <w:rPr>
          <w:rFonts w:cs="FrankRuehl"/>
          <w:sz w:val="20"/>
          <w:szCs w:val="22"/>
          <w:rtl/>
        </w:rPr>
      </w:pPr>
      <w:r w:rsidRPr="00CB20FE">
        <w:rPr>
          <w:rFonts w:cs="FrankRuehl" w:hint="cs"/>
          <w:sz w:val="20"/>
          <w:szCs w:val="22"/>
          <w:rtl/>
        </w:rPr>
        <w:t xml:space="preserve">מהאמור לעיל עולה כי אין בידי </w:t>
      </w:r>
      <w:r w:rsidRPr="00CB20FE">
        <w:rPr>
          <w:rFonts w:cs="FrankRuehl" w:hint="cs"/>
          <w:sz w:val="20"/>
          <w:szCs w:val="22"/>
          <w:rtl/>
        </w:rPr>
        <w:t>החשכ"ל</w:t>
      </w:r>
      <w:r w:rsidRPr="00CB20FE">
        <w:rPr>
          <w:rFonts w:cs="FrankRuehl" w:hint="cs"/>
          <w:sz w:val="20"/>
          <w:szCs w:val="22"/>
          <w:rtl/>
        </w:rPr>
        <w:t xml:space="preserve"> והסוכנות כלי ניהולי יעיל לניתוח המידע הקיים בבנקים ובגופי התיאום. בהיעדר מערכת ממוחשבת שתקלוט את המידע הנצבר על כל לווה, אין </w:t>
      </w:r>
      <w:r w:rsidRPr="00CB20FE">
        <w:rPr>
          <w:rFonts w:cs="FrankRuehl" w:hint="cs"/>
          <w:sz w:val="20"/>
          <w:szCs w:val="22"/>
          <w:rtl/>
        </w:rPr>
        <w:t>החשכ"ל</w:t>
      </w:r>
      <w:r w:rsidRPr="00CB20FE">
        <w:rPr>
          <w:rFonts w:cs="FrankRuehl" w:hint="cs"/>
          <w:sz w:val="20"/>
          <w:szCs w:val="22"/>
          <w:rtl/>
        </w:rPr>
        <w:t xml:space="preserve"> והסוכנות יכולים לבחון כל לווה בנפרד ולנהל מעקב אחריו, והם אינם יכולים לאתר לווה הזקוק לכלי סיוע נוספים כדי לשפר את מצבו הכספי של העסק ולמנוע חדלות פירעון וחילוט ערבות.</w:t>
      </w:r>
    </w:p>
    <w:p w:rsidR="00E21817" w:rsidRPr="00CB20FE" w:rsidP="00484EEB">
      <w:pPr>
        <w:autoSpaceDE w:val="0"/>
        <w:autoSpaceDN w:val="0"/>
        <w:adjustRightInd w:val="0"/>
        <w:spacing w:after="120" w:line="230" w:lineRule="exact"/>
        <w:ind w:left="-1"/>
        <w:jc w:val="both"/>
        <w:rPr>
          <w:rFonts w:cs="FrankRuehl"/>
          <w:sz w:val="20"/>
          <w:szCs w:val="22"/>
          <w:rtl/>
        </w:rPr>
      </w:pPr>
      <w:r w:rsidRPr="00CB20FE">
        <w:rPr>
          <w:rFonts w:cs="FrankRuehl" w:hint="cs"/>
          <w:sz w:val="20"/>
          <w:szCs w:val="22"/>
          <w:rtl/>
        </w:rPr>
        <w:t xml:space="preserve">בתשובת </w:t>
      </w:r>
      <w:r w:rsidRPr="00CB20FE">
        <w:rPr>
          <w:rFonts w:cs="FrankRuehl" w:hint="cs"/>
          <w:sz w:val="20"/>
          <w:szCs w:val="22"/>
          <w:rtl/>
        </w:rPr>
        <w:t>החשכ"ל</w:t>
      </w:r>
      <w:r w:rsidRPr="00CB20FE">
        <w:rPr>
          <w:rFonts w:cs="FrankRuehl" w:hint="cs"/>
          <w:sz w:val="20"/>
          <w:szCs w:val="22"/>
          <w:rtl/>
        </w:rPr>
        <w:t xml:space="preserve"> צוין כי באוגוסט 2014 (לאחר מועד בדיקת הנושא על ידי משרד מבקר המדינה) נבחרו גופי תיאום חדשים אשר הקימו מערכות מידע ממוחשבות, בהתאם לאפיון </w:t>
      </w:r>
      <w:r w:rsidRPr="00CB20FE">
        <w:rPr>
          <w:rFonts w:cs="FrankRuehl" w:hint="cs"/>
          <w:sz w:val="20"/>
          <w:szCs w:val="22"/>
          <w:rtl/>
        </w:rPr>
        <w:t>החשכ"ל</w:t>
      </w:r>
      <w:r w:rsidRPr="00CB20FE">
        <w:rPr>
          <w:rFonts w:cs="FrankRuehl" w:hint="cs"/>
          <w:sz w:val="20"/>
          <w:szCs w:val="22"/>
          <w:rtl/>
        </w:rPr>
        <w:t xml:space="preserve">. </w:t>
      </w:r>
      <w:r w:rsidRPr="00CB20FE">
        <w:rPr>
          <w:rFonts w:cs="FrankRuehl" w:hint="cs"/>
          <w:sz w:val="20"/>
          <w:szCs w:val="22"/>
          <w:rtl/>
        </w:rPr>
        <w:t>לחשכ"ל</w:t>
      </w:r>
      <w:r w:rsidRPr="00CB20FE">
        <w:rPr>
          <w:rFonts w:cs="FrankRuehl" w:hint="cs"/>
          <w:sz w:val="20"/>
          <w:szCs w:val="22"/>
          <w:rtl/>
        </w:rPr>
        <w:t xml:space="preserve"> יש גישה ישירה ומלאה לכל אחת מהמערכות, המאפשרת לשלוף ולהצליב מידע בהתאם </w:t>
      </w:r>
      <w:r w:rsidRPr="00CB20FE">
        <w:rPr>
          <w:rFonts w:cs="FrankRuehl" w:hint="cs"/>
          <w:sz w:val="20"/>
          <w:szCs w:val="22"/>
          <w:rtl/>
        </w:rPr>
        <w:t xml:space="preserve">לצרכים בהפעלת הקרן. במערכת מתועדים ממצאי הביקור החוזר בעסק שמבצעים גופי התיאום והערכת סיכון הלווה, וכן מידע על הלוואות בסיכון העולה מדיווחים של הבנקים. </w:t>
      </w:r>
      <w:r w:rsidRPr="00CB20FE">
        <w:rPr>
          <w:rFonts w:cs="FrankRuehl" w:hint="cs"/>
          <w:sz w:val="20"/>
          <w:szCs w:val="22"/>
          <w:rtl/>
        </w:rPr>
        <w:t>החשכ"ל</w:t>
      </w:r>
      <w:r w:rsidRPr="00CB20FE">
        <w:rPr>
          <w:rFonts w:cs="FrankRuehl" w:hint="cs"/>
          <w:sz w:val="20"/>
          <w:szCs w:val="22"/>
          <w:rtl/>
        </w:rPr>
        <w:t xml:space="preserve"> הוסיף שאף על פי שפורמט הדיווח של הבנקים על מצב ההלוואות אינו אחיד, עם קליטת המידע במערכת הוא מופק כשאילתות עם שדות אחידים, המדווחים על ידי גופי התיאום לנציגי </w:t>
      </w:r>
      <w:r w:rsidRPr="00CB20FE">
        <w:rPr>
          <w:rFonts w:cs="FrankRuehl" w:hint="cs"/>
          <w:sz w:val="20"/>
          <w:szCs w:val="22"/>
          <w:rtl/>
        </w:rPr>
        <w:t>החשכ"ל</w:t>
      </w:r>
      <w:r w:rsidRPr="00CB20FE">
        <w:rPr>
          <w:rFonts w:cs="FrankRuehl" w:hint="cs"/>
          <w:sz w:val="20"/>
          <w:szCs w:val="22"/>
          <w:rtl/>
        </w:rPr>
        <w:t xml:space="preserve"> בכל מועד דיווח. </w:t>
      </w:r>
    </w:p>
    <w:p w:rsidR="00E21817" w:rsidRPr="00CB20FE" w:rsidP="00484EEB">
      <w:pPr>
        <w:spacing w:after="120" w:line="230" w:lineRule="exact"/>
        <w:ind w:left="-2"/>
        <w:jc w:val="both"/>
        <w:rPr>
          <w:rFonts w:cs="FrankRuehl"/>
          <w:sz w:val="20"/>
          <w:szCs w:val="22"/>
          <w:rtl/>
          <w:lang w:eastAsia="he-IL"/>
        </w:rPr>
      </w:pPr>
      <w:r w:rsidRPr="00484EEB">
        <w:rPr>
          <w:rStyle w:val="Heading5Char"/>
          <w:rFonts w:cs="FrankRuehl" w:hint="eastAsia"/>
          <w:spacing w:val="40"/>
          <w:sz w:val="20"/>
          <w:szCs w:val="22"/>
          <w:rtl/>
        </w:rPr>
        <w:t>ייעוץ</w:t>
      </w:r>
      <w:r w:rsidRPr="00484EEB">
        <w:rPr>
          <w:rStyle w:val="Heading5Char"/>
          <w:rFonts w:cs="FrankRuehl"/>
          <w:spacing w:val="40"/>
          <w:sz w:val="20"/>
          <w:szCs w:val="22"/>
          <w:rtl/>
        </w:rPr>
        <w:t xml:space="preserve"> </w:t>
      </w:r>
      <w:r w:rsidRPr="00484EEB">
        <w:rPr>
          <w:rStyle w:val="Heading5Char"/>
          <w:rFonts w:cs="FrankRuehl" w:hint="eastAsia"/>
          <w:spacing w:val="40"/>
          <w:sz w:val="20"/>
          <w:szCs w:val="22"/>
          <w:rtl/>
        </w:rPr>
        <w:t>עסקי</w:t>
      </w:r>
      <w:r w:rsidRPr="00484EEB">
        <w:rPr>
          <w:rStyle w:val="Heading7Char"/>
          <w:rFonts w:cs="FrankRuehl"/>
          <w:b/>
          <w:spacing w:val="40"/>
          <w:sz w:val="20"/>
          <w:szCs w:val="22"/>
          <w:rtl/>
        </w:rPr>
        <w:t>:</w:t>
      </w:r>
      <w:r w:rsidRPr="00CB20FE">
        <w:rPr>
          <w:rStyle w:val="Heading7Char"/>
          <w:rFonts w:cs="FrankRuehl"/>
          <w:b/>
          <w:sz w:val="20"/>
          <w:szCs w:val="22"/>
          <w:rtl/>
        </w:rPr>
        <w:t xml:space="preserve"> </w:t>
      </w:r>
      <w:r w:rsidRPr="00CB20FE">
        <w:rPr>
          <w:rFonts w:cs="FrankRuehl" w:hint="cs"/>
          <w:sz w:val="20"/>
          <w:szCs w:val="22"/>
          <w:rtl/>
          <w:lang w:eastAsia="he-IL"/>
        </w:rPr>
        <w:t xml:space="preserve">הסוכנות מנהלת תכנית למתן ייעוץ מקצועי, במחיר מסובסד, לבעלי עסקים קטנים ובינוניים בתחומים רבים. ייעוץ זה אמור לסייע לבעל העסק לשפר את ניהול העסק. כאשר בדיקת המעקב של גופי התיאום מעלה קשיים בניהול העסק, יש חשיבות לעדכון מידי של הסוכנות </w:t>
      </w:r>
      <w:r w:rsidRPr="00CB20FE">
        <w:rPr>
          <w:rFonts w:cs="FrankRuehl" w:hint="cs"/>
          <w:sz w:val="20"/>
          <w:szCs w:val="22"/>
          <w:rtl/>
          <w:lang w:eastAsia="he-IL"/>
        </w:rPr>
        <w:t>והחשכ"ל</w:t>
      </w:r>
      <w:r w:rsidRPr="00CB20FE">
        <w:rPr>
          <w:rFonts w:cs="FrankRuehl" w:hint="cs"/>
          <w:sz w:val="20"/>
          <w:szCs w:val="22"/>
          <w:rtl/>
          <w:lang w:eastAsia="he-IL"/>
        </w:rPr>
        <w:t xml:space="preserve"> כדי שהם ייצרו קשר עם בעל העסק ויציעו לו להגיש בקשה לקבלת ייעוץ באמצעות התכנית או לפנות ליועץ עסקי אחר. התערבות מידית של הגוף המתאם, הסוכנות </w:t>
      </w:r>
      <w:r w:rsidRPr="00CB20FE">
        <w:rPr>
          <w:rFonts w:cs="FrankRuehl" w:hint="cs"/>
          <w:sz w:val="20"/>
          <w:szCs w:val="22"/>
          <w:rtl/>
          <w:lang w:eastAsia="he-IL"/>
        </w:rPr>
        <w:t>והחשכ"ל</w:t>
      </w:r>
      <w:r w:rsidRPr="00CB20FE">
        <w:rPr>
          <w:rFonts w:cs="FrankRuehl" w:hint="cs"/>
          <w:sz w:val="20"/>
          <w:szCs w:val="22"/>
          <w:rtl/>
          <w:lang w:eastAsia="he-IL"/>
        </w:rPr>
        <w:t xml:space="preserve"> נחוצה כדי למנוע את הידרדרות העסק ואי-תשלום ההלוואה, שכן הפסקת התשלום מובילה בדרך כלל לסגירת העסק וחילוט הערבות הממשלתית. </w:t>
      </w:r>
    </w:p>
    <w:p w:rsidR="00E21817" w:rsidRPr="00CB20FE" w:rsidP="00484EEB">
      <w:pPr>
        <w:spacing w:after="120" w:line="230" w:lineRule="exact"/>
        <w:ind w:left="-2"/>
        <w:jc w:val="both"/>
        <w:rPr>
          <w:rFonts w:cs="FrankRuehl"/>
          <w:sz w:val="20"/>
          <w:szCs w:val="22"/>
          <w:rtl/>
        </w:rPr>
      </w:pPr>
      <w:r w:rsidRPr="00CB20FE">
        <w:rPr>
          <w:rFonts w:cs="FrankRuehl" w:hint="cs"/>
          <w:sz w:val="20"/>
          <w:szCs w:val="22"/>
          <w:rtl/>
          <w:lang w:eastAsia="he-IL"/>
        </w:rPr>
        <w:t xml:space="preserve">הביקורת העלתה </w:t>
      </w:r>
      <w:r w:rsidRPr="00CB20FE">
        <w:rPr>
          <w:rFonts w:cs="FrankRuehl" w:hint="cs"/>
          <w:sz w:val="20"/>
          <w:szCs w:val="22"/>
          <w:rtl/>
          <w:lang w:eastAsia="he-IL"/>
        </w:rPr>
        <w:t>שהחשכ"ל</w:t>
      </w:r>
      <w:r w:rsidRPr="00CB20FE">
        <w:rPr>
          <w:rFonts w:cs="FrankRuehl" w:hint="cs"/>
          <w:sz w:val="20"/>
          <w:szCs w:val="22"/>
          <w:rtl/>
          <w:lang w:eastAsia="he-IL"/>
        </w:rPr>
        <w:t xml:space="preserve"> והסוכנות לא דרשו מגופי התיאום להודיע להם על מקרים שבהם מומלץ לשקול מתן ייעוץ עסקי מסובסד לעסק. עוד העלתה </w:t>
      </w:r>
      <w:r w:rsidRPr="00CB20FE">
        <w:rPr>
          <w:rFonts w:cs="FrankRuehl" w:hint="cs"/>
          <w:sz w:val="20"/>
          <w:szCs w:val="22"/>
          <w:rtl/>
        </w:rPr>
        <w:t xml:space="preserve">הביקורת </w:t>
      </w:r>
      <w:r w:rsidRPr="00CB20FE">
        <w:rPr>
          <w:rFonts w:cs="FrankRuehl" w:hint="cs"/>
          <w:sz w:val="20"/>
          <w:szCs w:val="22"/>
          <w:rtl/>
        </w:rPr>
        <w:t>שהחשכ"ל</w:t>
      </w:r>
      <w:r w:rsidRPr="00CB20FE">
        <w:rPr>
          <w:rFonts w:cs="FrankRuehl" w:hint="cs"/>
          <w:sz w:val="20"/>
          <w:szCs w:val="22"/>
          <w:rtl/>
        </w:rPr>
        <w:t xml:space="preserve"> והסוכנות לא כללו בהסכם עם גופי התיאום פנייה לבנקים לקבלת מידע מעודכן על המצב העסקי של הלווה ועל קשיים שהבנק זיהה בעסק</w:t>
      </w:r>
      <w:r>
        <w:rPr>
          <w:rStyle w:val="FootnoteReference"/>
          <w:rFonts w:cs="FrankRuehl"/>
          <w:sz w:val="20"/>
          <w:szCs w:val="22"/>
          <w:rtl/>
        </w:rPr>
        <w:footnoteReference w:id="43"/>
      </w:r>
      <w:r w:rsidRPr="00CB20FE">
        <w:rPr>
          <w:rFonts w:cs="FrankRuehl" w:hint="cs"/>
          <w:sz w:val="20"/>
          <w:szCs w:val="22"/>
          <w:rtl/>
        </w:rPr>
        <w:t>. בכך</w:t>
      </w:r>
      <w:r w:rsidRPr="00CB20FE">
        <w:rPr>
          <w:rFonts w:cs="FrankRuehl"/>
          <w:sz w:val="20"/>
          <w:szCs w:val="22"/>
          <w:rtl/>
        </w:rPr>
        <w:t xml:space="preserve"> </w:t>
      </w:r>
      <w:r w:rsidRPr="00CB20FE">
        <w:rPr>
          <w:rFonts w:cs="FrankRuehl" w:hint="cs"/>
          <w:sz w:val="20"/>
          <w:szCs w:val="22"/>
          <w:rtl/>
        </w:rPr>
        <w:t>הם</w:t>
      </w:r>
      <w:r w:rsidRPr="00CB20FE">
        <w:rPr>
          <w:rFonts w:cs="FrankRuehl"/>
          <w:sz w:val="20"/>
          <w:szCs w:val="22"/>
          <w:rtl/>
        </w:rPr>
        <w:t xml:space="preserve"> </w:t>
      </w:r>
      <w:r w:rsidRPr="00CB20FE">
        <w:rPr>
          <w:rFonts w:cs="FrankRuehl" w:hint="cs"/>
          <w:sz w:val="20"/>
          <w:szCs w:val="22"/>
          <w:rtl/>
        </w:rPr>
        <w:t>אינם</w:t>
      </w:r>
      <w:r w:rsidRPr="00CB20FE">
        <w:rPr>
          <w:rFonts w:cs="FrankRuehl"/>
          <w:sz w:val="20"/>
          <w:szCs w:val="22"/>
          <w:rtl/>
        </w:rPr>
        <w:t xml:space="preserve"> </w:t>
      </w:r>
      <w:r w:rsidRPr="00CB20FE">
        <w:rPr>
          <w:rFonts w:cs="FrankRuehl" w:hint="cs"/>
          <w:sz w:val="20"/>
          <w:szCs w:val="22"/>
          <w:rtl/>
        </w:rPr>
        <w:t>מנצלים כלי</w:t>
      </w:r>
      <w:r w:rsidRPr="00CB20FE">
        <w:rPr>
          <w:rFonts w:cs="FrankRuehl"/>
          <w:sz w:val="20"/>
          <w:szCs w:val="22"/>
          <w:rtl/>
        </w:rPr>
        <w:t xml:space="preserve"> </w:t>
      </w:r>
      <w:r w:rsidRPr="00CB20FE">
        <w:rPr>
          <w:rFonts w:cs="FrankRuehl" w:hint="cs"/>
          <w:sz w:val="20"/>
          <w:szCs w:val="22"/>
          <w:rtl/>
        </w:rPr>
        <w:t>יעיל</w:t>
      </w:r>
      <w:r w:rsidRPr="00CB20FE">
        <w:rPr>
          <w:rFonts w:cs="FrankRuehl"/>
          <w:sz w:val="20"/>
          <w:szCs w:val="22"/>
          <w:rtl/>
        </w:rPr>
        <w:t xml:space="preserve"> </w:t>
      </w:r>
      <w:r w:rsidRPr="00CB20FE">
        <w:rPr>
          <w:rFonts w:cs="FrankRuehl" w:hint="cs"/>
          <w:sz w:val="20"/>
          <w:szCs w:val="22"/>
          <w:rtl/>
        </w:rPr>
        <w:t>העשוי להגן</w:t>
      </w:r>
      <w:r w:rsidRPr="00CB20FE">
        <w:rPr>
          <w:rFonts w:cs="FrankRuehl"/>
          <w:sz w:val="20"/>
          <w:szCs w:val="22"/>
          <w:rtl/>
        </w:rPr>
        <w:t xml:space="preserve"> </w:t>
      </w:r>
      <w:r w:rsidRPr="00CB20FE">
        <w:rPr>
          <w:rFonts w:cs="FrankRuehl" w:hint="cs"/>
          <w:sz w:val="20"/>
          <w:szCs w:val="22"/>
          <w:rtl/>
        </w:rPr>
        <w:t>על</w:t>
      </w:r>
      <w:r w:rsidRPr="00CB20FE">
        <w:rPr>
          <w:rFonts w:cs="FrankRuehl"/>
          <w:sz w:val="20"/>
          <w:szCs w:val="22"/>
          <w:rtl/>
        </w:rPr>
        <w:t xml:space="preserve"> </w:t>
      </w:r>
      <w:r w:rsidRPr="00CB20FE">
        <w:rPr>
          <w:rFonts w:cs="FrankRuehl" w:hint="cs"/>
          <w:sz w:val="20"/>
          <w:szCs w:val="22"/>
          <w:rtl/>
        </w:rPr>
        <w:t>האינטרס</w:t>
      </w:r>
      <w:r w:rsidRPr="00CB20FE">
        <w:rPr>
          <w:rFonts w:cs="FrankRuehl"/>
          <w:sz w:val="20"/>
          <w:szCs w:val="22"/>
          <w:rtl/>
        </w:rPr>
        <w:t xml:space="preserve"> </w:t>
      </w:r>
      <w:r w:rsidRPr="00CB20FE">
        <w:rPr>
          <w:rFonts w:cs="FrankRuehl" w:hint="cs"/>
          <w:sz w:val="20"/>
          <w:szCs w:val="22"/>
          <w:rtl/>
        </w:rPr>
        <w:t>של</w:t>
      </w:r>
      <w:r w:rsidRPr="00CB20FE">
        <w:rPr>
          <w:rFonts w:cs="FrankRuehl"/>
          <w:sz w:val="20"/>
          <w:szCs w:val="22"/>
          <w:rtl/>
        </w:rPr>
        <w:t xml:space="preserve"> </w:t>
      </w:r>
      <w:r w:rsidRPr="00CB20FE">
        <w:rPr>
          <w:rFonts w:cs="FrankRuehl" w:hint="cs"/>
          <w:sz w:val="20"/>
          <w:szCs w:val="22"/>
          <w:rtl/>
        </w:rPr>
        <w:t>המדינה</w:t>
      </w:r>
      <w:r w:rsidRPr="00CB20FE">
        <w:rPr>
          <w:rFonts w:cs="FrankRuehl"/>
          <w:sz w:val="20"/>
          <w:szCs w:val="22"/>
          <w:rtl/>
        </w:rPr>
        <w:t xml:space="preserve"> </w:t>
      </w:r>
      <w:r w:rsidRPr="00CB20FE">
        <w:rPr>
          <w:rFonts w:cs="FrankRuehl" w:hint="cs"/>
          <w:sz w:val="20"/>
          <w:szCs w:val="22"/>
          <w:rtl/>
        </w:rPr>
        <w:t>למנוע</w:t>
      </w:r>
      <w:r w:rsidRPr="00CB20FE">
        <w:rPr>
          <w:rFonts w:cs="FrankRuehl"/>
          <w:sz w:val="20"/>
          <w:szCs w:val="22"/>
          <w:rtl/>
        </w:rPr>
        <w:t xml:space="preserve"> </w:t>
      </w:r>
      <w:r w:rsidRPr="00CB20FE">
        <w:rPr>
          <w:rFonts w:cs="FrankRuehl" w:hint="cs"/>
          <w:sz w:val="20"/>
          <w:szCs w:val="22"/>
          <w:rtl/>
        </w:rPr>
        <w:t>סגירה של</w:t>
      </w:r>
      <w:r w:rsidRPr="00CB20FE">
        <w:rPr>
          <w:rFonts w:cs="FrankRuehl"/>
          <w:sz w:val="20"/>
          <w:szCs w:val="22"/>
          <w:rtl/>
        </w:rPr>
        <w:t xml:space="preserve"> </w:t>
      </w:r>
      <w:r w:rsidRPr="00CB20FE">
        <w:rPr>
          <w:rFonts w:cs="FrankRuehl" w:hint="cs"/>
          <w:sz w:val="20"/>
          <w:szCs w:val="22"/>
          <w:rtl/>
        </w:rPr>
        <w:t>עסק</w:t>
      </w:r>
      <w:r w:rsidRPr="00CB20FE">
        <w:rPr>
          <w:rFonts w:cs="FrankRuehl"/>
          <w:sz w:val="20"/>
          <w:szCs w:val="22"/>
          <w:rtl/>
        </w:rPr>
        <w:t xml:space="preserve"> </w:t>
      </w:r>
      <w:r w:rsidRPr="00CB20FE">
        <w:rPr>
          <w:rFonts w:cs="FrankRuehl" w:hint="cs"/>
          <w:sz w:val="20"/>
          <w:szCs w:val="22"/>
          <w:rtl/>
        </w:rPr>
        <w:t>וחילוט</w:t>
      </w:r>
      <w:r w:rsidRPr="00CB20FE">
        <w:rPr>
          <w:rFonts w:cs="FrankRuehl"/>
          <w:sz w:val="20"/>
          <w:szCs w:val="22"/>
          <w:rtl/>
        </w:rPr>
        <w:t xml:space="preserve"> </w:t>
      </w:r>
      <w:r w:rsidRPr="00CB20FE">
        <w:rPr>
          <w:rFonts w:cs="FrankRuehl" w:hint="cs"/>
          <w:sz w:val="20"/>
          <w:szCs w:val="22"/>
          <w:rtl/>
        </w:rPr>
        <w:t>ערבות</w:t>
      </w:r>
      <w:r w:rsidRPr="00CB20FE">
        <w:rPr>
          <w:rFonts w:cs="FrankRuehl"/>
          <w:sz w:val="20"/>
          <w:szCs w:val="22"/>
          <w:rtl/>
        </w:rPr>
        <w:t>.</w:t>
      </w:r>
      <w:r w:rsidRPr="00CB20FE">
        <w:rPr>
          <w:rFonts w:cs="FrankRuehl" w:hint="cs"/>
          <w:sz w:val="20"/>
          <w:szCs w:val="22"/>
          <w:rtl/>
        </w:rPr>
        <w:t xml:space="preserve"> </w:t>
      </w:r>
    </w:p>
    <w:p w:rsidR="00E21817" w:rsidRPr="00CB20FE" w:rsidP="00484EEB">
      <w:pPr>
        <w:spacing w:after="120" w:line="230" w:lineRule="exact"/>
        <w:jc w:val="both"/>
        <w:rPr>
          <w:rFonts w:cs="FrankRuehl"/>
          <w:sz w:val="20"/>
          <w:szCs w:val="22"/>
          <w:rtl/>
        </w:rPr>
      </w:pPr>
      <w:r w:rsidRPr="00CB20FE">
        <w:rPr>
          <w:rFonts w:cs="FrankRuehl" w:hint="cs"/>
          <w:sz w:val="20"/>
          <w:szCs w:val="22"/>
          <w:rtl/>
        </w:rPr>
        <w:t>החשכ"ל</w:t>
      </w:r>
      <w:r w:rsidRPr="00CB20FE">
        <w:rPr>
          <w:rFonts w:cs="FrankRuehl" w:hint="cs"/>
          <w:sz w:val="20"/>
          <w:szCs w:val="22"/>
          <w:rtl/>
        </w:rPr>
        <w:t xml:space="preserve"> ציין בתשובתו כי בפברואר 2015 החליטה ועדת ההיגוי של קרן ההלוואות לעסקים קטנים ובינוניים שלכל עסק המגיש בקשה לקבל הלוואה מהקרן יוצע לקבל עד 20 שעות ייעוץ מסובסדות. עוד הוחלט כי בסמכות ועדות האשראי להתנות את העמדת ההלוואה בקבלת ליווי עסקי מסובסד. כמו כן, אם לאחר ביקור גוף התיאום בעסק האמור נמצא שהוא בעל סיכון בינוני או גבוה לאי-החזר ההלוואה, הוא יקבל מכתב המלצה לקבלת ייעוץ עסקי ממוקדי השטח</w:t>
      </w:r>
      <w:r>
        <w:rPr>
          <w:rStyle w:val="FootnoteReference"/>
          <w:rFonts w:cs="FrankRuehl"/>
          <w:sz w:val="20"/>
          <w:szCs w:val="22"/>
          <w:rtl/>
        </w:rPr>
        <w:footnoteReference w:id="44"/>
      </w:r>
      <w:r w:rsidRPr="00CB20FE">
        <w:rPr>
          <w:rFonts w:cs="FrankRuehl" w:hint="cs"/>
          <w:sz w:val="20"/>
          <w:szCs w:val="22"/>
          <w:rtl/>
        </w:rPr>
        <w:t xml:space="preserve"> הפועלים מטעם הסוכנות. עסקים אלו יהיו זכאים גם להטבה נוספת של תוספת להיקף שעות הייעוץ המסובסדות על ידי הסוכנות (30 שעות במקום 20 שעות). תנאי זה יצטרף לתנאי הוראת הביצוע, והבנק יידרש לקבל את אישור הגוף המתאם לקיומו טרם העמדת ההלוואה ללווה. עוד הסביר </w:t>
      </w:r>
      <w:r w:rsidRPr="00CB20FE">
        <w:rPr>
          <w:rFonts w:cs="FrankRuehl" w:hint="cs"/>
          <w:sz w:val="20"/>
          <w:szCs w:val="22"/>
          <w:rtl/>
        </w:rPr>
        <w:t>החשכ"ל</w:t>
      </w:r>
      <w:r w:rsidRPr="00CB20FE">
        <w:rPr>
          <w:rFonts w:cs="FrankRuehl" w:hint="cs"/>
          <w:sz w:val="20"/>
          <w:szCs w:val="22"/>
          <w:rtl/>
        </w:rPr>
        <w:t xml:space="preserve"> כי במרץ 2015 הוא פנה לבנקים המשתתפים בקרן בבקשה לקבל דיווח חודשי על שינוי הדירוג הבנקאי של לווים שקיבלו הלוואות מהקרן בערבות המדינה. לאחר קבלת הדיווח כאמור תיבחן האפשרות לשלוח את גופי התיאום לביקור באותם עסקים וליצור חיבור בין בעלי העסקים ובין מוקדי השטח לקבלת הצעה על מסלולי הייעוץ המסובסדים. </w:t>
      </w:r>
    </w:p>
    <w:p w:rsidR="00E21817" w:rsidRPr="00CB20FE" w:rsidP="00BB1518">
      <w:pPr>
        <w:spacing w:after="120" w:line="230" w:lineRule="exact"/>
        <w:ind w:left="-2"/>
        <w:jc w:val="both"/>
        <w:rPr>
          <w:rFonts w:cs="FrankRuehl"/>
          <w:sz w:val="20"/>
          <w:szCs w:val="22"/>
          <w:rtl/>
        </w:rPr>
      </w:pPr>
      <w:r w:rsidRPr="00CB20FE">
        <w:rPr>
          <w:rStyle w:val="Heading7Char"/>
          <w:rFonts w:cs="FrankRuehl" w:hint="cs"/>
          <w:sz w:val="20"/>
          <w:szCs w:val="22"/>
          <w:rtl/>
        </w:rPr>
        <w:t>מידע</w:t>
      </w:r>
      <w:r w:rsidRPr="00CB20FE">
        <w:rPr>
          <w:rStyle w:val="Heading7Char"/>
          <w:rFonts w:cs="FrankRuehl"/>
          <w:sz w:val="20"/>
          <w:szCs w:val="22"/>
          <w:rtl/>
        </w:rPr>
        <w:t xml:space="preserve"> </w:t>
      </w:r>
      <w:r w:rsidRPr="00CB20FE">
        <w:rPr>
          <w:rStyle w:val="Heading7Char"/>
          <w:rFonts w:cs="FrankRuehl" w:hint="cs"/>
          <w:sz w:val="20"/>
          <w:szCs w:val="22"/>
          <w:rtl/>
        </w:rPr>
        <w:t>עסקי</w:t>
      </w:r>
      <w:r w:rsidRPr="00CB20FE">
        <w:rPr>
          <w:rStyle w:val="Heading7Char"/>
          <w:rFonts w:cs="FrankRuehl"/>
          <w:sz w:val="20"/>
          <w:szCs w:val="22"/>
          <w:rtl/>
        </w:rPr>
        <w:t xml:space="preserve"> על עסק</w:t>
      </w:r>
      <w:r w:rsidRPr="00CB20FE">
        <w:rPr>
          <w:rStyle w:val="Heading7Char"/>
          <w:rFonts w:cs="FrankRuehl" w:hint="cs"/>
          <w:sz w:val="20"/>
          <w:szCs w:val="22"/>
          <w:rtl/>
        </w:rPr>
        <w:t>ים</w:t>
      </w:r>
      <w:r w:rsidRPr="00CB20FE">
        <w:rPr>
          <w:rStyle w:val="Heading7Char"/>
          <w:rFonts w:cs="FrankRuehl"/>
          <w:sz w:val="20"/>
          <w:szCs w:val="22"/>
          <w:rtl/>
        </w:rPr>
        <w:t xml:space="preserve"> </w:t>
      </w:r>
      <w:r w:rsidRPr="00CB20FE">
        <w:rPr>
          <w:rStyle w:val="Heading7Char"/>
          <w:rFonts w:cs="FrankRuehl" w:hint="cs"/>
          <w:sz w:val="20"/>
          <w:szCs w:val="22"/>
          <w:rtl/>
        </w:rPr>
        <w:t>הלווים</w:t>
      </w:r>
      <w:r w:rsidRPr="00CB20FE">
        <w:rPr>
          <w:rStyle w:val="Heading7Char"/>
          <w:rFonts w:cs="FrankRuehl"/>
          <w:sz w:val="20"/>
          <w:szCs w:val="22"/>
          <w:rtl/>
        </w:rPr>
        <w:t xml:space="preserve"> </w:t>
      </w:r>
      <w:r w:rsidRPr="00CB20FE">
        <w:rPr>
          <w:rStyle w:val="Heading7Char"/>
          <w:rFonts w:cs="FrankRuehl" w:hint="cs"/>
          <w:sz w:val="20"/>
          <w:szCs w:val="22"/>
          <w:rtl/>
        </w:rPr>
        <w:t>מהקרן</w:t>
      </w:r>
      <w:r w:rsidRPr="00CB20FE">
        <w:rPr>
          <w:rStyle w:val="Heading7Char"/>
          <w:rFonts w:cs="FrankRuehl"/>
          <w:b/>
          <w:sz w:val="20"/>
          <w:szCs w:val="22"/>
          <w:rtl/>
        </w:rPr>
        <w:t>:</w:t>
      </w:r>
      <w:r w:rsidRPr="00CB20FE">
        <w:rPr>
          <w:rStyle w:val="Heading7Char"/>
          <w:rFonts w:cs="FrankRuehl"/>
          <w:sz w:val="20"/>
          <w:szCs w:val="22"/>
          <w:rtl/>
        </w:rPr>
        <w:t xml:space="preserve"> </w:t>
      </w:r>
      <w:r w:rsidRPr="00CB20FE">
        <w:rPr>
          <w:rFonts w:cs="FrankRuehl" w:hint="cs"/>
          <w:sz w:val="20"/>
          <w:szCs w:val="22"/>
          <w:rtl/>
        </w:rPr>
        <w:t>בישראל פועלות חברות האוספות באופן חוקי מידע עסקי על עסקים וגם על לקוחותיהם וספקיהם העיקריים תמורת תשלום (להלן - חברות מידע). מידע זה עשוי לשמש כלי יעיל ללימוד הסביבה העסקית של הלווה ויכולתו להחזיר את ההלוואה. ניתן לקבל מהחברות גם מידע בזמן אמת העלול להצביע על קשיים שבהם העסק עלול להיתקל בעתיד (כגון הגשת תביעה נגד</w:t>
      </w:r>
      <w:r w:rsidR="00BB1518">
        <w:rPr>
          <w:rFonts w:cs="FrankRuehl" w:hint="cs"/>
          <w:sz w:val="20"/>
          <w:szCs w:val="22"/>
          <w:rtl/>
        </w:rPr>
        <w:t>ו</w:t>
      </w:r>
      <w:r w:rsidRPr="00CB20FE">
        <w:rPr>
          <w:rFonts w:cs="FrankRuehl" w:hint="cs"/>
          <w:sz w:val="20"/>
          <w:szCs w:val="22"/>
          <w:rtl/>
        </w:rPr>
        <w:t>, המחאות שחזרו ועיקולים). המידע</w:t>
      </w:r>
      <w:r w:rsidRPr="00CB20FE">
        <w:rPr>
          <w:rFonts w:cs="FrankRuehl"/>
          <w:sz w:val="20"/>
          <w:szCs w:val="22"/>
          <w:rtl/>
        </w:rPr>
        <w:t xml:space="preserve"> </w:t>
      </w:r>
      <w:r w:rsidRPr="00CB20FE">
        <w:rPr>
          <w:rFonts w:cs="FrankRuehl" w:hint="cs"/>
          <w:sz w:val="20"/>
          <w:szCs w:val="22"/>
          <w:rtl/>
        </w:rPr>
        <w:t>מ</w:t>
      </w:r>
      <w:r w:rsidRPr="00CB20FE">
        <w:rPr>
          <w:rFonts w:cs="FrankRuehl"/>
          <w:sz w:val="20"/>
          <w:szCs w:val="22"/>
          <w:rtl/>
        </w:rPr>
        <w:t xml:space="preserve">חברות המידע </w:t>
      </w:r>
      <w:r w:rsidRPr="00CB20FE">
        <w:rPr>
          <w:rFonts w:cs="FrankRuehl" w:hint="cs"/>
          <w:sz w:val="20"/>
          <w:szCs w:val="22"/>
          <w:rtl/>
        </w:rPr>
        <w:t>יכול</w:t>
      </w:r>
      <w:r w:rsidRPr="00CB20FE">
        <w:rPr>
          <w:rFonts w:cs="FrankRuehl"/>
          <w:sz w:val="20"/>
          <w:szCs w:val="22"/>
          <w:rtl/>
        </w:rPr>
        <w:t xml:space="preserve"> </w:t>
      </w:r>
      <w:r w:rsidRPr="00CB20FE">
        <w:rPr>
          <w:rFonts w:cs="FrankRuehl" w:hint="cs"/>
          <w:sz w:val="20"/>
          <w:szCs w:val="22"/>
          <w:rtl/>
        </w:rPr>
        <w:t xml:space="preserve">אף </w:t>
      </w:r>
      <w:r w:rsidRPr="00CB20FE">
        <w:rPr>
          <w:rFonts w:cs="FrankRuehl"/>
          <w:sz w:val="20"/>
          <w:szCs w:val="22"/>
          <w:rtl/>
        </w:rPr>
        <w:t xml:space="preserve">לשמש כלי נוסף בבקרה </w:t>
      </w:r>
      <w:r w:rsidRPr="00CB20FE">
        <w:rPr>
          <w:rFonts w:cs="FrankRuehl" w:hint="cs"/>
          <w:sz w:val="20"/>
          <w:szCs w:val="22"/>
          <w:rtl/>
        </w:rPr>
        <w:t xml:space="preserve">שחברות התיאום מקיימות </w:t>
      </w:r>
      <w:r w:rsidRPr="00CB20FE">
        <w:rPr>
          <w:rFonts w:cs="FrankRuehl"/>
          <w:sz w:val="20"/>
          <w:szCs w:val="22"/>
          <w:rtl/>
        </w:rPr>
        <w:t>על המצב העסקי של לווים מהקרן ו</w:t>
      </w:r>
      <w:r w:rsidRPr="00CB20FE">
        <w:rPr>
          <w:rFonts w:cs="FrankRuehl" w:hint="cs"/>
          <w:sz w:val="20"/>
          <w:szCs w:val="22"/>
          <w:rtl/>
        </w:rPr>
        <w:t>אבן</w:t>
      </w:r>
      <w:r w:rsidRPr="00CB20FE">
        <w:rPr>
          <w:rFonts w:cs="FrankRuehl"/>
          <w:sz w:val="20"/>
          <w:szCs w:val="22"/>
          <w:rtl/>
        </w:rPr>
        <w:t xml:space="preserve"> </w:t>
      </w:r>
      <w:r w:rsidRPr="00CB20FE">
        <w:rPr>
          <w:rFonts w:cs="FrankRuehl" w:hint="cs"/>
          <w:sz w:val="20"/>
          <w:szCs w:val="22"/>
          <w:rtl/>
        </w:rPr>
        <w:t>בוחן</w:t>
      </w:r>
      <w:r w:rsidRPr="00CB20FE">
        <w:rPr>
          <w:rFonts w:cs="FrankRuehl"/>
          <w:sz w:val="20"/>
          <w:szCs w:val="22"/>
          <w:rtl/>
        </w:rPr>
        <w:t xml:space="preserve"> </w:t>
      </w:r>
      <w:r w:rsidRPr="00CB20FE">
        <w:rPr>
          <w:rFonts w:cs="FrankRuehl" w:hint="cs"/>
          <w:sz w:val="20"/>
          <w:szCs w:val="22"/>
          <w:rtl/>
        </w:rPr>
        <w:t>עבור</w:t>
      </w:r>
      <w:r w:rsidRPr="00CB20FE">
        <w:rPr>
          <w:rFonts w:cs="FrankRuehl"/>
          <w:sz w:val="20"/>
          <w:szCs w:val="22"/>
          <w:rtl/>
        </w:rPr>
        <w:t xml:space="preserve"> </w:t>
      </w:r>
      <w:r w:rsidRPr="00CB20FE">
        <w:rPr>
          <w:rFonts w:cs="FrankRuehl"/>
          <w:sz w:val="20"/>
          <w:szCs w:val="22"/>
          <w:rtl/>
        </w:rPr>
        <w:t>החשכ"ל</w:t>
      </w:r>
      <w:r w:rsidRPr="00CB20FE">
        <w:rPr>
          <w:rFonts w:cs="FrankRuehl"/>
          <w:sz w:val="20"/>
          <w:szCs w:val="22"/>
          <w:rtl/>
        </w:rPr>
        <w:t xml:space="preserve"> והסוכנות </w:t>
      </w:r>
      <w:r w:rsidRPr="00CB20FE">
        <w:rPr>
          <w:rFonts w:cs="FrankRuehl" w:hint="cs"/>
          <w:sz w:val="20"/>
          <w:szCs w:val="22"/>
          <w:rtl/>
        </w:rPr>
        <w:t>בדבר</w:t>
      </w:r>
      <w:r w:rsidRPr="00CB20FE">
        <w:rPr>
          <w:rFonts w:cs="FrankRuehl"/>
          <w:sz w:val="20"/>
          <w:szCs w:val="22"/>
          <w:rtl/>
        </w:rPr>
        <w:t xml:space="preserve"> הצורך </w:t>
      </w:r>
      <w:r w:rsidRPr="00CB20FE">
        <w:rPr>
          <w:rFonts w:cs="FrankRuehl" w:hint="cs"/>
          <w:sz w:val="20"/>
          <w:szCs w:val="22"/>
          <w:rtl/>
        </w:rPr>
        <w:t>בהתערבות</w:t>
      </w:r>
      <w:r w:rsidRPr="00CB20FE">
        <w:rPr>
          <w:rFonts w:cs="FrankRuehl"/>
          <w:sz w:val="20"/>
          <w:szCs w:val="22"/>
          <w:rtl/>
        </w:rPr>
        <w:t xml:space="preserve"> </w:t>
      </w:r>
      <w:r w:rsidRPr="00CB20FE">
        <w:rPr>
          <w:rFonts w:cs="FrankRuehl" w:hint="cs"/>
          <w:sz w:val="20"/>
          <w:szCs w:val="22"/>
          <w:rtl/>
        </w:rPr>
        <w:t>כדי</w:t>
      </w:r>
      <w:r w:rsidRPr="00CB20FE">
        <w:rPr>
          <w:rFonts w:cs="FrankRuehl"/>
          <w:sz w:val="20"/>
          <w:szCs w:val="22"/>
          <w:rtl/>
        </w:rPr>
        <w:t xml:space="preserve"> </w:t>
      </w:r>
      <w:r w:rsidRPr="00CB20FE">
        <w:rPr>
          <w:rFonts w:cs="FrankRuehl" w:hint="cs"/>
          <w:sz w:val="20"/>
          <w:szCs w:val="22"/>
          <w:rtl/>
        </w:rPr>
        <w:t>למנוע</w:t>
      </w:r>
      <w:r w:rsidRPr="00CB20FE">
        <w:rPr>
          <w:rFonts w:cs="FrankRuehl"/>
          <w:sz w:val="20"/>
          <w:szCs w:val="22"/>
          <w:rtl/>
        </w:rPr>
        <w:t xml:space="preserve"> </w:t>
      </w:r>
      <w:r w:rsidRPr="00CB20FE">
        <w:rPr>
          <w:rFonts w:cs="FrankRuehl" w:hint="cs"/>
          <w:sz w:val="20"/>
          <w:szCs w:val="22"/>
          <w:rtl/>
        </w:rPr>
        <w:t>פיגור</w:t>
      </w:r>
      <w:r w:rsidRPr="00CB20FE">
        <w:rPr>
          <w:rFonts w:cs="FrankRuehl"/>
          <w:sz w:val="20"/>
          <w:szCs w:val="22"/>
          <w:rtl/>
        </w:rPr>
        <w:t xml:space="preserve"> </w:t>
      </w:r>
      <w:r w:rsidRPr="00CB20FE">
        <w:rPr>
          <w:rFonts w:cs="FrankRuehl" w:hint="cs"/>
          <w:sz w:val="20"/>
          <w:szCs w:val="22"/>
          <w:rtl/>
        </w:rPr>
        <w:t>בהחזר</w:t>
      </w:r>
      <w:r w:rsidRPr="00CB20FE">
        <w:rPr>
          <w:rFonts w:cs="FrankRuehl"/>
          <w:sz w:val="20"/>
          <w:szCs w:val="22"/>
          <w:rtl/>
        </w:rPr>
        <w:t xml:space="preserve"> </w:t>
      </w:r>
      <w:r w:rsidRPr="00CB20FE">
        <w:rPr>
          <w:rFonts w:cs="FrankRuehl" w:hint="cs"/>
          <w:sz w:val="20"/>
          <w:szCs w:val="22"/>
          <w:rtl/>
        </w:rPr>
        <w:t>החוב</w:t>
      </w:r>
      <w:r w:rsidRPr="00CB20FE">
        <w:rPr>
          <w:rFonts w:cs="FrankRuehl"/>
          <w:sz w:val="20"/>
          <w:szCs w:val="22"/>
          <w:rtl/>
        </w:rPr>
        <w:t xml:space="preserve">, </w:t>
      </w:r>
      <w:r w:rsidRPr="00CB20FE">
        <w:rPr>
          <w:rFonts w:cs="FrankRuehl" w:hint="cs"/>
          <w:sz w:val="20"/>
          <w:szCs w:val="22"/>
          <w:rtl/>
        </w:rPr>
        <w:t>סגירה של</w:t>
      </w:r>
      <w:r w:rsidRPr="00CB20FE">
        <w:rPr>
          <w:rFonts w:cs="FrankRuehl"/>
          <w:sz w:val="20"/>
          <w:szCs w:val="22"/>
          <w:rtl/>
        </w:rPr>
        <w:t xml:space="preserve"> </w:t>
      </w:r>
      <w:r w:rsidRPr="00CB20FE">
        <w:rPr>
          <w:rFonts w:cs="FrankRuehl" w:hint="cs"/>
          <w:sz w:val="20"/>
          <w:szCs w:val="22"/>
          <w:rtl/>
        </w:rPr>
        <w:t>העסק</w:t>
      </w:r>
      <w:r w:rsidRPr="00CB20FE">
        <w:rPr>
          <w:rFonts w:cs="FrankRuehl"/>
          <w:sz w:val="20"/>
          <w:szCs w:val="22"/>
          <w:rtl/>
        </w:rPr>
        <w:t xml:space="preserve"> </w:t>
      </w:r>
      <w:r w:rsidRPr="00CB20FE">
        <w:rPr>
          <w:rFonts w:cs="FrankRuehl" w:hint="cs"/>
          <w:sz w:val="20"/>
          <w:szCs w:val="22"/>
          <w:rtl/>
        </w:rPr>
        <w:t>וחילוט</w:t>
      </w:r>
      <w:r w:rsidRPr="00CB20FE">
        <w:rPr>
          <w:rFonts w:cs="FrankRuehl"/>
          <w:sz w:val="20"/>
          <w:szCs w:val="22"/>
          <w:rtl/>
        </w:rPr>
        <w:t xml:space="preserve"> </w:t>
      </w:r>
      <w:r w:rsidRPr="00CB20FE">
        <w:rPr>
          <w:rFonts w:cs="FrankRuehl" w:hint="cs"/>
          <w:sz w:val="20"/>
          <w:szCs w:val="22"/>
          <w:rtl/>
        </w:rPr>
        <w:t>הערבות</w:t>
      </w:r>
      <w:r w:rsidRPr="00CB20FE">
        <w:rPr>
          <w:rFonts w:cs="FrankRuehl"/>
          <w:sz w:val="20"/>
          <w:szCs w:val="22"/>
          <w:rtl/>
        </w:rPr>
        <w:t xml:space="preserve">. </w:t>
      </w:r>
    </w:p>
    <w:p w:rsidR="00E21817" w:rsidRPr="00CB20FE" w:rsidP="00484EEB">
      <w:pPr>
        <w:spacing w:after="240" w:line="230" w:lineRule="exact"/>
        <w:jc w:val="both"/>
        <w:rPr>
          <w:rFonts w:cs="FrankRuehl"/>
          <w:sz w:val="20"/>
          <w:szCs w:val="22"/>
          <w:rtl/>
        </w:rPr>
      </w:pPr>
      <w:r w:rsidRPr="00CB20FE">
        <w:rPr>
          <w:rFonts w:cs="FrankRuehl" w:hint="cs"/>
          <w:sz w:val="20"/>
          <w:szCs w:val="22"/>
          <w:rtl/>
        </w:rPr>
        <w:t>בהסכם</w:t>
      </w:r>
      <w:r w:rsidRPr="00CB20FE">
        <w:rPr>
          <w:rFonts w:cs="FrankRuehl"/>
          <w:sz w:val="20"/>
          <w:szCs w:val="22"/>
          <w:rtl/>
        </w:rPr>
        <w:t xml:space="preserve"> </w:t>
      </w:r>
      <w:r w:rsidRPr="00CB20FE">
        <w:rPr>
          <w:rFonts w:cs="FrankRuehl" w:hint="cs"/>
          <w:sz w:val="20"/>
          <w:szCs w:val="22"/>
          <w:rtl/>
        </w:rPr>
        <w:t>שבין</w:t>
      </w:r>
      <w:r w:rsidRPr="00CB20FE">
        <w:rPr>
          <w:rFonts w:cs="FrankRuehl"/>
          <w:sz w:val="20"/>
          <w:szCs w:val="22"/>
          <w:rtl/>
        </w:rPr>
        <w:t xml:space="preserve"> </w:t>
      </w:r>
      <w:r w:rsidRPr="00CB20FE">
        <w:rPr>
          <w:rFonts w:cs="FrankRuehl" w:hint="cs"/>
          <w:sz w:val="20"/>
          <w:szCs w:val="22"/>
          <w:rtl/>
        </w:rPr>
        <w:t>החשכ</w:t>
      </w:r>
      <w:r w:rsidRPr="00CB20FE">
        <w:rPr>
          <w:rFonts w:cs="FrankRuehl"/>
          <w:sz w:val="20"/>
          <w:szCs w:val="22"/>
          <w:rtl/>
        </w:rPr>
        <w:t>"ל</w:t>
      </w:r>
      <w:r w:rsidRPr="00CB20FE">
        <w:rPr>
          <w:rFonts w:cs="FrankRuehl"/>
          <w:sz w:val="20"/>
          <w:szCs w:val="22"/>
          <w:rtl/>
        </w:rPr>
        <w:t xml:space="preserve"> </w:t>
      </w:r>
      <w:r w:rsidRPr="00CB20FE">
        <w:rPr>
          <w:rFonts w:cs="FrankRuehl" w:hint="cs"/>
          <w:sz w:val="20"/>
          <w:szCs w:val="22"/>
          <w:rtl/>
        </w:rPr>
        <w:t>לגופי</w:t>
      </w:r>
      <w:r w:rsidRPr="00CB20FE">
        <w:rPr>
          <w:rFonts w:cs="FrankRuehl"/>
          <w:sz w:val="20"/>
          <w:szCs w:val="22"/>
          <w:rtl/>
        </w:rPr>
        <w:t xml:space="preserve"> התיאום </w:t>
      </w:r>
      <w:r w:rsidRPr="00CB20FE">
        <w:rPr>
          <w:rFonts w:cs="FrankRuehl" w:hint="cs"/>
          <w:sz w:val="20"/>
          <w:szCs w:val="22"/>
          <w:rtl/>
        </w:rPr>
        <w:t>לא</w:t>
      </w:r>
      <w:r w:rsidRPr="00CB20FE">
        <w:rPr>
          <w:rFonts w:cs="FrankRuehl"/>
          <w:sz w:val="20"/>
          <w:szCs w:val="22"/>
          <w:rtl/>
        </w:rPr>
        <w:t xml:space="preserve"> הוטלה חובה על </w:t>
      </w:r>
      <w:r w:rsidRPr="00CB20FE">
        <w:rPr>
          <w:rFonts w:cs="FrankRuehl" w:hint="cs"/>
          <w:sz w:val="20"/>
          <w:szCs w:val="22"/>
          <w:rtl/>
        </w:rPr>
        <w:t>גופי</w:t>
      </w:r>
      <w:r w:rsidRPr="00CB20FE">
        <w:rPr>
          <w:rFonts w:cs="FrankRuehl"/>
          <w:sz w:val="20"/>
          <w:szCs w:val="22"/>
          <w:rtl/>
        </w:rPr>
        <w:t xml:space="preserve"> התיאום </w:t>
      </w:r>
      <w:r w:rsidRPr="00CB20FE">
        <w:rPr>
          <w:rFonts w:cs="FrankRuehl" w:hint="cs"/>
          <w:sz w:val="20"/>
          <w:szCs w:val="22"/>
          <w:rtl/>
        </w:rPr>
        <w:t>לבצע</w:t>
      </w:r>
      <w:r w:rsidRPr="00CB20FE">
        <w:rPr>
          <w:rFonts w:cs="FrankRuehl"/>
          <w:sz w:val="20"/>
          <w:szCs w:val="22"/>
          <w:rtl/>
        </w:rPr>
        <w:t xml:space="preserve"> </w:t>
      </w:r>
      <w:r w:rsidRPr="00CB20FE">
        <w:rPr>
          <w:rFonts w:cs="FrankRuehl" w:hint="cs"/>
          <w:sz w:val="20"/>
          <w:szCs w:val="22"/>
          <w:rtl/>
        </w:rPr>
        <w:t>מעקב</w:t>
      </w:r>
      <w:r w:rsidRPr="00CB20FE">
        <w:rPr>
          <w:rFonts w:cs="FrankRuehl"/>
          <w:sz w:val="20"/>
          <w:szCs w:val="22"/>
          <w:rtl/>
        </w:rPr>
        <w:t xml:space="preserve"> </w:t>
      </w:r>
      <w:r w:rsidRPr="00CB20FE">
        <w:rPr>
          <w:rFonts w:cs="FrankRuehl" w:hint="cs"/>
          <w:sz w:val="20"/>
          <w:szCs w:val="22"/>
          <w:rtl/>
        </w:rPr>
        <w:t>אחר</w:t>
      </w:r>
      <w:r w:rsidRPr="00CB20FE">
        <w:rPr>
          <w:rFonts w:cs="FrankRuehl"/>
          <w:sz w:val="20"/>
          <w:szCs w:val="22"/>
          <w:rtl/>
        </w:rPr>
        <w:t xml:space="preserve"> </w:t>
      </w:r>
      <w:r w:rsidRPr="00CB20FE">
        <w:rPr>
          <w:rFonts w:cs="FrankRuehl" w:hint="cs"/>
          <w:sz w:val="20"/>
          <w:szCs w:val="22"/>
          <w:rtl/>
        </w:rPr>
        <w:t>כל</w:t>
      </w:r>
      <w:r w:rsidRPr="00CB20FE">
        <w:rPr>
          <w:rFonts w:cs="FrankRuehl"/>
          <w:sz w:val="20"/>
          <w:szCs w:val="22"/>
          <w:rtl/>
        </w:rPr>
        <w:t xml:space="preserve"> </w:t>
      </w:r>
      <w:r w:rsidRPr="00CB20FE">
        <w:rPr>
          <w:rFonts w:cs="FrankRuehl" w:hint="cs"/>
          <w:sz w:val="20"/>
          <w:szCs w:val="22"/>
          <w:rtl/>
        </w:rPr>
        <w:t>הלווים</w:t>
      </w:r>
      <w:r w:rsidRPr="00CB20FE">
        <w:rPr>
          <w:rFonts w:cs="FrankRuehl"/>
          <w:sz w:val="20"/>
          <w:szCs w:val="22"/>
          <w:rtl/>
        </w:rPr>
        <w:t xml:space="preserve"> </w:t>
      </w:r>
      <w:r w:rsidRPr="00CB20FE">
        <w:rPr>
          <w:rFonts w:cs="FrankRuehl" w:hint="cs"/>
          <w:sz w:val="20"/>
          <w:szCs w:val="22"/>
          <w:rtl/>
        </w:rPr>
        <w:t>באמצעות</w:t>
      </w:r>
      <w:r w:rsidRPr="00CB20FE">
        <w:rPr>
          <w:rFonts w:cs="FrankRuehl"/>
          <w:sz w:val="20"/>
          <w:szCs w:val="22"/>
          <w:rtl/>
        </w:rPr>
        <w:t xml:space="preserve"> </w:t>
      </w:r>
      <w:r w:rsidRPr="00CB20FE">
        <w:rPr>
          <w:rFonts w:cs="FrankRuehl" w:hint="cs"/>
          <w:sz w:val="20"/>
          <w:szCs w:val="22"/>
          <w:rtl/>
        </w:rPr>
        <w:t>חברות</w:t>
      </w:r>
      <w:r w:rsidRPr="00CB20FE">
        <w:rPr>
          <w:rFonts w:cs="FrankRuehl"/>
          <w:sz w:val="20"/>
          <w:szCs w:val="22"/>
          <w:rtl/>
        </w:rPr>
        <w:t xml:space="preserve"> </w:t>
      </w:r>
      <w:r w:rsidRPr="00CB20FE">
        <w:rPr>
          <w:rFonts w:cs="FrankRuehl" w:hint="cs"/>
          <w:sz w:val="20"/>
          <w:szCs w:val="22"/>
          <w:rtl/>
        </w:rPr>
        <w:t xml:space="preserve">מידע. יוצא אפוא </w:t>
      </w:r>
      <w:r w:rsidRPr="00CB20FE">
        <w:rPr>
          <w:rFonts w:cs="FrankRuehl" w:hint="cs"/>
          <w:sz w:val="20"/>
          <w:szCs w:val="22"/>
          <w:rtl/>
        </w:rPr>
        <w:t>שלחשכ"ל</w:t>
      </w:r>
      <w:r w:rsidRPr="00CB20FE">
        <w:rPr>
          <w:rFonts w:cs="FrankRuehl" w:hint="cs"/>
          <w:sz w:val="20"/>
          <w:szCs w:val="22"/>
          <w:rtl/>
        </w:rPr>
        <w:t xml:space="preserve"> ולסוכנות יש מידע חלקי בלבד מבדיקות </w:t>
      </w:r>
      <w:r w:rsidRPr="00CB20FE">
        <w:rPr>
          <w:rFonts w:cs="FrankRuehl" w:hint="cs"/>
          <w:sz w:val="20"/>
          <w:szCs w:val="22"/>
          <w:rtl/>
        </w:rPr>
        <w:t>המעקב שמקיימים גופי התיאום אחר כ-20% מהלווים;</w:t>
      </w:r>
      <w:r w:rsidRPr="00CB20FE">
        <w:rPr>
          <w:rFonts w:cs="FrankRuehl" w:hint="cs"/>
          <w:color w:val="000000"/>
          <w:sz w:val="20"/>
          <w:szCs w:val="22"/>
          <w:rtl/>
          <w:lang w:val="he-IL" w:eastAsia="he-IL"/>
        </w:rPr>
        <w:t xml:space="preserve"> בדיקת המעקב הראשונה</w:t>
      </w:r>
      <w:r w:rsidRPr="00CB20FE">
        <w:rPr>
          <w:rFonts w:cs="FrankRuehl"/>
          <w:color w:val="000000"/>
          <w:sz w:val="20"/>
          <w:szCs w:val="22"/>
          <w:rtl/>
          <w:lang w:val="he-IL" w:eastAsia="he-IL"/>
        </w:rPr>
        <w:t xml:space="preserve"> </w:t>
      </w:r>
      <w:r w:rsidRPr="00CB20FE">
        <w:rPr>
          <w:rFonts w:cs="FrankRuehl" w:hint="cs"/>
          <w:color w:val="000000"/>
          <w:sz w:val="20"/>
          <w:szCs w:val="22"/>
          <w:rtl/>
          <w:lang w:val="he-IL" w:eastAsia="he-IL"/>
        </w:rPr>
        <w:t xml:space="preserve">נעשית </w:t>
      </w:r>
      <w:r w:rsidRPr="00CB20FE">
        <w:rPr>
          <w:rFonts w:cs="FrankRuehl"/>
          <w:color w:val="000000"/>
          <w:sz w:val="20"/>
          <w:szCs w:val="22"/>
          <w:rtl/>
          <w:lang w:val="he-IL" w:eastAsia="he-IL"/>
        </w:rPr>
        <w:t>חצי שנה לאחר מועד העמדת ההלוואה,</w:t>
      </w:r>
      <w:r w:rsidRPr="00CB20FE">
        <w:rPr>
          <w:rFonts w:cs="FrankRuehl" w:hint="cs"/>
          <w:color w:val="000000"/>
          <w:sz w:val="20"/>
          <w:szCs w:val="22"/>
          <w:rtl/>
          <w:lang w:val="he-IL" w:eastAsia="he-IL"/>
        </w:rPr>
        <w:t xml:space="preserve"> וכן מתקיימים</w:t>
      </w:r>
      <w:r w:rsidRPr="00CB20FE">
        <w:rPr>
          <w:rFonts w:cs="FrankRuehl"/>
          <w:color w:val="000000"/>
          <w:sz w:val="20"/>
          <w:szCs w:val="22"/>
          <w:rtl/>
          <w:lang w:val="he-IL" w:eastAsia="he-IL"/>
        </w:rPr>
        <w:t xml:space="preserve"> עד שלושה ביקורים חוזרים בעסק </w:t>
      </w:r>
      <w:r w:rsidRPr="00CB20FE">
        <w:rPr>
          <w:rFonts w:cs="FrankRuehl" w:hint="cs"/>
          <w:color w:val="000000"/>
          <w:sz w:val="20"/>
          <w:szCs w:val="22"/>
          <w:rtl/>
          <w:lang w:val="he-IL" w:eastAsia="he-IL"/>
        </w:rPr>
        <w:t>בהפרש</w:t>
      </w:r>
      <w:r w:rsidRPr="00CB20FE">
        <w:rPr>
          <w:rFonts w:cs="FrankRuehl"/>
          <w:color w:val="000000"/>
          <w:sz w:val="20"/>
          <w:szCs w:val="22"/>
          <w:rtl/>
          <w:lang w:val="he-IL" w:eastAsia="he-IL"/>
        </w:rPr>
        <w:t xml:space="preserve"> של חצי שנה</w:t>
      </w:r>
      <w:r w:rsidRPr="00CB20FE">
        <w:rPr>
          <w:rFonts w:cs="FrankRuehl" w:hint="cs"/>
          <w:color w:val="000000"/>
          <w:sz w:val="20"/>
          <w:szCs w:val="22"/>
          <w:rtl/>
          <w:lang w:val="he-IL" w:eastAsia="he-IL"/>
        </w:rPr>
        <w:t xml:space="preserve"> זה מזה</w:t>
      </w:r>
      <w:r w:rsidRPr="00CB20FE">
        <w:rPr>
          <w:rFonts w:cs="FrankRuehl"/>
          <w:color w:val="000000"/>
          <w:sz w:val="20"/>
          <w:szCs w:val="22"/>
          <w:rtl/>
          <w:lang w:val="he-IL" w:eastAsia="he-IL"/>
        </w:rPr>
        <w:t>.</w:t>
      </w:r>
      <w:r w:rsidRPr="00CB20FE">
        <w:rPr>
          <w:rFonts w:cs="FrankRuehl" w:hint="cs"/>
          <w:sz w:val="20"/>
          <w:szCs w:val="22"/>
          <w:rtl/>
        </w:rPr>
        <w:t xml:space="preserve"> אין מעקב מסודר אחר שאר הלווים. </w:t>
      </w:r>
    </w:p>
    <w:p w:rsidR="00E21817" w:rsidRPr="00CB20FE" w:rsidP="00484EEB">
      <w:pPr>
        <w:pStyle w:val="RESHET"/>
        <w:rPr>
          <w:rtl/>
        </w:rPr>
      </w:pPr>
      <w:r w:rsidRPr="00CB20FE">
        <w:rPr>
          <w:rFonts w:hint="cs"/>
          <w:rtl/>
        </w:rPr>
        <w:t xml:space="preserve">לדעת משרד מבקר המדינה, מאחר שבכ-7% מ-20,000 ההלוואות שנתנה הקרן, בשווי של יותר מ-200 מיליון ש"ח, חולטו ערבויות המדינה או נפתחו הליכי חילוט, על </w:t>
      </w:r>
      <w:r w:rsidRPr="00CB20FE">
        <w:rPr>
          <w:rFonts w:hint="cs"/>
          <w:rtl/>
        </w:rPr>
        <w:t>החשכ"ל</w:t>
      </w:r>
      <w:r w:rsidRPr="00CB20FE">
        <w:rPr>
          <w:rFonts w:hint="cs"/>
          <w:rtl/>
        </w:rPr>
        <w:t xml:space="preserve"> והסוכנות להדק את הפיקוח על הלווים. עליהם לפעול להתאמת המערכת הממוחשבת הקיימת, לרכז את המידע העסקי על עסקים המקבלים הלוואות מהקרן, וכן לשקול את האפשרות של התחברות לשירות של חברת מידע לאחר בחינת העלות מול התועלת. </w:t>
      </w:r>
    </w:p>
    <w:p w:rsidR="00E21817" w:rsidRPr="00CB20FE" w:rsidP="00484EEB">
      <w:pPr>
        <w:spacing w:before="180" w:after="240" w:line="230" w:lineRule="exact"/>
        <w:ind w:left="-2"/>
        <w:jc w:val="both"/>
        <w:rPr>
          <w:rFonts w:cs="FrankRuehl"/>
          <w:sz w:val="20"/>
          <w:szCs w:val="22"/>
          <w:rtl/>
        </w:rPr>
      </w:pPr>
      <w:r w:rsidRPr="00CB20FE">
        <w:rPr>
          <w:rFonts w:cs="FrankRuehl" w:hint="cs"/>
          <w:sz w:val="20"/>
          <w:szCs w:val="22"/>
          <w:rtl/>
        </w:rPr>
        <w:t xml:space="preserve">בתשובת </w:t>
      </w:r>
      <w:r w:rsidRPr="00CB20FE">
        <w:rPr>
          <w:rFonts w:cs="FrankRuehl" w:hint="cs"/>
          <w:sz w:val="20"/>
          <w:szCs w:val="22"/>
          <w:rtl/>
        </w:rPr>
        <w:t>החשכ"ל</w:t>
      </w:r>
      <w:r w:rsidRPr="00CB20FE">
        <w:rPr>
          <w:rFonts w:cs="FrankRuehl" w:hint="cs"/>
          <w:sz w:val="20"/>
          <w:szCs w:val="22"/>
          <w:rtl/>
        </w:rPr>
        <w:t xml:space="preserve"> נאמר כי הגופים המתאמים שהתחילו את עבודתם בנובמבר 2014, לאחר מועד סיום הביקורת בנושא, מנויים על שירותי מידע צרכני ועסקי של חברת מידע ומשתמשים במידע זה בעת בדיקת הבקשה להלוואה.</w:t>
      </w:r>
    </w:p>
    <w:p w:rsidR="00E21817" w:rsidRPr="00CB20FE" w:rsidP="00484EEB">
      <w:pPr>
        <w:pStyle w:val="RESHET"/>
        <w:rPr>
          <w:rtl/>
        </w:rPr>
      </w:pPr>
      <w:r w:rsidRPr="00CB20FE">
        <w:rPr>
          <w:rFonts w:hint="cs"/>
          <w:rtl/>
        </w:rPr>
        <w:t>משרד</w:t>
      </w:r>
      <w:r w:rsidRPr="00CB20FE">
        <w:rPr>
          <w:rtl/>
        </w:rPr>
        <w:t xml:space="preserve"> מבקר המדינה מעיר </w:t>
      </w:r>
      <w:r w:rsidRPr="00CB20FE">
        <w:rPr>
          <w:rtl/>
        </w:rPr>
        <w:t>לחשכ"ל</w:t>
      </w:r>
      <w:r w:rsidRPr="00CB20FE">
        <w:rPr>
          <w:rtl/>
        </w:rPr>
        <w:t xml:space="preserve"> שעליו לשקול לדרוש מגופי התיאום להמשיך את ההתקשרות עם חברת המידע גם לאחר מתן ההלוואה כדי לעקוב אחר פעולותיהם</w:t>
      </w:r>
      <w:r w:rsidRPr="00CB20FE">
        <w:rPr>
          <w:rFonts w:hint="cs"/>
          <w:rtl/>
        </w:rPr>
        <w:t xml:space="preserve"> של הלווים מהקרן</w:t>
      </w:r>
      <w:r w:rsidRPr="00CB20FE">
        <w:rPr>
          <w:rtl/>
        </w:rPr>
        <w:t xml:space="preserve">. </w:t>
      </w:r>
    </w:p>
    <w:p w:rsidR="00E21817" w:rsidRPr="00CB20FE" w:rsidP="00484EEB">
      <w:pPr>
        <w:spacing w:before="180" w:after="120" w:line="230" w:lineRule="exact"/>
        <w:ind w:left="-2"/>
        <w:jc w:val="both"/>
        <w:rPr>
          <w:rFonts w:cs="FrankRuehl"/>
          <w:sz w:val="20"/>
          <w:szCs w:val="22"/>
          <w:rtl/>
        </w:rPr>
      </w:pPr>
      <w:r w:rsidRPr="00CB20FE">
        <w:rPr>
          <w:rFonts w:cs="FrankRuehl"/>
          <w:sz w:val="20"/>
          <w:szCs w:val="22"/>
          <w:rtl/>
        </w:rPr>
        <w:t xml:space="preserve">משרד הכלכלה </w:t>
      </w:r>
      <w:r w:rsidRPr="00CB20FE">
        <w:rPr>
          <w:rFonts w:cs="FrankRuehl" w:hint="cs"/>
          <w:sz w:val="20"/>
          <w:szCs w:val="22"/>
          <w:rtl/>
        </w:rPr>
        <w:t>מסר בתשובתו</w:t>
      </w:r>
      <w:r w:rsidRPr="00CB20FE">
        <w:rPr>
          <w:rFonts w:cs="FrankRuehl"/>
          <w:sz w:val="20"/>
          <w:szCs w:val="22"/>
          <w:rtl/>
        </w:rPr>
        <w:t xml:space="preserve"> כי הסוכנות</w:t>
      </w:r>
      <w:r w:rsidRPr="00CB20FE">
        <w:rPr>
          <w:rFonts w:cs="FrankRuehl" w:hint="cs"/>
          <w:sz w:val="20"/>
          <w:szCs w:val="22"/>
          <w:rtl/>
        </w:rPr>
        <w:t xml:space="preserve"> תפעל עם</w:t>
      </w:r>
      <w:r w:rsidRPr="00CB20FE">
        <w:rPr>
          <w:rFonts w:cs="FrankRuehl"/>
          <w:sz w:val="20"/>
          <w:szCs w:val="22"/>
          <w:rtl/>
        </w:rPr>
        <w:t xml:space="preserve"> שותפי</w:t>
      </w:r>
      <w:r w:rsidRPr="00CB20FE">
        <w:rPr>
          <w:rFonts w:cs="FrankRuehl" w:hint="cs"/>
          <w:sz w:val="20"/>
          <w:szCs w:val="22"/>
          <w:rtl/>
        </w:rPr>
        <w:t>ה</w:t>
      </w:r>
      <w:r w:rsidRPr="00CB20FE">
        <w:rPr>
          <w:rFonts w:cs="FrankRuehl"/>
          <w:sz w:val="20"/>
          <w:szCs w:val="22"/>
          <w:rtl/>
        </w:rPr>
        <w:t xml:space="preserve"> </w:t>
      </w:r>
      <w:r w:rsidRPr="00CB20FE">
        <w:rPr>
          <w:rFonts w:cs="FrankRuehl" w:hint="cs"/>
          <w:sz w:val="20"/>
          <w:szCs w:val="22"/>
          <w:rtl/>
        </w:rPr>
        <w:t>ל</w:t>
      </w:r>
      <w:r w:rsidRPr="00CB20FE">
        <w:rPr>
          <w:rFonts w:cs="FrankRuehl"/>
          <w:sz w:val="20"/>
          <w:szCs w:val="22"/>
          <w:rtl/>
        </w:rPr>
        <w:t>הפע</w:t>
      </w:r>
      <w:r w:rsidRPr="00CB20FE">
        <w:rPr>
          <w:rFonts w:cs="FrankRuehl" w:hint="cs"/>
          <w:sz w:val="20"/>
          <w:szCs w:val="22"/>
          <w:rtl/>
        </w:rPr>
        <w:t>לת</w:t>
      </w:r>
      <w:r w:rsidRPr="00CB20FE">
        <w:rPr>
          <w:rFonts w:cs="FrankRuehl"/>
          <w:sz w:val="20"/>
          <w:szCs w:val="22"/>
          <w:rtl/>
        </w:rPr>
        <w:t xml:space="preserve"> הקרן לקדם בדיקה מקצועית של הנושא </w:t>
      </w:r>
      <w:r w:rsidRPr="00CB20FE">
        <w:rPr>
          <w:rFonts w:cs="FrankRuehl" w:hint="cs"/>
          <w:sz w:val="20"/>
          <w:szCs w:val="22"/>
          <w:rtl/>
        </w:rPr>
        <w:t>כדי</w:t>
      </w:r>
      <w:r w:rsidRPr="00CB20FE">
        <w:rPr>
          <w:rFonts w:cs="FrankRuehl"/>
          <w:sz w:val="20"/>
          <w:szCs w:val="22"/>
          <w:rtl/>
        </w:rPr>
        <w:t xml:space="preserve"> לי</w:t>
      </w:r>
      <w:r w:rsidRPr="00CB20FE">
        <w:rPr>
          <w:rFonts w:cs="FrankRuehl" w:hint="cs"/>
          <w:sz w:val="20"/>
          <w:szCs w:val="22"/>
          <w:rtl/>
        </w:rPr>
        <w:t>י</w:t>
      </w:r>
      <w:r w:rsidRPr="00CB20FE">
        <w:rPr>
          <w:rFonts w:cs="FrankRuehl"/>
          <w:sz w:val="20"/>
          <w:szCs w:val="22"/>
          <w:rtl/>
        </w:rPr>
        <w:t xml:space="preserve">צר מנגנוני דיווח על בסיס ההתקשרויות הקיימות. </w:t>
      </w:r>
    </w:p>
    <w:p w:rsidR="00E21817" w:rsidRPr="00CB20FE" w:rsidP="00484EEB">
      <w:pPr>
        <w:spacing w:after="240" w:line="230" w:lineRule="exact"/>
        <w:ind w:left="-2"/>
        <w:jc w:val="both"/>
        <w:rPr>
          <w:rFonts w:cs="FrankRuehl"/>
          <w:sz w:val="20"/>
          <w:szCs w:val="22"/>
          <w:rtl/>
        </w:rPr>
      </w:pPr>
      <w:r w:rsidRPr="00CB20FE">
        <w:rPr>
          <w:rStyle w:val="Heading7Char"/>
          <w:rFonts w:cs="FrankRuehl" w:hint="cs"/>
          <w:sz w:val="20"/>
          <w:szCs w:val="22"/>
          <w:rtl/>
        </w:rPr>
        <w:t>הגדלת</w:t>
      </w:r>
      <w:r w:rsidRPr="00CB20FE">
        <w:rPr>
          <w:rStyle w:val="Heading7Char"/>
          <w:rFonts w:cs="FrankRuehl"/>
          <w:sz w:val="20"/>
          <w:szCs w:val="22"/>
          <w:rtl/>
        </w:rPr>
        <w:t xml:space="preserve"> מקורות </w:t>
      </w:r>
      <w:r w:rsidRPr="00CB20FE">
        <w:rPr>
          <w:rStyle w:val="Heading7Char"/>
          <w:rFonts w:cs="FrankRuehl" w:hint="cs"/>
          <w:sz w:val="20"/>
          <w:szCs w:val="22"/>
          <w:rtl/>
        </w:rPr>
        <w:t>המימון</w:t>
      </w:r>
      <w:r w:rsidRPr="00CB20FE">
        <w:rPr>
          <w:rStyle w:val="Heading7Char"/>
          <w:rFonts w:cs="FrankRuehl"/>
          <w:sz w:val="20"/>
          <w:szCs w:val="22"/>
          <w:rtl/>
        </w:rPr>
        <w:t xml:space="preserve"> </w:t>
      </w:r>
      <w:r w:rsidRPr="00CB20FE">
        <w:rPr>
          <w:rStyle w:val="Heading7Char"/>
          <w:rFonts w:cs="FrankRuehl" w:hint="cs"/>
          <w:sz w:val="20"/>
          <w:szCs w:val="22"/>
          <w:rtl/>
        </w:rPr>
        <w:t>לקרן</w:t>
      </w:r>
      <w:r w:rsidRPr="00CB20FE">
        <w:rPr>
          <w:rFonts w:cs="FrankRuehl"/>
          <w:b/>
          <w:bCs/>
          <w:sz w:val="20"/>
          <w:szCs w:val="22"/>
          <w:rtl/>
        </w:rPr>
        <w:t>:</w:t>
      </w:r>
      <w:r w:rsidRPr="00CB20FE">
        <w:rPr>
          <w:rFonts w:cs="FrankRuehl"/>
          <w:sz w:val="20"/>
          <w:szCs w:val="22"/>
          <w:rtl/>
        </w:rPr>
        <w:t xml:space="preserve"> </w:t>
      </w:r>
      <w:r w:rsidRPr="00CB20FE">
        <w:rPr>
          <w:rFonts w:cs="FrankRuehl" w:hint="cs"/>
          <w:sz w:val="20"/>
          <w:szCs w:val="22"/>
          <w:rtl/>
        </w:rPr>
        <w:t xml:space="preserve">מכרזי </w:t>
      </w:r>
      <w:r w:rsidRPr="00CB20FE">
        <w:rPr>
          <w:rFonts w:cs="FrankRuehl" w:hint="cs"/>
          <w:sz w:val="20"/>
          <w:szCs w:val="22"/>
          <w:rtl/>
        </w:rPr>
        <w:t>החשכ"ל</w:t>
      </w:r>
      <w:r w:rsidRPr="00CB20FE">
        <w:rPr>
          <w:rFonts w:cs="FrankRuehl" w:hint="cs"/>
          <w:sz w:val="20"/>
          <w:szCs w:val="22"/>
          <w:rtl/>
        </w:rPr>
        <w:t xml:space="preserve"> להשתתפות במתן הלוואות מטעם הקרן מיועדים לבנקים בלבד. במשק הישראלי יש מוסדות פיננסיים נוספים, חוץ-בנקאיים, כגון קרנות פנסיה, קופות גמל, חברות ביטוח וחברות מימון, העשויים להיות מעוניינים במתן הלוואות לעסקים קטנים ובינוניים. פתיחת מכרזי </w:t>
      </w:r>
      <w:r w:rsidRPr="00CB20FE">
        <w:rPr>
          <w:rFonts w:cs="FrankRuehl" w:hint="cs"/>
          <w:sz w:val="20"/>
          <w:szCs w:val="22"/>
          <w:rtl/>
        </w:rPr>
        <w:t>החשכ"ל</w:t>
      </w:r>
      <w:r w:rsidRPr="00CB20FE">
        <w:rPr>
          <w:rFonts w:cs="FrankRuehl" w:hint="cs"/>
          <w:sz w:val="20"/>
          <w:szCs w:val="22"/>
          <w:rtl/>
        </w:rPr>
        <w:t xml:space="preserve"> למתן הלוואות למוסדות פיננסיים חוץ-בנקאיים עשויה לפתוח ערוץ נוסף למימון עבור עסקים קטנים. </w:t>
      </w:r>
    </w:p>
    <w:p w:rsidR="00E21817" w:rsidRPr="00CB20FE" w:rsidP="00484EEB">
      <w:pPr>
        <w:pStyle w:val="RESHET"/>
        <w:rPr>
          <w:rtl/>
        </w:rPr>
      </w:pPr>
      <w:r w:rsidRPr="00CB20FE">
        <w:rPr>
          <w:rFonts w:hint="cs"/>
          <w:rtl/>
        </w:rPr>
        <w:t>לדעת</w:t>
      </w:r>
      <w:r w:rsidRPr="00CB20FE">
        <w:rPr>
          <w:rtl/>
        </w:rPr>
        <w:t xml:space="preserve"> משרד מבקר המדינה, </w:t>
      </w:r>
      <w:r w:rsidRPr="00CB20FE">
        <w:rPr>
          <w:rFonts w:hint="cs"/>
          <w:rtl/>
        </w:rPr>
        <w:t>לאור</w:t>
      </w:r>
      <w:r w:rsidRPr="00CB20FE">
        <w:rPr>
          <w:rtl/>
        </w:rPr>
        <w:t xml:space="preserve"> </w:t>
      </w:r>
      <w:r w:rsidRPr="00CB20FE">
        <w:rPr>
          <w:rFonts w:hint="cs"/>
          <w:rtl/>
        </w:rPr>
        <w:t>מטרת</w:t>
      </w:r>
      <w:r w:rsidRPr="00CB20FE">
        <w:rPr>
          <w:rtl/>
        </w:rPr>
        <w:t xml:space="preserve"> הקרן, על הסוכנות, משרד הכלכלה </w:t>
      </w:r>
      <w:r w:rsidRPr="00CB20FE">
        <w:rPr>
          <w:rtl/>
        </w:rPr>
        <w:t>והחשכ"ל</w:t>
      </w:r>
      <w:r w:rsidRPr="00CB20FE">
        <w:rPr>
          <w:rtl/>
        </w:rPr>
        <w:t xml:space="preserve"> לבחון את </w:t>
      </w:r>
      <w:r w:rsidRPr="00CB20FE">
        <w:rPr>
          <w:rFonts w:hint="cs"/>
          <w:rtl/>
        </w:rPr>
        <w:t>האפשרות</w:t>
      </w:r>
      <w:r w:rsidRPr="00CB20FE">
        <w:rPr>
          <w:rtl/>
        </w:rPr>
        <w:t xml:space="preserve"> להגדיל את קהל היעד של המכרזים </w:t>
      </w:r>
      <w:r w:rsidRPr="00CB20FE">
        <w:rPr>
          <w:rFonts w:hint="cs"/>
          <w:rtl/>
        </w:rPr>
        <w:t>למתן</w:t>
      </w:r>
      <w:r w:rsidRPr="00CB20FE">
        <w:rPr>
          <w:rtl/>
        </w:rPr>
        <w:t xml:space="preserve"> </w:t>
      </w:r>
      <w:r w:rsidRPr="00CB20FE">
        <w:rPr>
          <w:rFonts w:hint="cs"/>
          <w:rtl/>
        </w:rPr>
        <w:t>הלוואות</w:t>
      </w:r>
      <w:r w:rsidRPr="00CB20FE">
        <w:rPr>
          <w:rtl/>
        </w:rPr>
        <w:t xml:space="preserve"> של הקרן למוסדות פיננסיים נוספים. בכך יהיה</w:t>
      </w:r>
      <w:r w:rsidRPr="00CB20FE">
        <w:rPr>
          <w:rFonts w:hint="cs"/>
          <w:rtl/>
        </w:rPr>
        <w:t xml:space="preserve"> אפשר</w:t>
      </w:r>
      <w:r w:rsidRPr="00CB20FE">
        <w:rPr>
          <w:rtl/>
        </w:rPr>
        <w:t xml:space="preserve"> להגדיל את </w:t>
      </w:r>
      <w:r w:rsidRPr="00CB20FE">
        <w:rPr>
          <w:rFonts w:hint="cs"/>
          <w:rtl/>
        </w:rPr>
        <w:t>היקף</w:t>
      </w:r>
      <w:r w:rsidRPr="00CB20FE">
        <w:rPr>
          <w:rtl/>
        </w:rPr>
        <w:t xml:space="preserve"> האשראי </w:t>
      </w:r>
      <w:r w:rsidRPr="00CB20FE">
        <w:rPr>
          <w:rFonts w:hint="cs"/>
          <w:rtl/>
        </w:rPr>
        <w:t>הכללי</w:t>
      </w:r>
      <w:r w:rsidRPr="00CB20FE">
        <w:rPr>
          <w:rtl/>
        </w:rPr>
        <w:t xml:space="preserve"> </w:t>
      </w:r>
      <w:r w:rsidRPr="00CB20FE">
        <w:rPr>
          <w:rFonts w:hint="cs"/>
          <w:rtl/>
        </w:rPr>
        <w:t>העומד</w:t>
      </w:r>
      <w:r w:rsidRPr="00CB20FE">
        <w:rPr>
          <w:rtl/>
        </w:rPr>
        <w:t xml:space="preserve"> לרשות </w:t>
      </w:r>
      <w:r w:rsidRPr="00CB20FE">
        <w:rPr>
          <w:rFonts w:hint="cs"/>
          <w:rtl/>
        </w:rPr>
        <w:t>עסקים</w:t>
      </w:r>
      <w:r w:rsidRPr="00CB20FE">
        <w:rPr>
          <w:rtl/>
        </w:rPr>
        <w:t xml:space="preserve"> </w:t>
      </w:r>
      <w:r w:rsidRPr="00CB20FE">
        <w:rPr>
          <w:rFonts w:hint="cs"/>
          <w:rtl/>
        </w:rPr>
        <w:t>קטנים</w:t>
      </w:r>
      <w:r w:rsidRPr="00CB20FE">
        <w:rPr>
          <w:rtl/>
        </w:rPr>
        <w:t xml:space="preserve"> ובינוניים. </w:t>
      </w:r>
    </w:p>
    <w:p w:rsidR="00E21817" w:rsidRPr="00CB20FE" w:rsidP="00484EEB">
      <w:pPr>
        <w:spacing w:before="180" w:after="120" w:line="230" w:lineRule="exact"/>
        <w:jc w:val="both"/>
        <w:rPr>
          <w:rFonts w:cs="FrankRuehl"/>
          <w:sz w:val="20"/>
          <w:szCs w:val="22"/>
          <w:rtl/>
        </w:rPr>
      </w:pPr>
      <w:r w:rsidRPr="00CB20FE">
        <w:rPr>
          <w:rFonts w:cs="FrankRuehl" w:hint="cs"/>
          <w:sz w:val="20"/>
          <w:szCs w:val="22"/>
          <w:rtl/>
        </w:rPr>
        <w:t>בתשובת</w:t>
      </w:r>
      <w:r w:rsidRPr="00CB20FE">
        <w:rPr>
          <w:rFonts w:cs="FrankRuehl"/>
          <w:sz w:val="20"/>
          <w:szCs w:val="22"/>
          <w:rtl/>
        </w:rPr>
        <w:t xml:space="preserve"> </w:t>
      </w:r>
      <w:r w:rsidRPr="00CB20FE">
        <w:rPr>
          <w:rFonts w:cs="FrankRuehl" w:hint="cs"/>
          <w:sz w:val="20"/>
          <w:szCs w:val="22"/>
          <w:rtl/>
        </w:rPr>
        <w:t>החשכ</w:t>
      </w:r>
      <w:r w:rsidRPr="00CB20FE">
        <w:rPr>
          <w:rFonts w:cs="FrankRuehl"/>
          <w:sz w:val="20"/>
          <w:szCs w:val="22"/>
          <w:rtl/>
        </w:rPr>
        <w:t>"ל</w:t>
      </w:r>
      <w:r w:rsidRPr="00CB20FE">
        <w:rPr>
          <w:rFonts w:cs="FrankRuehl"/>
          <w:sz w:val="20"/>
          <w:szCs w:val="22"/>
          <w:rtl/>
        </w:rPr>
        <w:t xml:space="preserve"> נאמר כי הוא מעוניין לעודד את כניסתם של </w:t>
      </w:r>
      <w:r w:rsidRPr="00CB20FE">
        <w:rPr>
          <w:rFonts w:cs="FrankRuehl" w:hint="cs"/>
          <w:sz w:val="20"/>
          <w:szCs w:val="22"/>
          <w:rtl/>
        </w:rPr>
        <w:t xml:space="preserve">מוסדות פיננסיים חוץ-בנקאיים </w:t>
      </w:r>
      <w:r w:rsidRPr="00CB20FE">
        <w:rPr>
          <w:rFonts w:cs="FrankRuehl"/>
          <w:sz w:val="20"/>
          <w:szCs w:val="22"/>
          <w:rtl/>
        </w:rPr>
        <w:t xml:space="preserve">בישראל לפעילות בקרנות ההלוואות בערבות </w:t>
      </w:r>
      <w:r w:rsidRPr="00CB20FE">
        <w:rPr>
          <w:rFonts w:cs="FrankRuehl" w:hint="cs"/>
          <w:sz w:val="20"/>
          <w:szCs w:val="22"/>
          <w:rtl/>
        </w:rPr>
        <w:t>ה</w:t>
      </w:r>
      <w:r w:rsidRPr="00CB20FE">
        <w:rPr>
          <w:rFonts w:cs="FrankRuehl"/>
          <w:sz w:val="20"/>
          <w:szCs w:val="22"/>
          <w:rtl/>
        </w:rPr>
        <w:t>מדינה</w:t>
      </w:r>
      <w:r w:rsidRPr="00CB20FE">
        <w:rPr>
          <w:rFonts w:cs="FrankRuehl" w:hint="cs"/>
          <w:sz w:val="20"/>
          <w:szCs w:val="22"/>
          <w:rtl/>
        </w:rPr>
        <w:t xml:space="preserve"> כדי</w:t>
      </w:r>
      <w:r w:rsidRPr="00CB20FE">
        <w:rPr>
          <w:rFonts w:cs="FrankRuehl"/>
          <w:sz w:val="20"/>
          <w:szCs w:val="22"/>
          <w:rtl/>
        </w:rPr>
        <w:t xml:space="preserve"> להגדיל ולגוון את מקורות האשראי לעסקים קטנים ובינוניים מחד</w:t>
      </w:r>
      <w:r w:rsidRPr="00CB20FE">
        <w:rPr>
          <w:rFonts w:cs="FrankRuehl" w:hint="cs"/>
          <w:sz w:val="20"/>
          <w:szCs w:val="22"/>
          <w:rtl/>
        </w:rPr>
        <w:t>-גיסא</w:t>
      </w:r>
      <w:r w:rsidRPr="00CB20FE">
        <w:rPr>
          <w:rFonts w:cs="FrankRuehl"/>
          <w:sz w:val="20"/>
          <w:szCs w:val="22"/>
          <w:rtl/>
        </w:rPr>
        <w:t xml:space="preserve">, ולפתוח אפיק חדש </w:t>
      </w:r>
      <w:r w:rsidRPr="00CB20FE">
        <w:rPr>
          <w:rFonts w:cs="FrankRuehl" w:hint="cs"/>
          <w:sz w:val="20"/>
          <w:szCs w:val="22"/>
          <w:rtl/>
        </w:rPr>
        <w:t>ל</w:t>
      </w:r>
      <w:r w:rsidRPr="00CB20FE">
        <w:rPr>
          <w:rFonts w:cs="FrankRuehl"/>
          <w:sz w:val="20"/>
          <w:szCs w:val="22"/>
          <w:rtl/>
        </w:rPr>
        <w:t>ציבור החוסכים מאידך</w:t>
      </w:r>
      <w:r w:rsidRPr="00CB20FE">
        <w:rPr>
          <w:rFonts w:cs="FrankRuehl" w:hint="cs"/>
          <w:sz w:val="20"/>
          <w:szCs w:val="22"/>
          <w:rtl/>
        </w:rPr>
        <w:t xml:space="preserve"> גיסא</w:t>
      </w:r>
      <w:r w:rsidRPr="00CB20FE">
        <w:rPr>
          <w:rFonts w:cs="FrankRuehl"/>
          <w:sz w:val="20"/>
          <w:szCs w:val="22"/>
          <w:rtl/>
        </w:rPr>
        <w:t xml:space="preserve">. </w:t>
      </w:r>
      <w:r w:rsidRPr="00CB20FE">
        <w:rPr>
          <w:rFonts w:cs="FrankRuehl" w:hint="cs"/>
          <w:sz w:val="20"/>
          <w:szCs w:val="22"/>
          <w:rtl/>
        </w:rPr>
        <w:t>בנובמבר</w:t>
      </w:r>
      <w:r w:rsidRPr="00CB20FE">
        <w:rPr>
          <w:rFonts w:cs="FrankRuehl"/>
          <w:sz w:val="20"/>
          <w:szCs w:val="22"/>
          <w:rtl/>
        </w:rPr>
        <w:t xml:space="preserve"> 2014 החליט משרד האוצר על הקמת קרן הלוואות לעסקים קטנים ובינוניים בערבות המדינה</w:t>
      </w:r>
      <w:r w:rsidRPr="00CB20FE">
        <w:rPr>
          <w:rFonts w:cs="FrankRuehl" w:hint="cs"/>
          <w:sz w:val="20"/>
          <w:szCs w:val="22"/>
          <w:rtl/>
        </w:rPr>
        <w:t xml:space="preserve"> שתתבסס בעיקר על</w:t>
      </w:r>
      <w:r w:rsidRPr="00CB20FE">
        <w:rPr>
          <w:rFonts w:cs="FrankRuehl"/>
          <w:sz w:val="20"/>
          <w:szCs w:val="22"/>
          <w:rtl/>
        </w:rPr>
        <w:t xml:space="preserve"> כספי </w:t>
      </w:r>
      <w:r w:rsidRPr="00CB20FE">
        <w:rPr>
          <w:rFonts w:cs="FrankRuehl" w:hint="cs"/>
          <w:sz w:val="20"/>
          <w:szCs w:val="22"/>
          <w:rtl/>
        </w:rPr>
        <w:t>הגופים</w:t>
      </w:r>
      <w:r w:rsidRPr="00CB20FE">
        <w:rPr>
          <w:rFonts w:cs="FrankRuehl"/>
          <w:sz w:val="20"/>
          <w:szCs w:val="22"/>
          <w:rtl/>
        </w:rPr>
        <w:t xml:space="preserve"> </w:t>
      </w:r>
      <w:r w:rsidRPr="00CB20FE">
        <w:rPr>
          <w:rFonts w:cs="FrankRuehl" w:hint="cs"/>
          <w:sz w:val="20"/>
          <w:szCs w:val="22"/>
          <w:rtl/>
        </w:rPr>
        <w:t>המוסדיים</w:t>
      </w:r>
      <w:r w:rsidRPr="00CB20FE">
        <w:rPr>
          <w:rFonts w:cs="FrankRuehl"/>
          <w:sz w:val="20"/>
          <w:szCs w:val="22"/>
          <w:rtl/>
        </w:rPr>
        <w:t xml:space="preserve">. </w:t>
      </w:r>
      <w:r w:rsidRPr="00CB20FE">
        <w:rPr>
          <w:rFonts w:cs="FrankRuehl" w:hint="cs"/>
          <w:sz w:val="20"/>
          <w:szCs w:val="22"/>
          <w:rtl/>
        </w:rPr>
        <w:t>החשכ</w:t>
      </w:r>
      <w:r w:rsidRPr="00CB20FE">
        <w:rPr>
          <w:rFonts w:cs="FrankRuehl"/>
          <w:sz w:val="20"/>
          <w:szCs w:val="22"/>
          <w:rtl/>
        </w:rPr>
        <w:t>"ל</w:t>
      </w:r>
      <w:r w:rsidRPr="00CB20FE">
        <w:rPr>
          <w:rFonts w:cs="FrankRuehl"/>
          <w:sz w:val="20"/>
          <w:szCs w:val="22"/>
          <w:rtl/>
        </w:rPr>
        <w:t xml:space="preserve"> החל בהכנת מכרז להקמת קרן הלוואות לעסקים קטנים ובינוניים במימון </w:t>
      </w:r>
      <w:r w:rsidRPr="00CB20FE">
        <w:rPr>
          <w:rFonts w:cs="FrankRuehl" w:hint="cs"/>
          <w:sz w:val="20"/>
          <w:szCs w:val="22"/>
          <w:rtl/>
        </w:rPr>
        <w:t>ה</w:t>
      </w:r>
      <w:r w:rsidRPr="00CB20FE">
        <w:rPr>
          <w:rFonts w:cs="FrankRuehl"/>
          <w:sz w:val="20"/>
          <w:szCs w:val="22"/>
          <w:rtl/>
        </w:rPr>
        <w:t xml:space="preserve">גופים </w:t>
      </w:r>
      <w:r w:rsidRPr="00CB20FE">
        <w:rPr>
          <w:rFonts w:cs="FrankRuehl" w:hint="cs"/>
          <w:sz w:val="20"/>
          <w:szCs w:val="22"/>
          <w:rtl/>
        </w:rPr>
        <w:t>ה</w:t>
      </w:r>
      <w:r w:rsidRPr="00CB20FE">
        <w:rPr>
          <w:rFonts w:cs="FrankRuehl"/>
          <w:sz w:val="20"/>
          <w:szCs w:val="22"/>
          <w:rtl/>
        </w:rPr>
        <w:t xml:space="preserve">מוסדיים והבנקים. </w:t>
      </w:r>
    </w:p>
    <w:p w:rsidR="00E21817" w:rsidRPr="00CB20FE" w:rsidP="00484EEB">
      <w:pPr>
        <w:spacing w:after="120" w:line="230" w:lineRule="exact"/>
        <w:jc w:val="both"/>
        <w:rPr>
          <w:rFonts w:cs="FrankRuehl"/>
          <w:sz w:val="20"/>
          <w:szCs w:val="22"/>
          <w:rtl/>
        </w:rPr>
      </w:pPr>
      <w:r w:rsidRPr="00CB20FE">
        <w:rPr>
          <w:rFonts w:cs="FrankRuehl" w:hint="cs"/>
          <w:sz w:val="20"/>
          <w:szCs w:val="22"/>
          <w:rtl/>
        </w:rPr>
        <w:t xml:space="preserve">עוד הוסיף </w:t>
      </w:r>
      <w:r w:rsidRPr="00CB20FE">
        <w:rPr>
          <w:rFonts w:cs="FrankRuehl" w:hint="cs"/>
          <w:sz w:val="20"/>
          <w:szCs w:val="22"/>
          <w:rtl/>
        </w:rPr>
        <w:t>החשכ"ל</w:t>
      </w:r>
      <w:r w:rsidRPr="00CB20FE">
        <w:rPr>
          <w:rFonts w:cs="FrankRuehl" w:hint="cs"/>
          <w:sz w:val="20"/>
          <w:szCs w:val="22"/>
          <w:rtl/>
        </w:rPr>
        <w:t xml:space="preserve"> בתשובתו שבמאי 2014 הקים</w:t>
      </w:r>
      <w:r w:rsidRPr="00CB20FE">
        <w:rPr>
          <w:rFonts w:cs="FrankRuehl"/>
          <w:sz w:val="20"/>
          <w:szCs w:val="22"/>
          <w:rtl/>
        </w:rPr>
        <w:t xml:space="preserve"> </w:t>
      </w:r>
      <w:r w:rsidRPr="00CB20FE">
        <w:rPr>
          <w:rFonts w:cs="FrankRuehl" w:hint="cs"/>
          <w:sz w:val="20"/>
          <w:szCs w:val="22"/>
          <w:rtl/>
        </w:rPr>
        <w:t>משרד</w:t>
      </w:r>
      <w:r w:rsidRPr="00CB20FE">
        <w:rPr>
          <w:rFonts w:cs="FrankRuehl"/>
          <w:sz w:val="20"/>
          <w:szCs w:val="22"/>
          <w:rtl/>
        </w:rPr>
        <w:t xml:space="preserve"> </w:t>
      </w:r>
      <w:r w:rsidRPr="00CB20FE">
        <w:rPr>
          <w:rFonts w:cs="FrankRuehl" w:hint="cs"/>
          <w:sz w:val="20"/>
          <w:szCs w:val="22"/>
          <w:rtl/>
        </w:rPr>
        <w:t>האוצר</w:t>
      </w:r>
      <w:r w:rsidRPr="00CB20FE">
        <w:rPr>
          <w:rFonts w:cs="FrankRuehl"/>
          <w:sz w:val="20"/>
          <w:szCs w:val="22"/>
          <w:rtl/>
        </w:rPr>
        <w:t xml:space="preserve"> </w:t>
      </w:r>
      <w:r w:rsidRPr="00CB20FE">
        <w:rPr>
          <w:rFonts w:cs="FrankRuehl" w:hint="cs"/>
          <w:sz w:val="20"/>
          <w:szCs w:val="22"/>
          <w:rtl/>
        </w:rPr>
        <w:t>ועדה</w:t>
      </w:r>
      <w:r w:rsidRPr="00CB20FE">
        <w:rPr>
          <w:rFonts w:cs="FrankRuehl"/>
          <w:sz w:val="20"/>
          <w:szCs w:val="22"/>
          <w:rtl/>
        </w:rPr>
        <w:t xml:space="preserve"> </w:t>
      </w:r>
      <w:r w:rsidRPr="00CB20FE">
        <w:rPr>
          <w:rFonts w:cs="FrankRuehl" w:hint="cs"/>
          <w:sz w:val="20"/>
          <w:szCs w:val="22"/>
          <w:rtl/>
        </w:rPr>
        <w:t>לבחינת</w:t>
      </w:r>
      <w:r w:rsidRPr="00CB20FE">
        <w:rPr>
          <w:rFonts w:cs="FrankRuehl"/>
          <w:sz w:val="20"/>
          <w:szCs w:val="22"/>
          <w:rtl/>
        </w:rPr>
        <w:t xml:space="preserve"> </w:t>
      </w:r>
      <w:r w:rsidRPr="00CB20FE">
        <w:rPr>
          <w:rFonts w:cs="FrankRuehl" w:hint="cs"/>
          <w:sz w:val="20"/>
          <w:szCs w:val="22"/>
          <w:rtl/>
        </w:rPr>
        <w:t>אמצעים</w:t>
      </w:r>
      <w:r w:rsidRPr="00CB20FE">
        <w:rPr>
          <w:rFonts w:cs="FrankRuehl"/>
          <w:sz w:val="20"/>
          <w:szCs w:val="22"/>
          <w:rtl/>
        </w:rPr>
        <w:t xml:space="preserve"> </w:t>
      </w:r>
      <w:r w:rsidRPr="00CB20FE">
        <w:rPr>
          <w:rFonts w:cs="FrankRuehl" w:hint="cs"/>
          <w:sz w:val="20"/>
          <w:szCs w:val="22"/>
          <w:rtl/>
        </w:rPr>
        <w:t>ומהלכים</w:t>
      </w:r>
      <w:r w:rsidRPr="00CB20FE">
        <w:rPr>
          <w:rFonts w:cs="FrankRuehl"/>
          <w:sz w:val="20"/>
          <w:szCs w:val="22"/>
          <w:rtl/>
        </w:rPr>
        <w:t xml:space="preserve"> </w:t>
      </w:r>
      <w:r w:rsidRPr="00CB20FE">
        <w:rPr>
          <w:rFonts w:cs="FrankRuehl" w:hint="cs"/>
          <w:sz w:val="20"/>
          <w:szCs w:val="22"/>
          <w:rtl/>
        </w:rPr>
        <w:t>שונים</w:t>
      </w:r>
      <w:r w:rsidRPr="00CB20FE">
        <w:rPr>
          <w:rFonts w:cs="FrankRuehl"/>
          <w:sz w:val="20"/>
          <w:szCs w:val="22"/>
          <w:rtl/>
        </w:rPr>
        <w:t xml:space="preserve"> </w:t>
      </w:r>
      <w:r w:rsidRPr="00CB20FE">
        <w:rPr>
          <w:rFonts w:cs="FrankRuehl" w:hint="cs"/>
          <w:sz w:val="20"/>
          <w:szCs w:val="22"/>
          <w:rtl/>
        </w:rPr>
        <w:t>אשר</w:t>
      </w:r>
      <w:r w:rsidRPr="00CB20FE">
        <w:rPr>
          <w:rFonts w:cs="FrankRuehl"/>
          <w:sz w:val="20"/>
          <w:szCs w:val="22"/>
          <w:rtl/>
        </w:rPr>
        <w:t xml:space="preserve"> </w:t>
      </w:r>
      <w:r w:rsidRPr="00CB20FE">
        <w:rPr>
          <w:rFonts w:cs="FrankRuehl" w:hint="cs"/>
          <w:sz w:val="20"/>
          <w:szCs w:val="22"/>
          <w:rtl/>
        </w:rPr>
        <w:t>יש</w:t>
      </w:r>
      <w:r w:rsidRPr="00CB20FE">
        <w:rPr>
          <w:rFonts w:cs="FrankRuehl"/>
          <w:sz w:val="20"/>
          <w:szCs w:val="22"/>
          <w:rtl/>
        </w:rPr>
        <w:t xml:space="preserve"> </w:t>
      </w:r>
      <w:r w:rsidRPr="00CB20FE">
        <w:rPr>
          <w:rFonts w:cs="FrankRuehl" w:hint="cs"/>
          <w:sz w:val="20"/>
          <w:szCs w:val="22"/>
          <w:rtl/>
        </w:rPr>
        <w:t>בהם</w:t>
      </w:r>
      <w:r w:rsidRPr="00CB20FE">
        <w:rPr>
          <w:rFonts w:cs="FrankRuehl"/>
          <w:sz w:val="20"/>
          <w:szCs w:val="22"/>
          <w:rtl/>
        </w:rPr>
        <w:t xml:space="preserve"> </w:t>
      </w:r>
      <w:r w:rsidRPr="00CB20FE">
        <w:rPr>
          <w:rFonts w:cs="FrankRuehl" w:hint="cs"/>
          <w:sz w:val="20"/>
          <w:szCs w:val="22"/>
          <w:rtl/>
        </w:rPr>
        <w:t>לעודד</w:t>
      </w:r>
      <w:r w:rsidRPr="00CB20FE">
        <w:rPr>
          <w:rFonts w:cs="FrankRuehl"/>
          <w:sz w:val="20"/>
          <w:szCs w:val="22"/>
          <w:rtl/>
        </w:rPr>
        <w:t xml:space="preserve"> </w:t>
      </w:r>
      <w:r w:rsidRPr="00CB20FE">
        <w:rPr>
          <w:rFonts w:cs="FrankRuehl" w:hint="cs"/>
          <w:sz w:val="20"/>
          <w:szCs w:val="22"/>
          <w:rtl/>
        </w:rPr>
        <w:t>הקמת</w:t>
      </w:r>
      <w:r w:rsidRPr="00CB20FE">
        <w:rPr>
          <w:rFonts w:cs="FrankRuehl"/>
          <w:sz w:val="20"/>
          <w:szCs w:val="22"/>
          <w:rtl/>
        </w:rPr>
        <w:t xml:space="preserve"> </w:t>
      </w:r>
      <w:r w:rsidRPr="00CB20FE">
        <w:rPr>
          <w:rFonts w:cs="FrankRuehl" w:hint="cs"/>
          <w:sz w:val="20"/>
          <w:szCs w:val="22"/>
          <w:rtl/>
        </w:rPr>
        <w:t>קרנות</w:t>
      </w:r>
      <w:r w:rsidRPr="00CB20FE">
        <w:rPr>
          <w:rFonts w:cs="FrankRuehl"/>
          <w:sz w:val="20"/>
          <w:szCs w:val="22"/>
          <w:rtl/>
        </w:rPr>
        <w:t xml:space="preserve"> </w:t>
      </w:r>
      <w:r w:rsidRPr="00CB20FE">
        <w:rPr>
          <w:rFonts w:cs="FrankRuehl" w:hint="cs"/>
          <w:sz w:val="20"/>
          <w:szCs w:val="22"/>
          <w:rtl/>
        </w:rPr>
        <w:t>נסחרות</w:t>
      </w:r>
      <w:r w:rsidRPr="00CB20FE">
        <w:rPr>
          <w:rFonts w:cs="FrankRuehl"/>
          <w:sz w:val="20"/>
          <w:szCs w:val="22"/>
          <w:rtl/>
        </w:rPr>
        <w:t xml:space="preserve"> </w:t>
      </w:r>
      <w:r w:rsidRPr="00CB20FE">
        <w:rPr>
          <w:rFonts w:cs="FrankRuehl" w:hint="cs"/>
          <w:sz w:val="20"/>
          <w:szCs w:val="22"/>
          <w:rtl/>
        </w:rPr>
        <w:t>למימון</w:t>
      </w:r>
      <w:r w:rsidRPr="00CB20FE">
        <w:rPr>
          <w:rFonts w:cs="FrankRuehl"/>
          <w:sz w:val="20"/>
          <w:szCs w:val="22"/>
          <w:rtl/>
        </w:rPr>
        <w:t xml:space="preserve"> </w:t>
      </w:r>
      <w:r w:rsidRPr="00CB20FE">
        <w:rPr>
          <w:rFonts w:cs="FrankRuehl" w:hint="cs"/>
          <w:sz w:val="20"/>
          <w:szCs w:val="22"/>
          <w:rtl/>
        </w:rPr>
        <w:t>עסקים</w:t>
      </w:r>
      <w:r w:rsidRPr="00CB20FE">
        <w:rPr>
          <w:rFonts w:cs="FrankRuehl"/>
          <w:sz w:val="20"/>
          <w:szCs w:val="22"/>
          <w:rtl/>
        </w:rPr>
        <w:t xml:space="preserve"> </w:t>
      </w:r>
      <w:r w:rsidRPr="00CB20FE">
        <w:rPr>
          <w:rFonts w:cs="FrankRuehl" w:hint="cs"/>
          <w:sz w:val="20"/>
          <w:szCs w:val="22"/>
          <w:rtl/>
        </w:rPr>
        <w:t>קטנים</w:t>
      </w:r>
      <w:r w:rsidRPr="00CB20FE">
        <w:rPr>
          <w:rFonts w:cs="FrankRuehl"/>
          <w:sz w:val="20"/>
          <w:szCs w:val="22"/>
          <w:rtl/>
        </w:rPr>
        <w:t xml:space="preserve"> </w:t>
      </w:r>
      <w:r w:rsidRPr="00CB20FE">
        <w:rPr>
          <w:rFonts w:cs="FrankRuehl" w:hint="cs"/>
          <w:sz w:val="20"/>
          <w:szCs w:val="22"/>
          <w:rtl/>
        </w:rPr>
        <w:t>ובינוניים</w:t>
      </w:r>
      <w:r w:rsidRPr="00CB20FE">
        <w:rPr>
          <w:rFonts w:cs="FrankRuehl"/>
          <w:sz w:val="20"/>
          <w:szCs w:val="22"/>
          <w:rtl/>
        </w:rPr>
        <w:t>. קרנות אלו מיועד</w:t>
      </w:r>
      <w:r w:rsidRPr="00CB20FE">
        <w:rPr>
          <w:rFonts w:cs="FrankRuehl" w:hint="cs"/>
          <w:sz w:val="20"/>
          <w:szCs w:val="22"/>
          <w:rtl/>
        </w:rPr>
        <w:t>ות</w:t>
      </w:r>
      <w:r w:rsidRPr="00CB20FE">
        <w:rPr>
          <w:rFonts w:cs="FrankRuehl"/>
          <w:sz w:val="20"/>
          <w:szCs w:val="22"/>
          <w:rtl/>
        </w:rPr>
        <w:t xml:space="preserve"> להגדלת מקורות המימון העומדים לרשות עסקים קטנים ובינוניים </w:t>
      </w:r>
      <w:r w:rsidRPr="00CB20FE">
        <w:rPr>
          <w:rFonts w:cs="FrankRuehl" w:hint="cs"/>
          <w:sz w:val="20"/>
          <w:szCs w:val="22"/>
          <w:rtl/>
        </w:rPr>
        <w:t>והן עשויות לפתוח</w:t>
      </w:r>
      <w:r w:rsidRPr="00CB20FE">
        <w:rPr>
          <w:rFonts w:cs="FrankRuehl"/>
          <w:sz w:val="20"/>
          <w:szCs w:val="22"/>
          <w:rtl/>
        </w:rPr>
        <w:t xml:space="preserve"> </w:t>
      </w:r>
      <w:r w:rsidRPr="00CB20FE">
        <w:rPr>
          <w:rFonts w:cs="FrankRuehl" w:hint="cs"/>
          <w:sz w:val="20"/>
          <w:szCs w:val="22"/>
          <w:rtl/>
        </w:rPr>
        <w:t>עבור</w:t>
      </w:r>
      <w:r w:rsidRPr="00CB20FE">
        <w:rPr>
          <w:rFonts w:cs="FrankRuehl"/>
          <w:sz w:val="20"/>
          <w:szCs w:val="22"/>
          <w:rtl/>
        </w:rPr>
        <w:t xml:space="preserve"> </w:t>
      </w:r>
      <w:r w:rsidRPr="00CB20FE">
        <w:rPr>
          <w:rFonts w:cs="FrankRuehl" w:hint="cs"/>
          <w:sz w:val="20"/>
          <w:szCs w:val="22"/>
          <w:rtl/>
        </w:rPr>
        <w:t>הציבור</w:t>
      </w:r>
      <w:r w:rsidRPr="00CB20FE">
        <w:rPr>
          <w:rFonts w:cs="FrankRuehl"/>
          <w:sz w:val="20"/>
          <w:szCs w:val="22"/>
          <w:rtl/>
        </w:rPr>
        <w:t xml:space="preserve"> </w:t>
      </w:r>
      <w:r w:rsidRPr="00CB20FE">
        <w:rPr>
          <w:rFonts w:cs="FrankRuehl" w:hint="cs"/>
          <w:sz w:val="20"/>
          <w:szCs w:val="22"/>
          <w:rtl/>
        </w:rPr>
        <w:t>והגופים</w:t>
      </w:r>
      <w:r w:rsidRPr="00CB20FE">
        <w:rPr>
          <w:rFonts w:cs="FrankRuehl"/>
          <w:sz w:val="20"/>
          <w:szCs w:val="22"/>
          <w:rtl/>
        </w:rPr>
        <w:t xml:space="preserve"> </w:t>
      </w:r>
      <w:r w:rsidRPr="00CB20FE">
        <w:rPr>
          <w:rFonts w:cs="FrankRuehl" w:hint="cs"/>
          <w:sz w:val="20"/>
          <w:szCs w:val="22"/>
          <w:rtl/>
        </w:rPr>
        <w:t>המוסדיים</w:t>
      </w:r>
      <w:r w:rsidRPr="00CB20FE">
        <w:rPr>
          <w:rFonts w:cs="FrankRuehl"/>
          <w:sz w:val="20"/>
          <w:szCs w:val="22"/>
          <w:rtl/>
        </w:rPr>
        <w:t xml:space="preserve"> </w:t>
      </w:r>
      <w:r w:rsidRPr="00CB20FE">
        <w:rPr>
          <w:rFonts w:cs="FrankRuehl" w:hint="cs"/>
          <w:sz w:val="20"/>
          <w:szCs w:val="22"/>
          <w:rtl/>
        </w:rPr>
        <w:t>אפיק</w:t>
      </w:r>
      <w:r w:rsidRPr="00CB20FE">
        <w:rPr>
          <w:rFonts w:cs="FrankRuehl"/>
          <w:sz w:val="20"/>
          <w:szCs w:val="22"/>
          <w:rtl/>
        </w:rPr>
        <w:t xml:space="preserve"> </w:t>
      </w:r>
      <w:r w:rsidRPr="00CB20FE">
        <w:rPr>
          <w:rFonts w:cs="FrankRuehl" w:hint="cs"/>
          <w:sz w:val="20"/>
          <w:szCs w:val="22"/>
          <w:rtl/>
        </w:rPr>
        <w:t>השקעה</w:t>
      </w:r>
      <w:r w:rsidRPr="00CB20FE">
        <w:rPr>
          <w:rFonts w:cs="FrankRuehl"/>
          <w:sz w:val="20"/>
          <w:szCs w:val="22"/>
          <w:rtl/>
        </w:rPr>
        <w:t xml:space="preserve"> </w:t>
      </w:r>
      <w:r w:rsidRPr="00CB20FE">
        <w:rPr>
          <w:rFonts w:cs="FrankRuehl" w:hint="cs"/>
          <w:sz w:val="20"/>
          <w:szCs w:val="22"/>
          <w:rtl/>
        </w:rPr>
        <w:t>חדש</w:t>
      </w:r>
      <w:r w:rsidRPr="00CB20FE">
        <w:rPr>
          <w:rFonts w:cs="FrankRuehl"/>
          <w:sz w:val="20"/>
          <w:szCs w:val="22"/>
          <w:rtl/>
        </w:rPr>
        <w:t xml:space="preserve">. </w:t>
      </w:r>
      <w:r w:rsidRPr="00CB20FE">
        <w:rPr>
          <w:rFonts w:cs="FrankRuehl" w:hint="cs"/>
          <w:sz w:val="20"/>
          <w:szCs w:val="22"/>
          <w:rtl/>
        </w:rPr>
        <w:t xml:space="preserve">לדברי </w:t>
      </w:r>
      <w:r w:rsidRPr="00CB20FE">
        <w:rPr>
          <w:rFonts w:cs="FrankRuehl" w:hint="cs"/>
          <w:sz w:val="20"/>
          <w:szCs w:val="22"/>
          <w:rtl/>
        </w:rPr>
        <w:t>החשכ"ל</w:t>
      </w:r>
      <w:r w:rsidRPr="00CB20FE">
        <w:rPr>
          <w:rFonts w:cs="FrankRuehl" w:hint="cs"/>
          <w:sz w:val="20"/>
          <w:szCs w:val="22"/>
          <w:rtl/>
        </w:rPr>
        <w:t>, הוועדה</w:t>
      </w:r>
      <w:r w:rsidRPr="00CB20FE">
        <w:rPr>
          <w:rFonts w:cs="FrankRuehl"/>
          <w:sz w:val="20"/>
          <w:szCs w:val="22"/>
          <w:rtl/>
        </w:rPr>
        <w:t xml:space="preserve"> </w:t>
      </w:r>
      <w:r w:rsidRPr="00CB20FE">
        <w:rPr>
          <w:rFonts w:cs="FrankRuehl" w:hint="cs"/>
          <w:sz w:val="20"/>
          <w:szCs w:val="22"/>
          <w:rtl/>
        </w:rPr>
        <w:t>סיימה</w:t>
      </w:r>
      <w:r w:rsidRPr="00CB20FE">
        <w:rPr>
          <w:rFonts w:cs="FrankRuehl"/>
          <w:sz w:val="20"/>
          <w:szCs w:val="22"/>
          <w:rtl/>
        </w:rPr>
        <w:t xml:space="preserve"> </w:t>
      </w:r>
      <w:r w:rsidRPr="00CB20FE">
        <w:rPr>
          <w:rFonts w:cs="FrankRuehl" w:hint="cs"/>
          <w:sz w:val="20"/>
          <w:szCs w:val="22"/>
          <w:rtl/>
        </w:rPr>
        <w:t>את</w:t>
      </w:r>
      <w:r w:rsidRPr="00CB20FE">
        <w:rPr>
          <w:rFonts w:cs="FrankRuehl"/>
          <w:sz w:val="20"/>
          <w:szCs w:val="22"/>
          <w:rtl/>
        </w:rPr>
        <w:t xml:space="preserve"> </w:t>
      </w:r>
      <w:r w:rsidRPr="00CB20FE">
        <w:rPr>
          <w:rFonts w:cs="FrankRuehl" w:hint="cs"/>
          <w:sz w:val="20"/>
          <w:szCs w:val="22"/>
          <w:rtl/>
        </w:rPr>
        <w:t>דיוניה</w:t>
      </w:r>
      <w:r w:rsidRPr="00CB20FE">
        <w:rPr>
          <w:rFonts w:cs="FrankRuehl"/>
          <w:sz w:val="20"/>
          <w:szCs w:val="22"/>
          <w:rtl/>
        </w:rPr>
        <w:t xml:space="preserve"> </w:t>
      </w:r>
      <w:r w:rsidRPr="00CB20FE">
        <w:rPr>
          <w:rFonts w:cs="FrankRuehl" w:hint="cs"/>
          <w:sz w:val="20"/>
          <w:szCs w:val="22"/>
          <w:rtl/>
        </w:rPr>
        <w:t>ובימים אלה היא מגבשת</w:t>
      </w:r>
      <w:r w:rsidRPr="00CB20FE">
        <w:rPr>
          <w:rFonts w:cs="FrankRuehl"/>
          <w:sz w:val="20"/>
          <w:szCs w:val="22"/>
          <w:rtl/>
        </w:rPr>
        <w:t xml:space="preserve"> את המלצותיה.</w:t>
      </w:r>
    </w:p>
    <w:p w:rsidR="00E21817" w:rsidRPr="00CB20FE" w:rsidP="00484EEB">
      <w:pPr>
        <w:spacing w:after="120" w:line="230" w:lineRule="exact"/>
        <w:jc w:val="both"/>
        <w:rPr>
          <w:rFonts w:cs="FrankRuehl"/>
          <w:sz w:val="20"/>
          <w:szCs w:val="22"/>
          <w:rtl/>
        </w:rPr>
      </w:pPr>
      <w:r w:rsidRPr="00484EEB">
        <w:rPr>
          <w:rStyle w:val="Heading7Char"/>
          <w:rFonts w:cs="FrankRuehl" w:hint="cs"/>
          <w:spacing w:val="40"/>
          <w:sz w:val="20"/>
          <w:szCs w:val="22"/>
          <w:rtl/>
        </w:rPr>
        <w:t>מדריך</w:t>
      </w:r>
      <w:r w:rsidRPr="00484EEB">
        <w:rPr>
          <w:rStyle w:val="Heading7Char"/>
          <w:rFonts w:cs="FrankRuehl"/>
          <w:spacing w:val="40"/>
          <w:sz w:val="20"/>
          <w:szCs w:val="22"/>
          <w:rtl/>
        </w:rPr>
        <w:t xml:space="preserve"> </w:t>
      </w:r>
      <w:r w:rsidRPr="00484EEB">
        <w:rPr>
          <w:rStyle w:val="Heading7Char"/>
          <w:rFonts w:cs="FrankRuehl" w:hint="cs"/>
          <w:spacing w:val="40"/>
          <w:sz w:val="20"/>
          <w:szCs w:val="22"/>
          <w:rtl/>
        </w:rPr>
        <w:t>לגופי</w:t>
      </w:r>
      <w:r w:rsidRPr="00484EEB">
        <w:rPr>
          <w:rStyle w:val="Heading7Char"/>
          <w:rFonts w:cs="FrankRuehl"/>
          <w:spacing w:val="40"/>
          <w:sz w:val="20"/>
          <w:szCs w:val="22"/>
          <w:rtl/>
        </w:rPr>
        <w:t xml:space="preserve"> תיאום</w:t>
      </w:r>
      <w:r w:rsidRPr="00484EEB">
        <w:rPr>
          <w:rFonts w:cs="FrankRuehl"/>
          <w:b/>
          <w:bCs/>
          <w:spacing w:val="40"/>
          <w:sz w:val="20"/>
          <w:szCs w:val="22"/>
          <w:rtl/>
        </w:rPr>
        <w:t>:</w:t>
      </w:r>
      <w:r w:rsidRPr="00CB20FE">
        <w:rPr>
          <w:rFonts w:cs="FrankRuehl"/>
          <w:sz w:val="20"/>
          <w:szCs w:val="22"/>
          <w:rtl/>
        </w:rPr>
        <w:t xml:space="preserve"> </w:t>
      </w:r>
      <w:r w:rsidRPr="00CB20FE">
        <w:rPr>
          <w:rFonts w:cs="FrankRuehl" w:hint="cs"/>
          <w:sz w:val="20"/>
          <w:szCs w:val="22"/>
          <w:rtl/>
        </w:rPr>
        <w:t>אתר האינטרנט של הסוכנות מציג מדריך ובו הדרכה ויזואלית על תהליך הגשת בקשה לקבלת הלוואה מהקרן. בחינת בקשת הלוואה של עסק קטן ובינוני כרוכה בהבנת הענף שבו העסק פועל, ניתוח כלכלי של המידע שהוגש וניתוח היכולת הניהולית של בעלי העסק. תהליך החיתום</w:t>
      </w:r>
      <w:r>
        <w:rPr>
          <w:rStyle w:val="FootnoteReference"/>
          <w:rFonts w:cs="FrankRuehl"/>
          <w:sz w:val="20"/>
          <w:szCs w:val="22"/>
          <w:rtl/>
        </w:rPr>
        <w:footnoteReference w:id="45"/>
      </w:r>
      <w:r w:rsidRPr="00CB20FE">
        <w:rPr>
          <w:rFonts w:cs="FrankRuehl" w:hint="cs"/>
          <w:sz w:val="20"/>
          <w:szCs w:val="22"/>
          <w:rtl/>
        </w:rPr>
        <w:t xml:space="preserve"> נעשה על ידי שני גופי תיאום. כדי שתהיה אחידות בין גופי התיאום בתהליך החיתום יש צורך להכין מדריך חיתום כתוב שמסדיר את שיטת החיתום, מסדיר את מדיניות </w:t>
      </w:r>
      <w:r w:rsidRPr="00CB20FE">
        <w:rPr>
          <w:rFonts w:cs="FrankRuehl" w:hint="cs"/>
          <w:sz w:val="20"/>
          <w:szCs w:val="22"/>
          <w:rtl/>
        </w:rPr>
        <w:t>החשכ"ל</w:t>
      </w:r>
      <w:r w:rsidRPr="00CB20FE">
        <w:rPr>
          <w:rFonts w:cs="FrankRuehl" w:hint="cs"/>
          <w:sz w:val="20"/>
          <w:szCs w:val="22"/>
          <w:rtl/>
        </w:rPr>
        <w:t xml:space="preserve"> בהפעלת הקרן ובטיפול במקרים חריגים, ומפרט את אמות המידה שעל בודק הבקשה לבחון, את תהליך הריאיון של בעל העסק ואת הטיפול במקרים שבהם חסר מידע. כמו כן יש צורך לקבוע אמות מידה לבחירה והכשרה של בודקי הבקשות. אחידות בתהליך החיתום תמנע מצב שבעל עסק בוחר גוף תיאום "מקל" לבחינת בקשתו.</w:t>
      </w:r>
    </w:p>
    <w:p w:rsidR="00E21817" w:rsidRPr="00CB20FE" w:rsidP="00484EEB">
      <w:pPr>
        <w:spacing w:after="120" w:line="230" w:lineRule="exact"/>
        <w:ind w:left="-1"/>
        <w:jc w:val="both"/>
        <w:rPr>
          <w:rFonts w:cs="FrankRuehl"/>
          <w:sz w:val="20"/>
          <w:szCs w:val="22"/>
          <w:rtl/>
        </w:rPr>
      </w:pPr>
      <w:r w:rsidRPr="00CB20FE">
        <w:rPr>
          <w:rFonts w:cs="FrankRuehl" w:hint="cs"/>
          <w:sz w:val="20"/>
          <w:szCs w:val="22"/>
          <w:rtl/>
        </w:rPr>
        <w:t xml:space="preserve">הביקורת העלתה </w:t>
      </w:r>
      <w:r w:rsidRPr="00CB20FE">
        <w:rPr>
          <w:rFonts w:cs="FrankRuehl" w:hint="cs"/>
          <w:sz w:val="20"/>
          <w:szCs w:val="22"/>
          <w:rtl/>
        </w:rPr>
        <w:t>שהחשכ"ל</w:t>
      </w:r>
      <w:r w:rsidRPr="00CB20FE">
        <w:rPr>
          <w:rFonts w:cs="FrankRuehl" w:hint="cs"/>
          <w:sz w:val="20"/>
          <w:szCs w:val="22"/>
          <w:rtl/>
        </w:rPr>
        <w:t xml:space="preserve"> לא הכין מדריך חיתום כתוב אלא השאיר את ההחלטה על תהליך החיתום בידי גופי התיאום ונתן להם שיקול דעת לבנות מנגנון לבחינת הבקשות ולהכשרת הבודקים. לפיכך לא הייתה אחידות בטיפול הגופים המתאמים בבקשות הלווים.</w:t>
      </w:r>
    </w:p>
    <w:p w:rsidR="00E21817" w:rsidRPr="00CB20FE" w:rsidP="00484EEB">
      <w:pPr>
        <w:spacing w:after="120" w:line="230" w:lineRule="exact"/>
        <w:ind w:left="-1"/>
        <w:jc w:val="both"/>
        <w:rPr>
          <w:rFonts w:cs="FrankRuehl"/>
          <w:b/>
          <w:sz w:val="20"/>
          <w:szCs w:val="22"/>
          <w:rtl/>
        </w:rPr>
      </w:pPr>
      <w:r w:rsidRPr="00CB20FE">
        <w:rPr>
          <w:rFonts w:cs="FrankRuehl" w:hint="eastAsia"/>
          <w:b/>
          <w:sz w:val="20"/>
          <w:szCs w:val="22"/>
          <w:rtl/>
        </w:rPr>
        <w:t>בתשובת</w:t>
      </w:r>
      <w:r w:rsidRPr="00CB20FE">
        <w:rPr>
          <w:rFonts w:cs="FrankRuehl" w:hint="cs"/>
          <w:b/>
          <w:sz w:val="20"/>
          <w:szCs w:val="22"/>
          <w:rtl/>
        </w:rPr>
        <w:t xml:space="preserve"> </w:t>
      </w:r>
      <w:r w:rsidRPr="00CB20FE">
        <w:rPr>
          <w:rFonts w:cs="FrankRuehl" w:hint="cs"/>
          <w:b/>
          <w:sz w:val="20"/>
          <w:szCs w:val="22"/>
          <w:rtl/>
        </w:rPr>
        <w:t>החשכ"ל</w:t>
      </w:r>
      <w:r w:rsidRPr="00CB20FE">
        <w:rPr>
          <w:rFonts w:cs="FrankRuehl" w:hint="cs"/>
          <w:b/>
          <w:sz w:val="20"/>
          <w:szCs w:val="22"/>
          <w:rtl/>
        </w:rPr>
        <w:t xml:space="preserve"> נאמר שהחל בנובמבר 2014, מועד תחילת העבודה של שני גופי התיאום החדשים שהחליפו את הקודמים, התבקשו הגופים החדשים להכין נוהלי עבודה לכל אחד מהתהליכים המרכיבים את הפעילות בקרן. נהלים אלה אושרו על ידי </w:t>
      </w:r>
      <w:r w:rsidRPr="00CB20FE">
        <w:rPr>
          <w:rFonts w:cs="FrankRuehl" w:hint="cs"/>
          <w:b/>
          <w:sz w:val="20"/>
          <w:szCs w:val="22"/>
          <w:rtl/>
        </w:rPr>
        <w:t>החשכ"ל</w:t>
      </w:r>
      <w:r w:rsidRPr="00CB20FE">
        <w:rPr>
          <w:rFonts w:cs="FrankRuehl" w:hint="cs"/>
          <w:b/>
          <w:sz w:val="20"/>
          <w:szCs w:val="22"/>
          <w:rtl/>
        </w:rPr>
        <w:t xml:space="preserve"> ונבדק קיומם של מרכיבים מהותיים בתהליכי העבודה. עד מאי 2015 אחד מגופי התיאום הגיש מדריך כתוב לאישור </w:t>
      </w:r>
      <w:r w:rsidRPr="00CB20FE">
        <w:rPr>
          <w:rFonts w:cs="FrankRuehl" w:hint="cs"/>
          <w:b/>
          <w:sz w:val="20"/>
          <w:szCs w:val="22"/>
          <w:rtl/>
        </w:rPr>
        <w:t>החשכ"ל</w:t>
      </w:r>
      <w:r w:rsidRPr="00CB20FE">
        <w:rPr>
          <w:rFonts w:cs="FrankRuehl" w:hint="cs"/>
          <w:b/>
          <w:sz w:val="20"/>
          <w:szCs w:val="22"/>
          <w:rtl/>
        </w:rPr>
        <w:t xml:space="preserve"> והשני טרם הגיש את המדריך.</w:t>
      </w:r>
    </w:p>
    <w:p w:rsidR="004013A9" w:rsidRPr="00CB20FE" w:rsidP="00484EEB">
      <w:pPr>
        <w:spacing w:after="120" w:line="230" w:lineRule="exact"/>
        <w:ind w:left="-1"/>
        <w:jc w:val="both"/>
        <w:rPr>
          <w:rFonts w:cs="FrankRuehl"/>
          <w:b/>
          <w:sz w:val="20"/>
          <w:szCs w:val="22"/>
          <w:rtl/>
        </w:rPr>
      </w:pPr>
    </w:p>
    <w:p w:rsidR="004013A9" w:rsidRPr="00CB20FE" w:rsidP="00484EEB">
      <w:pPr>
        <w:spacing w:after="120" w:line="230" w:lineRule="exact"/>
        <w:ind w:left="-1"/>
        <w:jc w:val="both"/>
        <w:rPr>
          <w:rFonts w:cs="FrankRuehl"/>
          <w:b/>
          <w:sz w:val="20"/>
          <w:szCs w:val="22"/>
          <w:rtl/>
        </w:rPr>
      </w:pPr>
    </w:p>
    <w:p w:rsidR="00E21817" w:rsidRPr="00DA4D76" w:rsidP="00484EEB">
      <w:pPr>
        <w:pStyle w:val="KOT4"/>
        <w:rPr>
          <w:rtl/>
        </w:rPr>
      </w:pPr>
      <w:r w:rsidRPr="00617379">
        <w:rPr>
          <w:rFonts w:hint="eastAsia"/>
          <w:rtl/>
        </w:rPr>
        <w:t>היערכות</w:t>
      </w:r>
      <w:r w:rsidRPr="00617379">
        <w:rPr>
          <w:rtl/>
        </w:rPr>
        <w:t xml:space="preserve"> למצבי </w:t>
      </w:r>
      <w:r w:rsidRPr="00617379">
        <w:rPr>
          <w:rFonts w:hint="eastAsia"/>
          <w:rtl/>
        </w:rPr>
        <w:t>חירום</w:t>
      </w:r>
      <w:r>
        <w:rPr>
          <w:vertAlign w:val="superscript"/>
          <w:rtl/>
        </w:rPr>
        <w:footnoteReference w:id="46"/>
      </w:r>
      <w:r w:rsidRPr="00A76FDF">
        <w:rPr>
          <w:rtl/>
        </w:rPr>
        <w:t xml:space="preserve"> </w:t>
      </w:r>
    </w:p>
    <w:p w:rsidR="00E21817" w:rsidRPr="00CB20FE" w:rsidP="00094B57">
      <w:pPr>
        <w:spacing w:after="120" w:line="230" w:lineRule="exact"/>
        <w:jc w:val="both"/>
        <w:rPr>
          <w:rFonts w:cs="FrankRuehl"/>
          <w:sz w:val="20"/>
          <w:szCs w:val="22"/>
          <w:rtl/>
        </w:rPr>
      </w:pPr>
      <w:r w:rsidRPr="00CB20FE">
        <w:rPr>
          <w:rFonts w:cs="FrankRuehl" w:hint="cs"/>
          <w:sz w:val="20"/>
          <w:szCs w:val="22"/>
          <w:rtl/>
        </w:rPr>
        <w:t>בעלי עסקים קטנים ובינוניים משקיעים זמן רב ומשאבים רבים כדי שעסקיהם יצליחו, אך רבים מהם אינם ערוכים כראוי למצבי חירום. לפי נתוני מחקר שנעשה בארה"ב</w:t>
      </w:r>
      <w:r w:rsidR="00094B57">
        <w:rPr>
          <w:rFonts w:cs="FrankRuehl" w:hint="cs"/>
          <w:sz w:val="20"/>
          <w:szCs w:val="22"/>
          <w:rtl/>
        </w:rPr>
        <w:t xml:space="preserve"> (</w:t>
      </w:r>
      <w:r w:rsidRPr="00094B57" w:rsidR="00094B57">
        <w:rPr>
          <w:rFonts w:cs="FrankRuehl" w:hint="cs"/>
          <w:sz w:val="20"/>
          <w:szCs w:val="22"/>
          <w:rtl/>
        </w:rPr>
        <w:t xml:space="preserve">במכון </w:t>
      </w:r>
      <w:r w:rsidRPr="00094B57" w:rsidR="00094B57">
        <w:rPr>
          <w:rFonts w:cs="FrankRuehl"/>
          <w:sz w:val="20"/>
        </w:rPr>
        <w:t>Institute for Business and Home Safety, Every Business Should Consider a Risk and Vulnerability Assessment</w:t>
      </w:r>
      <w:r w:rsidRPr="00094B57" w:rsidR="00094B57">
        <w:rPr>
          <w:rFonts w:cs="FrankRuehl" w:hint="cs"/>
          <w:sz w:val="20"/>
          <w:rtl/>
        </w:rPr>
        <w:t>)</w:t>
      </w:r>
      <w:r>
        <w:rPr>
          <w:rFonts w:cs="FrankRuehl"/>
          <w:sz w:val="20"/>
          <w:szCs w:val="22"/>
          <w:vertAlign w:val="superscript"/>
          <w:rtl/>
        </w:rPr>
        <w:footnoteReference w:id="47"/>
      </w:r>
      <w:r w:rsidRPr="00094B57">
        <w:rPr>
          <w:rFonts w:cs="FrankRuehl" w:hint="cs"/>
          <w:sz w:val="20"/>
          <w:szCs w:val="22"/>
          <w:rtl/>
        </w:rPr>
        <w:t>,</w:t>
      </w:r>
      <w:r w:rsidRPr="00CB20FE">
        <w:rPr>
          <w:rFonts w:cs="FrankRuehl" w:hint="cs"/>
          <w:sz w:val="20"/>
          <w:szCs w:val="22"/>
          <w:rtl/>
        </w:rPr>
        <w:t xml:space="preserve"> כ-25% מהעסקים הקטנים שנפגעו מאסון גדול אינם שבים לפעול לאחריו. </w:t>
      </w:r>
      <w:r w:rsidRPr="00CB20FE">
        <w:rPr>
          <w:rFonts w:cs="FrankRuehl"/>
          <w:sz w:val="20"/>
          <w:szCs w:val="22"/>
          <w:rtl/>
        </w:rPr>
        <w:t xml:space="preserve">בדצמבר 2007 החליטה ועדת השרים לענייני ביטחון לאומי </w:t>
      </w:r>
      <w:r w:rsidRPr="00CB20FE">
        <w:rPr>
          <w:rFonts w:cs="FrankRuehl" w:hint="cs"/>
          <w:sz w:val="20"/>
          <w:szCs w:val="22"/>
          <w:rtl/>
        </w:rPr>
        <w:t xml:space="preserve">(מס' ב/43) </w:t>
      </w:r>
      <w:r w:rsidRPr="00CB20FE">
        <w:rPr>
          <w:rFonts w:cs="FrankRuehl"/>
          <w:sz w:val="20"/>
          <w:szCs w:val="22"/>
          <w:rtl/>
        </w:rPr>
        <w:t xml:space="preserve">על הקמת </w:t>
      </w:r>
      <w:r w:rsidRPr="00CB20FE">
        <w:rPr>
          <w:rFonts w:cs="FrankRuehl" w:hint="cs"/>
          <w:sz w:val="20"/>
          <w:szCs w:val="22"/>
          <w:rtl/>
        </w:rPr>
        <w:t>רשות חירום לאומי (להלן</w:t>
      </w:r>
      <w:r w:rsidR="00BB1518">
        <w:rPr>
          <w:rFonts w:cs="FrankRuehl" w:hint="cs"/>
          <w:sz w:val="20"/>
          <w:szCs w:val="22"/>
          <w:rtl/>
        </w:rPr>
        <w:t xml:space="preserve"> </w:t>
      </w:r>
      <w:r w:rsidRPr="00CB20FE">
        <w:rPr>
          <w:rFonts w:cs="FrankRuehl" w:hint="cs"/>
          <w:sz w:val="20"/>
          <w:szCs w:val="22"/>
          <w:rtl/>
        </w:rPr>
        <w:t>-</w:t>
      </w:r>
      <w:r w:rsidR="00BB1518">
        <w:rPr>
          <w:rFonts w:cs="FrankRuehl" w:hint="cs"/>
          <w:sz w:val="20"/>
          <w:szCs w:val="22"/>
          <w:rtl/>
        </w:rPr>
        <w:t xml:space="preserve"> </w:t>
      </w:r>
      <w:r w:rsidRPr="00CB20FE">
        <w:rPr>
          <w:rFonts w:cs="FrankRuehl"/>
          <w:sz w:val="20"/>
          <w:szCs w:val="22"/>
          <w:rtl/>
        </w:rPr>
        <w:t>רח"ל</w:t>
      </w:r>
      <w:r w:rsidRPr="00CB20FE">
        <w:rPr>
          <w:rFonts w:cs="FrankRuehl" w:hint="cs"/>
          <w:sz w:val="20"/>
          <w:szCs w:val="22"/>
          <w:rtl/>
        </w:rPr>
        <w:t xml:space="preserve">) </w:t>
      </w:r>
      <w:r w:rsidRPr="00CB20FE">
        <w:rPr>
          <w:rFonts w:cs="FrankRuehl"/>
          <w:sz w:val="20"/>
          <w:szCs w:val="22"/>
          <w:rtl/>
        </w:rPr>
        <w:t xml:space="preserve">- גוף מטה מתאם ליד שר הביטחון, המסייע בידו לממש את אחריות העל לטיפול בעורף בכל מצבי החירום. ועדת השרים קבעה בהחלטתה את תפקידיה של </w:t>
      </w:r>
      <w:r w:rsidRPr="00CB20FE">
        <w:rPr>
          <w:rFonts w:cs="FrankRuehl"/>
          <w:sz w:val="20"/>
          <w:szCs w:val="22"/>
          <w:rtl/>
        </w:rPr>
        <w:t>רח"ל</w:t>
      </w:r>
      <w:r w:rsidRPr="00CB20FE">
        <w:rPr>
          <w:rFonts w:cs="FrankRuehl"/>
          <w:sz w:val="20"/>
          <w:szCs w:val="22"/>
          <w:rtl/>
        </w:rPr>
        <w:t xml:space="preserve"> בעת שגרה ובשעת חירום. עוד נקבע כי בעת שגרה תרכז </w:t>
      </w:r>
      <w:r w:rsidRPr="00CB20FE">
        <w:rPr>
          <w:rFonts w:cs="FrankRuehl"/>
          <w:sz w:val="20"/>
          <w:szCs w:val="22"/>
          <w:rtl/>
        </w:rPr>
        <w:t>רח"ל</w:t>
      </w:r>
      <w:r w:rsidRPr="00CB20FE">
        <w:rPr>
          <w:rFonts w:cs="FrankRuehl"/>
          <w:sz w:val="20"/>
          <w:szCs w:val="22"/>
          <w:rtl/>
        </w:rPr>
        <w:t xml:space="preserve"> את עבודת המטה</w:t>
      </w:r>
      <w:r w:rsidRPr="00CB20FE">
        <w:rPr>
          <w:rFonts w:cs="FrankRuehl" w:hint="cs"/>
          <w:sz w:val="20"/>
          <w:szCs w:val="22"/>
          <w:rtl/>
        </w:rPr>
        <w:t>,</w:t>
      </w:r>
      <w:r w:rsidRPr="00CB20FE">
        <w:rPr>
          <w:rFonts w:cs="FrankRuehl"/>
          <w:sz w:val="20"/>
          <w:szCs w:val="22"/>
          <w:rtl/>
        </w:rPr>
        <w:t xml:space="preserve"> הכוללת את הגדרת האיום ותרחישי הייחוס לעורף</w:t>
      </w:r>
      <w:r>
        <w:rPr>
          <w:rStyle w:val="FootnoteReference"/>
          <w:rFonts w:cs="FrankRuehl"/>
          <w:sz w:val="20"/>
          <w:szCs w:val="22"/>
          <w:rtl/>
        </w:rPr>
        <w:footnoteReference w:id="48"/>
      </w:r>
      <w:r w:rsidRPr="00CB20FE">
        <w:rPr>
          <w:rFonts w:cs="FrankRuehl"/>
          <w:sz w:val="20"/>
          <w:szCs w:val="22"/>
          <w:rtl/>
        </w:rPr>
        <w:t xml:space="preserve"> ברמה הלאומית,</w:t>
      </w:r>
      <w:r w:rsidRPr="00CB20FE">
        <w:rPr>
          <w:rFonts w:cs="FrankRuehl" w:hint="cs"/>
          <w:sz w:val="20"/>
          <w:szCs w:val="22"/>
          <w:rtl/>
        </w:rPr>
        <w:t xml:space="preserve"> וכן</w:t>
      </w:r>
      <w:r w:rsidRPr="00CB20FE">
        <w:rPr>
          <w:rFonts w:cs="FrankRuehl"/>
          <w:sz w:val="20"/>
          <w:szCs w:val="22"/>
          <w:rtl/>
        </w:rPr>
        <w:t xml:space="preserve"> </w:t>
      </w:r>
      <w:r w:rsidRPr="00CB20FE">
        <w:rPr>
          <w:rFonts w:cs="FrankRuehl" w:hint="cs"/>
          <w:sz w:val="20"/>
          <w:szCs w:val="22"/>
          <w:rtl/>
        </w:rPr>
        <w:t>תג</w:t>
      </w:r>
      <w:r w:rsidRPr="00CB20FE">
        <w:rPr>
          <w:rFonts w:cs="FrankRuehl"/>
          <w:sz w:val="20"/>
          <w:szCs w:val="22"/>
          <w:rtl/>
        </w:rPr>
        <w:t xml:space="preserve">בש תפיסות </w:t>
      </w:r>
      <w:r w:rsidRPr="00CB20FE">
        <w:rPr>
          <w:rFonts w:cs="FrankRuehl" w:hint="cs"/>
          <w:sz w:val="20"/>
          <w:szCs w:val="22"/>
          <w:rtl/>
        </w:rPr>
        <w:t>ה</w:t>
      </w:r>
      <w:r w:rsidRPr="00CB20FE">
        <w:rPr>
          <w:rFonts w:cs="FrankRuehl"/>
          <w:sz w:val="20"/>
          <w:szCs w:val="22"/>
          <w:rtl/>
        </w:rPr>
        <w:t xml:space="preserve">פעלה למצבי חירום בעורף, </w:t>
      </w:r>
      <w:r w:rsidRPr="00CB20FE">
        <w:rPr>
          <w:rFonts w:cs="FrankRuehl" w:hint="cs"/>
          <w:sz w:val="20"/>
          <w:szCs w:val="22"/>
          <w:rtl/>
        </w:rPr>
        <w:t xml:space="preserve">תכניות </w:t>
      </w:r>
      <w:r w:rsidRPr="00CB20FE">
        <w:rPr>
          <w:rFonts w:cs="FrankRuehl"/>
          <w:sz w:val="20"/>
          <w:szCs w:val="22"/>
          <w:rtl/>
        </w:rPr>
        <w:t xml:space="preserve">היערכות </w:t>
      </w:r>
      <w:r w:rsidRPr="00CB20FE">
        <w:rPr>
          <w:rFonts w:cs="FrankRuehl" w:hint="cs"/>
          <w:sz w:val="20"/>
          <w:szCs w:val="22"/>
          <w:rtl/>
        </w:rPr>
        <w:t>ל</w:t>
      </w:r>
      <w:r w:rsidRPr="00CB20FE">
        <w:rPr>
          <w:rFonts w:cs="FrankRuehl"/>
          <w:sz w:val="20"/>
          <w:szCs w:val="22"/>
          <w:rtl/>
        </w:rPr>
        <w:t>מצבי חירום שונים של ארגונים ומשרדי ממשלה</w:t>
      </w:r>
      <w:r w:rsidRPr="00CB20FE">
        <w:rPr>
          <w:rFonts w:cs="FrankRuehl" w:hint="cs"/>
          <w:sz w:val="20"/>
          <w:szCs w:val="22"/>
          <w:rtl/>
        </w:rPr>
        <w:t xml:space="preserve"> ונוהלי תפקוד בעת </w:t>
      </w:r>
      <w:r w:rsidRPr="00CB20FE">
        <w:rPr>
          <w:rFonts w:cs="FrankRuehl" w:hint="cs"/>
          <w:sz w:val="20"/>
          <w:szCs w:val="22"/>
          <w:rtl/>
        </w:rPr>
        <w:t>חירום</w:t>
      </w:r>
      <w:r w:rsidRPr="00CB20FE">
        <w:rPr>
          <w:rFonts w:cs="FrankRuehl"/>
          <w:sz w:val="20"/>
          <w:szCs w:val="22"/>
          <w:rtl/>
        </w:rPr>
        <w:t xml:space="preserve">. בין </w:t>
      </w:r>
      <w:r w:rsidRPr="00CB20FE">
        <w:rPr>
          <w:rFonts w:cs="FrankRuehl" w:hint="cs"/>
          <w:sz w:val="20"/>
          <w:szCs w:val="22"/>
          <w:rtl/>
        </w:rPr>
        <w:t>ה</w:t>
      </w:r>
      <w:r w:rsidRPr="00CB20FE">
        <w:rPr>
          <w:rFonts w:cs="FrankRuehl"/>
          <w:sz w:val="20"/>
          <w:szCs w:val="22"/>
          <w:rtl/>
        </w:rPr>
        <w:t>שאר</w:t>
      </w:r>
      <w:r w:rsidRPr="00CB20FE">
        <w:rPr>
          <w:rFonts w:cs="FrankRuehl" w:hint="cs"/>
          <w:sz w:val="20"/>
          <w:szCs w:val="22"/>
          <w:rtl/>
        </w:rPr>
        <w:t>,</w:t>
      </w:r>
      <w:r w:rsidRPr="00CB20FE">
        <w:rPr>
          <w:rFonts w:cs="FrankRuehl"/>
          <w:sz w:val="20"/>
          <w:szCs w:val="22"/>
          <w:rtl/>
        </w:rPr>
        <w:t xml:space="preserve"> </w:t>
      </w:r>
      <w:r w:rsidRPr="00CB20FE">
        <w:rPr>
          <w:rFonts w:cs="FrankRuehl" w:hint="cs"/>
          <w:sz w:val="20"/>
          <w:szCs w:val="22"/>
          <w:rtl/>
        </w:rPr>
        <w:t>על</w:t>
      </w:r>
      <w:r w:rsidRPr="00CB20FE">
        <w:rPr>
          <w:rFonts w:cs="FrankRuehl"/>
          <w:sz w:val="20"/>
          <w:szCs w:val="22"/>
          <w:rtl/>
        </w:rPr>
        <w:t xml:space="preserve"> </w:t>
      </w:r>
      <w:r w:rsidRPr="00CB20FE">
        <w:rPr>
          <w:rFonts w:cs="FrankRuehl"/>
          <w:sz w:val="20"/>
          <w:szCs w:val="22"/>
          <w:rtl/>
        </w:rPr>
        <w:t>רח"ל</w:t>
      </w:r>
      <w:r w:rsidRPr="00CB20FE">
        <w:rPr>
          <w:rFonts w:cs="FrankRuehl"/>
          <w:sz w:val="20"/>
          <w:szCs w:val="22"/>
          <w:rtl/>
        </w:rPr>
        <w:t xml:space="preserve"> להמליץ </w:t>
      </w:r>
      <w:r w:rsidRPr="00CB20FE">
        <w:rPr>
          <w:rFonts w:cs="FrankRuehl" w:hint="cs"/>
          <w:sz w:val="20"/>
          <w:szCs w:val="22"/>
          <w:rtl/>
        </w:rPr>
        <w:t xml:space="preserve">לשר הביטחון </w:t>
      </w:r>
      <w:r w:rsidRPr="00CB20FE">
        <w:rPr>
          <w:rFonts w:cs="FrankRuehl"/>
          <w:sz w:val="20"/>
          <w:szCs w:val="22"/>
          <w:rtl/>
        </w:rPr>
        <w:t>על קביעת סדרי עדיפו</w:t>
      </w:r>
      <w:r w:rsidRPr="00CB20FE">
        <w:rPr>
          <w:rFonts w:cs="FrankRuehl" w:hint="cs"/>
          <w:sz w:val="20"/>
          <w:szCs w:val="22"/>
          <w:rtl/>
        </w:rPr>
        <w:t>יו</w:t>
      </w:r>
      <w:r w:rsidRPr="00CB20FE">
        <w:rPr>
          <w:rFonts w:cs="FrankRuehl"/>
          <w:sz w:val="20"/>
          <w:szCs w:val="22"/>
          <w:rtl/>
        </w:rPr>
        <w:t>ת להפעלת המאמצים בעורף ברמה הלאומית ותיאום של פעילות ההסברה והדרכת הציבור</w:t>
      </w:r>
      <w:r w:rsidRPr="00CB20FE">
        <w:rPr>
          <w:rFonts w:cs="FrankRuehl" w:hint="cs"/>
          <w:sz w:val="20"/>
          <w:szCs w:val="22"/>
          <w:rtl/>
        </w:rPr>
        <w:t xml:space="preserve"> בשעת חירום</w:t>
      </w:r>
      <w:r>
        <w:rPr>
          <w:rStyle w:val="FootnoteReference"/>
          <w:rFonts w:cs="FrankRuehl"/>
          <w:sz w:val="20"/>
          <w:szCs w:val="22"/>
          <w:rtl/>
        </w:rPr>
        <w:footnoteReference w:id="49"/>
      </w:r>
      <w:r w:rsidRPr="00CB20FE">
        <w:rPr>
          <w:rFonts w:cs="FrankRuehl"/>
          <w:sz w:val="20"/>
          <w:szCs w:val="22"/>
          <w:rtl/>
        </w:rPr>
        <w:t>. בהחלטת ממשלה מאוגוסט 2009</w:t>
      </w:r>
      <w:r>
        <w:rPr>
          <w:rStyle w:val="FootnoteReference"/>
          <w:rFonts w:cs="FrankRuehl"/>
          <w:sz w:val="20"/>
          <w:szCs w:val="22"/>
          <w:rtl/>
        </w:rPr>
        <w:footnoteReference w:id="50"/>
      </w:r>
      <w:r w:rsidRPr="00CB20FE">
        <w:rPr>
          <w:rFonts w:cs="FrankRuehl"/>
          <w:sz w:val="20"/>
          <w:szCs w:val="22"/>
          <w:rtl/>
        </w:rPr>
        <w:t xml:space="preserve"> נקבע כי מטה מל"ח</w:t>
      </w:r>
      <w:r w:rsidRPr="00CB20FE">
        <w:rPr>
          <w:rFonts w:cs="FrankRuehl" w:hint="cs"/>
          <w:sz w:val="20"/>
          <w:szCs w:val="22"/>
          <w:rtl/>
        </w:rPr>
        <w:t xml:space="preserve"> (משק לשעת חירום)</w:t>
      </w:r>
      <w:r w:rsidRPr="00CB20FE">
        <w:rPr>
          <w:rFonts w:cs="FrankRuehl"/>
          <w:sz w:val="20"/>
          <w:szCs w:val="22"/>
          <w:rtl/>
        </w:rPr>
        <w:t xml:space="preserve"> הארצי ישולב </w:t>
      </w:r>
      <w:r w:rsidRPr="00CB20FE">
        <w:rPr>
          <w:rFonts w:cs="FrankRuehl"/>
          <w:sz w:val="20"/>
          <w:szCs w:val="22"/>
          <w:rtl/>
        </w:rPr>
        <w:t>ברח"ל</w:t>
      </w:r>
      <w:r w:rsidRPr="00CB20FE">
        <w:rPr>
          <w:rFonts w:cs="FrankRuehl" w:hint="cs"/>
          <w:sz w:val="20"/>
          <w:szCs w:val="22"/>
          <w:rtl/>
        </w:rPr>
        <w:t xml:space="preserve">. בעלי עסקים קטנים ובינוניים יכולים להגן על העסק שלהם מפני מצבי חירום באמצעות זיהוי מראש של הסיכונים הנובעים מאסונות שעלולים לפקוד את העסקים שלהם, הכנת תכנית היערכות לאסון גדול והכנת תכנית לפעולה בעת התרחשות אסון ולאחריו. גיבוש תכניות כאמור ועדכונן מפעם לפעם יכולים לתרום רבות להישרדות העסק לאחר אסון. </w:t>
      </w:r>
    </w:p>
    <w:p w:rsidR="00E21817" w:rsidRPr="00CB20FE" w:rsidP="00484EEB">
      <w:pPr>
        <w:tabs>
          <w:tab w:val="left" w:pos="0"/>
        </w:tabs>
        <w:spacing w:after="120" w:line="230" w:lineRule="exact"/>
        <w:jc w:val="both"/>
        <w:rPr>
          <w:rFonts w:cs="FrankRuehl"/>
          <w:sz w:val="20"/>
          <w:szCs w:val="22"/>
          <w:rtl/>
        </w:rPr>
      </w:pPr>
      <w:r w:rsidRPr="00CB20FE">
        <w:rPr>
          <w:rFonts w:cs="FrankRuehl" w:hint="cs"/>
          <w:sz w:val="20"/>
          <w:szCs w:val="22"/>
          <w:rtl/>
        </w:rPr>
        <w:t>משרד</w:t>
      </w:r>
      <w:r w:rsidRPr="00CB20FE">
        <w:rPr>
          <w:rFonts w:cs="FrankRuehl"/>
          <w:sz w:val="20"/>
          <w:szCs w:val="22"/>
          <w:rtl/>
        </w:rPr>
        <w:t xml:space="preserve"> </w:t>
      </w:r>
      <w:r w:rsidRPr="00CB20FE">
        <w:rPr>
          <w:rFonts w:cs="FrankRuehl" w:hint="cs"/>
          <w:sz w:val="20"/>
          <w:szCs w:val="22"/>
          <w:rtl/>
        </w:rPr>
        <w:t>מבקר</w:t>
      </w:r>
      <w:r w:rsidRPr="00CB20FE">
        <w:rPr>
          <w:rFonts w:cs="FrankRuehl"/>
          <w:sz w:val="20"/>
          <w:szCs w:val="22"/>
          <w:rtl/>
        </w:rPr>
        <w:t xml:space="preserve"> </w:t>
      </w:r>
      <w:r w:rsidRPr="00CB20FE">
        <w:rPr>
          <w:rFonts w:cs="FrankRuehl" w:hint="cs"/>
          <w:sz w:val="20"/>
          <w:szCs w:val="22"/>
          <w:rtl/>
        </w:rPr>
        <w:t>המדינה</w:t>
      </w:r>
      <w:r w:rsidRPr="00CB20FE">
        <w:rPr>
          <w:rFonts w:cs="FrankRuehl"/>
          <w:sz w:val="20"/>
          <w:szCs w:val="22"/>
          <w:rtl/>
        </w:rPr>
        <w:t xml:space="preserve"> </w:t>
      </w:r>
      <w:r w:rsidRPr="00CB20FE">
        <w:rPr>
          <w:rFonts w:cs="FrankRuehl" w:hint="cs"/>
          <w:sz w:val="20"/>
          <w:szCs w:val="22"/>
          <w:rtl/>
        </w:rPr>
        <w:t>בחן</w:t>
      </w:r>
      <w:r w:rsidRPr="00CB20FE">
        <w:rPr>
          <w:rFonts w:cs="FrankRuehl"/>
          <w:sz w:val="20"/>
          <w:szCs w:val="22"/>
          <w:rtl/>
        </w:rPr>
        <w:t xml:space="preserve"> </w:t>
      </w:r>
      <w:r w:rsidRPr="00CB20FE">
        <w:rPr>
          <w:rFonts w:cs="FrankRuehl" w:hint="cs"/>
          <w:sz w:val="20"/>
          <w:szCs w:val="22"/>
          <w:rtl/>
        </w:rPr>
        <w:t>את</w:t>
      </w:r>
      <w:r w:rsidRPr="00CB20FE">
        <w:rPr>
          <w:rFonts w:cs="FrankRuehl"/>
          <w:sz w:val="20"/>
          <w:szCs w:val="22"/>
          <w:rtl/>
        </w:rPr>
        <w:t xml:space="preserve"> </w:t>
      </w:r>
      <w:r w:rsidRPr="00CB20FE">
        <w:rPr>
          <w:rFonts w:cs="FrankRuehl" w:hint="cs"/>
          <w:sz w:val="20"/>
          <w:szCs w:val="22"/>
          <w:rtl/>
        </w:rPr>
        <w:t>פעולות</w:t>
      </w:r>
      <w:r w:rsidRPr="00CB20FE">
        <w:rPr>
          <w:rFonts w:cs="FrankRuehl"/>
          <w:sz w:val="20"/>
          <w:szCs w:val="22"/>
          <w:rtl/>
        </w:rPr>
        <w:t xml:space="preserve"> </w:t>
      </w:r>
      <w:r w:rsidRPr="00CB20FE">
        <w:rPr>
          <w:rFonts w:cs="FrankRuehl" w:hint="cs"/>
          <w:sz w:val="20"/>
          <w:szCs w:val="22"/>
          <w:rtl/>
        </w:rPr>
        <w:t>הסוכנות</w:t>
      </w:r>
      <w:r w:rsidRPr="00CB20FE">
        <w:rPr>
          <w:rFonts w:cs="FrankRuehl"/>
          <w:sz w:val="20"/>
          <w:szCs w:val="22"/>
          <w:rtl/>
        </w:rPr>
        <w:t xml:space="preserve"> </w:t>
      </w:r>
      <w:r w:rsidRPr="00CB20FE">
        <w:rPr>
          <w:rFonts w:cs="FrankRuehl" w:hint="cs"/>
          <w:sz w:val="20"/>
          <w:szCs w:val="22"/>
          <w:rtl/>
        </w:rPr>
        <w:t>להיערכות</w:t>
      </w:r>
      <w:r w:rsidRPr="00CB20FE">
        <w:rPr>
          <w:rFonts w:cs="FrankRuehl"/>
          <w:sz w:val="20"/>
          <w:szCs w:val="22"/>
          <w:rtl/>
        </w:rPr>
        <w:t xml:space="preserve"> </w:t>
      </w:r>
      <w:r w:rsidRPr="00CB20FE">
        <w:rPr>
          <w:rFonts w:cs="FrankRuehl" w:hint="cs"/>
          <w:sz w:val="20"/>
          <w:szCs w:val="22"/>
          <w:rtl/>
        </w:rPr>
        <w:t>למצבי</w:t>
      </w:r>
      <w:r w:rsidRPr="00CB20FE">
        <w:rPr>
          <w:rFonts w:cs="FrankRuehl"/>
          <w:sz w:val="20"/>
          <w:szCs w:val="22"/>
          <w:rtl/>
        </w:rPr>
        <w:t xml:space="preserve"> </w:t>
      </w:r>
      <w:r w:rsidRPr="00CB20FE">
        <w:rPr>
          <w:rFonts w:cs="FrankRuehl" w:hint="cs"/>
          <w:sz w:val="20"/>
          <w:szCs w:val="22"/>
          <w:rtl/>
        </w:rPr>
        <w:t>חירום</w:t>
      </w:r>
      <w:r w:rsidRPr="00CB20FE">
        <w:rPr>
          <w:rFonts w:cs="FrankRuehl"/>
          <w:sz w:val="20"/>
          <w:szCs w:val="22"/>
          <w:rtl/>
        </w:rPr>
        <w:t xml:space="preserve">. </w:t>
      </w:r>
      <w:r w:rsidRPr="00CB20FE">
        <w:rPr>
          <w:rFonts w:cs="FrankRuehl" w:hint="cs"/>
          <w:sz w:val="20"/>
          <w:szCs w:val="22"/>
          <w:rtl/>
        </w:rPr>
        <w:t>להלן</w:t>
      </w:r>
      <w:r w:rsidRPr="00CB20FE">
        <w:rPr>
          <w:rFonts w:cs="FrankRuehl"/>
          <w:sz w:val="20"/>
          <w:szCs w:val="22"/>
          <w:rtl/>
        </w:rPr>
        <w:t xml:space="preserve"> מפורטים ממצאי הבדיקה.</w:t>
      </w:r>
      <w:r w:rsidRPr="00CB20FE">
        <w:rPr>
          <w:rFonts w:cs="FrankRuehl" w:hint="cs"/>
          <w:sz w:val="20"/>
          <w:szCs w:val="22"/>
          <w:rtl/>
        </w:rPr>
        <w:t xml:space="preserve"> </w:t>
      </w:r>
    </w:p>
    <w:p w:rsidR="00E21817" w:rsidRPr="00CB20FE" w:rsidP="00484EEB">
      <w:pPr>
        <w:spacing w:after="120" w:line="230" w:lineRule="exact"/>
        <w:jc w:val="both"/>
        <w:rPr>
          <w:rFonts w:cs="FrankRuehl"/>
          <w:sz w:val="20"/>
          <w:szCs w:val="22"/>
          <w:rtl/>
        </w:rPr>
      </w:pPr>
      <w:r w:rsidRPr="00CB20FE">
        <w:rPr>
          <w:rFonts w:cs="FrankRuehl" w:hint="cs"/>
          <w:sz w:val="20"/>
          <w:szCs w:val="22"/>
          <w:rtl/>
        </w:rPr>
        <w:t>הועלה כי: הסוכנות אינה מרכזת מידע מקצועי רלוונטי להיערכות למצבי</w:t>
      </w:r>
      <w:r w:rsidRPr="00CB20FE">
        <w:rPr>
          <w:rFonts w:cs="FrankRuehl"/>
          <w:sz w:val="20"/>
          <w:szCs w:val="22"/>
          <w:rtl/>
        </w:rPr>
        <w:t xml:space="preserve"> </w:t>
      </w:r>
      <w:r w:rsidRPr="00CB20FE">
        <w:rPr>
          <w:rFonts w:cs="FrankRuehl" w:hint="cs"/>
          <w:sz w:val="20"/>
          <w:szCs w:val="22"/>
          <w:rtl/>
        </w:rPr>
        <w:t xml:space="preserve">חירום באתר האינטרנט שלה ואינה מכינה הנחיות או כלי הדרכה שיסייעו לעסקים להיערך למצבי חירום בהתאם לתרחישי הייחוס שהכינה </w:t>
      </w:r>
      <w:r w:rsidRPr="00CB20FE">
        <w:rPr>
          <w:rFonts w:cs="FrankRuehl" w:hint="cs"/>
          <w:sz w:val="20"/>
          <w:szCs w:val="22"/>
          <w:rtl/>
        </w:rPr>
        <w:t>רח"ל</w:t>
      </w:r>
      <w:r w:rsidRPr="00CB20FE">
        <w:rPr>
          <w:rFonts w:cs="FrankRuehl" w:hint="cs"/>
          <w:sz w:val="20"/>
          <w:szCs w:val="22"/>
          <w:rtl/>
        </w:rPr>
        <w:t>. בהיעדר מידע זמין כאמור, כדי להיערך בהתאם למצבי חירום בעל העסק צריך לאתר את המידע המקצועי הרלוונטי לו, שלעתים קרובות כתוב בשפה זרה, או לקבל ייעוץ מקצועי בתשלום.</w:t>
      </w:r>
    </w:p>
    <w:p w:rsidR="00E21817" w:rsidRPr="00CB20FE" w:rsidP="00484EEB">
      <w:pPr>
        <w:pStyle w:val="ListParagraph"/>
        <w:numPr>
          <w:ilvl w:val="0"/>
          <w:numId w:val="44"/>
        </w:numPr>
        <w:spacing w:after="120" w:line="230" w:lineRule="exact"/>
        <w:contextualSpacing w:val="0"/>
        <w:jc w:val="both"/>
        <w:rPr>
          <w:rFonts w:ascii="Times New Roman" w:hAnsi="Times New Roman" w:cs="FrankRuehl"/>
          <w:sz w:val="20"/>
          <w:rtl/>
        </w:rPr>
      </w:pPr>
      <w:r w:rsidRPr="00CB20FE">
        <w:rPr>
          <w:rFonts w:ascii="Times New Roman" w:hAnsi="Times New Roman" w:cs="FrankRuehl" w:hint="cs"/>
          <w:sz w:val="20"/>
          <w:rtl/>
        </w:rPr>
        <w:t>משרד מבקר המדינה הפנה את הסוכנות למידע המופיע באתרי אינטרנט</w:t>
      </w:r>
      <w:r>
        <w:rPr>
          <w:rFonts w:ascii="Times New Roman" w:hAnsi="Times New Roman" w:cs="FrankRuehl"/>
          <w:sz w:val="20"/>
          <w:vertAlign w:val="superscript"/>
          <w:rtl/>
        </w:rPr>
        <w:footnoteReference w:id="51"/>
      </w:r>
      <w:r w:rsidRPr="00CB20FE">
        <w:rPr>
          <w:rFonts w:ascii="Times New Roman" w:hAnsi="Times New Roman" w:cs="FrankRuehl" w:hint="cs"/>
          <w:sz w:val="20"/>
          <w:rtl/>
        </w:rPr>
        <w:t xml:space="preserve"> של הסוכנות לעסקים קטנים בארה"ב</w:t>
      </w:r>
      <w:r w:rsidR="00484EEB">
        <w:rPr>
          <w:rFonts w:ascii="Times New Roman" w:hAnsi="Times New Roman" w:cs="FrankRuehl" w:hint="cs"/>
          <w:sz w:val="20"/>
          <w:rtl/>
        </w:rPr>
        <w:t xml:space="preserve"> (</w:t>
      </w:r>
      <w:r w:rsidRPr="00CB20FE" w:rsidR="00484EEB">
        <w:rPr>
          <w:rFonts w:ascii="Times New Roman" w:hAnsi="Times New Roman" w:cs="FrankRuehl"/>
          <w:sz w:val="20"/>
        </w:rPr>
        <w:t>S.B.A</w:t>
      </w:r>
      <w:r w:rsidR="00484EEB">
        <w:rPr>
          <w:rFonts w:ascii="Times New Roman" w:hAnsi="Times New Roman" w:cs="FrankRuehl" w:hint="cs"/>
          <w:sz w:val="20"/>
          <w:rtl/>
        </w:rPr>
        <w:t xml:space="preserve">) </w:t>
      </w:r>
      <w:r w:rsidRPr="00CB20FE">
        <w:rPr>
          <w:rFonts w:ascii="Times New Roman" w:hAnsi="Times New Roman" w:cs="FrankRuehl" w:hint="cs"/>
          <w:sz w:val="20"/>
          <w:rtl/>
        </w:rPr>
        <w:t>ושל ארגונים המתמחים בהיערכות לאסונות ובנוגע להיערכות לחירום. הסוכנות יכולה לכלול באתר האינטרנט שלה מידע דומה במטרה לסייע לעסקים קטנים ובינוניים להיערך למצבי חירום. משרד הכלכלה</w:t>
      </w:r>
      <w:r w:rsidRPr="00CB20FE">
        <w:rPr>
          <w:rFonts w:ascii="Times New Roman" w:hAnsi="Times New Roman" w:cs="FrankRuehl"/>
          <w:sz w:val="20"/>
          <w:rtl/>
        </w:rPr>
        <w:t xml:space="preserve"> מסר בתשובתו כי המידע </w:t>
      </w:r>
      <w:r w:rsidRPr="00CB20FE">
        <w:rPr>
          <w:rFonts w:ascii="Times New Roman" w:hAnsi="Times New Roman" w:cs="FrankRuehl" w:hint="cs"/>
          <w:sz w:val="20"/>
          <w:rtl/>
        </w:rPr>
        <w:t>הרלוונטי בנושא חירום יועלה לאתר הסוכנות.</w:t>
      </w:r>
    </w:p>
    <w:p w:rsidR="00E21817" w:rsidRPr="00CB20FE" w:rsidP="00484EEB">
      <w:pPr>
        <w:pStyle w:val="ListParagraph"/>
        <w:numPr>
          <w:ilvl w:val="0"/>
          <w:numId w:val="44"/>
        </w:numPr>
        <w:spacing w:after="120" w:line="230" w:lineRule="exact"/>
        <w:contextualSpacing w:val="0"/>
        <w:jc w:val="both"/>
        <w:rPr>
          <w:rFonts w:ascii="Times New Roman" w:hAnsi="Times New Roman" w:cs="FrankRuehl"/>
          <w:sz w:val="20"/>
        </w:rPr>
      </w:pPr>
      <w:r w:rsidRPr="00CB20FE">
        <w:rPr>
          <w:rFonts w:ascii="Times New Roman" w:hAnsi="Times New Roman" w:cs="FrankRuehl" w:hint="cs"/>
          <w:sz w:val="20"/>
          <w:rtl/>
        </w:rPr>
        <w:t>קיום</w:t>
      </w:r>
      <w:r w:rsidRPr="00CB20FE">
        <w:rPr>
          <w:rFonts w:ascii="Times New Roman" w:hAnsi="Times New Roman" w:cs="FrankRuehl"/>
          <w:sz w:val="20"/>
          <w:rtl/>
        </w:rPr>
        <w:t xml:space="preserve"> </w:t>
      </w:r>
      <w:r w:rsidRPr="00CB20FE">
        <w:rPr>
          <w:rFonts w:ascii="Times New Roman" w:hAnsi="Times New Roman" w:cs="FrankRuehl" w:hint="cs"/>
          <w:sz w:val="20"/>
          <w:rtl/>
        </w:rPr>
        <w:t xml:space="preserve">מערך של כלים ממשלתיים קבועים מראש המיועדים להפעלה בשעת חירום מסייע לעסקים קטנים </w:t>
      </w:r>
      <w:r w:rsidRPr="00CB20FE">
        <w:rPr>
          <w:rFonts w:ascii="Times New Roman" w:hAnsi="Times New Roman" w:cs="FrankRuehl" w:hint="eastAsia"/>
          <w:sz w:val="20"/>
          <w:rtl/>
        </w:rPr>
        <w:t>ובינוניים</w:t>
      </w:r>
      <w:r w:rsidRPr="00CB20FE">
        <w:rPr>
          <w:rFonts w:ascii="Times New Roman" w:hAnsi="Times New Roman" w:cs="FrankRuehl"/>
          <w:sz w:val="20"/>
          <w:rtl/>
        </w:rPr>
        <w:t xml:space="preserve"> </w:t>
      </w:r>
      <w:r w:rsidRPr="00CB20FE">
        <w:rPr>
          <w:rFonts w:ascii="Times New Roman" w:hAnsi="Times New Roman" w:cs="FrankRuehl" w:hint="eastAsia"/>
          <w:sz w:val="20"/>
          <w:rtl/>
        </w:rPr>
        <w:t>להיערך</w:t>
      </w:r>
      <w:r w:rsidRPr="00CB20FE">
        <w:rPr>
          <w:rFonts w:ascii="Times New Roman" w:hAnsi="Times New Roman" w:cs="FrankRuehl"/>
          <w:sz w:val="20"/>
          <w:rtl/>
        </w:rPr>
        <w:t xml:space="preserve"> </w:t>
      </w:r>
      <w:r w:rsidRPr="00CB20FE">
        <w:rPr>
          <w:rFonts w:ascii="Times New Roman" w:hAnsi="Times New Roman" w:cs="FrankRuehl" w:hint="eastAsia"/>
          <w:sz w:val="20"/>
          <w:rtl/>
        </w:rPr>
        <w:t>למצבי</w:t>
      </w:r>
      <w:r w:rsidRPr="00CB20FE">
        <w:rPr>
          <w:rFonts w:ascii="Times New Roman" w:hAnsi="Times New Roman" w:cs="FrankRuehl"/>
          <w:sz w:val="20"/>
          <w:rtl/>
        </w:rPr>
        <w:t xml:space="preserve"> </w:t>
      </w:r>
      <w:r w:rsidRPr="00CB20FE">
        <w:rPr>
          <w:rFonts w:ascii="Times New Roman" w:hAnsi="Times New Roman" w:cs="FrankRuehl" w:hint="eastAsia"/>
          <w:sz w:val="20"/>
          <w:rtl/>
        </w:rPr>
        <w:t>חירום</w:t>
      </w:r>
      <w:r w:rsidRPr="00CB20FE">
        <w:rPr>
          <w:rFonts w:ascii="Times New Roman" w:hAnsi="Times New Roman" w:cs="FrankRuehl"/>
          <w:sz w:val="20"/>
          <w:rtl/>
        </w:rPr>
        <w:t xml:space="preserve"> </w:t>
      </w:r>
      <w:r w:rsidRPr="00CB20FE">
        <w:rPr>
          <w:rFonts w:ascii="Times New Roman" w:hAnsi="Times New Roman" w:cs="FrankRuehl" w:hint="eastAsia"/>
          <w:sz w:val="20"/>
          <w:rtl/>
        </w:rPr>
        <w:t>ואסונות</w:t>
      </w:r>
      <w:r w:rsidRPr="00CB20FE">
        <w:rPr>
          <w:rFonts w:ascii="Times New Roman" w:hAnsi="Times New Roman" w:cs="FrankRuehl"/>
          <w:sz w:val="20"/>
          <w:rtl/>
        </w:rPr>
        <w:t xml:space="preserve">. </w:t>
      </w:r>
      <w:r w:rsidRPr="00CB20FE">
        <w:rPr>
          <w:rFonts w:ascii="Times New Roman" w:hAnsi="Times New Roman" w:cs="FrankRuehl" w:hint="eastAsia"/>
          <w:sz w:val="20"/>
          <w:rtl/>
        </w:rPr>
        <w:t>בארה</w:t>
      </w:r>
      <w:r w:rsidRPr="00CB20FE">
        <w:rPr>
          <w:rFonts w:ascii="Times New Roman" w:hAnsi="Times New Roman" w:cs="FrankRuehl"/>
          <w:sz w:val="20"/>
          <w:rtl/>
        </w:rPr>
        <w:t xml:space="preserve">"ב, לדוגמה, </w:t>
      </w:r>
      <w:r w:rsidRPr="00CB20FE">
        <w:rPr>
          <w:rFonts w:ascii="Times New Roman" w:hAnsi="Times New Roman" w:cs="FrankRuehl" w:hint="eastAsia"/>
          <w:sz w:val="20"/>
          <w:rtl/>
        </w:rPr>
        <w:t>נקבע</w:t>
      </w:r>
      <w:r w:rsidRPr="00CB20FE">
        <w:rPr>
          <w:rFonts w:ascii="Times New Roman" w:hAnsi="Times New Roman" w:cs="FrankRuehl"/>
          <w:sz w:val="20"/>
          <w:rtl/>
        </w:rPr>
        <w:t xml:space="preserve"> בחוק לעסקים קטנים </w:t>
      </w:r>
      <w:r w:rsidRPr="00CB20FE">
        <w:rPr>
          <w:rFonts w:ascii="Times New Roman" w:hAnsi="Times New Roman" w:cs="FrankRuehl" w:hint="eastAsia"/>
          <w:sz w:val="20"/>
          <w:rtl/>
        </w:rPr>
        <w:t>שאם</w:t>
      </w:r>
      <w:r w:rsidRPr="00CB20FE">
        <w:rPr>
          <w:rFonts w:ascii="Times New Roman" w:hAnsi="Times New Roman" w:cs="FrankRuehl"/>
          <w:sz w:val="20"/>
          <w:rtl/>
        </w:rPr>
        <w:t xml:space="preserve"> </w:t>
      </w:r>
      <w:r w:rsidRPr="00CB20FE">
        <w:rPr>
          <w:rFonts w:ascii="Times New Roman" w:hAnsi="Times New Roman" w:cs="FrankRuehl" w:hint="eastAsia"/>
          <w:sz w:val="20"/>
          <w:rtl/>
        </w:rPr>
        <w:t>הממשל</w:t>
      </w:r>
      <w:r w:rsidRPr="00CB20FE">
        <w:rPr>
          <w:rFonts w:ascii="Times New Roman" w:hAnsi="Times New Roman" w:cs="FrankRuehl"/>
          <w:sz w:val="20"/>
          <w:rtl/>
        </w:rPr>
        <w:t xml:space="preserve"> </w:t>
      </w:r>
      <w:r w:rsidRPr="00CB20FE">
        <w:rPr>
          <w:rFonts w:ascii="Times New Roman" w:hAnsi="Times New Roman" w:cs="FrankRuehl" w:hint="eastAsia"/>
          <w:sz w:val="20"/>
          <w:rtl/>
        </w:rPr>
        <w:t>יחליט</w:t>
      </w:r>
      <w:r w:rsidRPr="00CB20FE">
        <w:rPr>
          <w:rFonts w:ascii="Times New Roman" w:hAnsi="Times New Roman" w:cs="FrankRuehl"/>
          <w:sz w:val="20"/>
          <w:rtl/>
        </w:rPr>
        <w:t xml:space="preserve"> </w:t>
      </w:r>
      <w:r w:rsidRPr="00CB20FE">
        <w:rPr>
          <w:rFonts w:ascii="Times New Roman" w:hAnsi="Times New Roman" w:cs="FrankRuehl" w:hint="eastAsia"/>
          <w:sz w:val="20"/>
          <w:rtl/>
        </w:rPr>
        <w:t>להכריז</w:t>
      </w:r>
      <w:r w:rsidRPr="00CB20FE">
        <w:rPr>
          <w:rFonts w:ascii="Times New Roman" w:hAnsi="Times New Roman" w:cs="FrankRuehl"/>
          <w:sz w:val="20"/>
          <w:rtl/>
        </w:rPr>
        <w:t xml:space="preserve"> </w:t>
      </w:r>
      <w:r w:rsidRPr="00CB20FE">
        <w:rPr>
          <w:rFonts w:ascii="Times New Roman" w:hAnsi="Times New Roman" w:cs="FrankRuehl" w:hint="eastAsia"/>
          <w:sz w:val="20"/>
          <w:rtl/>
        </w:rPr>
        <w:t>על</w:t>
      </w:r>
      <w:r w:rsidRPr="00CB20FE">
        <w:rPr>
          <w:rFonts w:ascii="Times New Roman" w:hAnsi="Times New Roman" w:cs="FrankRuehl"/>
          <w:sz w:val="20"/>
          <w:rtl/>
        </w:rPr>
        <w:t xml:space="preserve"> </w:t>
      </w:r>
      <w:r w:rsidRPr="00CB20FE">
        <w:rPr>
          <w:rFonts w:ascii="Times New Roman" w:hAnsi="Times New Roman" w:cs="FrankRuehl" w:hint="eastAsia"/>
          <w:sz w:val="20"/>
          <w:rtl/>
        </w:rPr>
        <w:t>אזור</w:t>
      </w:r>
      <w:r w:rsidRPr="00CB20FE">
        <w:rPr>
          <w:rFonts w:ascii="Times New Roman" w:hAnsi="Times New Roman" w:cs="FrankRuehl"/>
          <w:sz w:val="20"/>
          <w:rtl/>
        </w:rPr>
        <w:t xml:space="preserve"> מסוים כאזור אסון</w:t>
      </w:r>
      <w:r>
        <w:rPr>
          <w:rFonts w:ascii="Times New Roman" w:hAnsi="Times New Roman" w:cs="FrankRuehl"/>
          <w:sz w:val="20"/>
          <w:vertAlign w:val="superscript"/>
          <w:rtl/>
        </w:rPr>
        <w:footnoteReference w:id="52"/>
      </w:r>
      <w:r w:rsidRPr="00CB20FE">
        <w:rPr>
          <w:rFonts w:ascii="Times New Roman" w:hAnsi="Times New Roman" w:cs="FrankRuehl" w:hint="cs"/>
          <w:sz w:val="20"/>
          <w:rtl/>
        </w:rPr>
        <w:t>, עסקים הנמצאים באזור זה</w:t>
      </w:r>
      <w:r w:rsidRPr="00CB20FE">
        <w:rPr>
          <w:rFonts w:ascii="Times New Roman" w:hAnsi="Times New Roman" w:cs="FrankRuehl"/>
          <w:sz w:val="20"/>
          <w:rtl/>
        </w:rPr>
        <w:t xml:space="preserve"> </w:t>
      </w:r>
      <w:r w:rsidRPr="00CB20FE">
        <w:rPr>
          <w:rFonts w:ascii="Times New Roman" w:hAnsi="Times New Roman" w:cs="FrankRuehl" w:hint="eastAsia"/>
          <w:sz w:val="20"/>
          <w:rtl/>
        </w:rPr>
        <w:t>יוכלו</w:t>
      </w:r>
      <w:r w:rsidRPr="00CB20FE">
        <w:rPr>
          <w:rFonts w:ascii="Times New Roman" w:hAnsi="Times New Roman" w:cs="FrankRuehl"/>
          <w:sz w:val="20"/>
          <w:rtl/>
        </w:rPr>
        <w:t xml:space="preserve"> </w:t>
      </w:r>
      <w:r w:rsidRPr="00CB20FE">
        <w:rPr>
          <w:rFonts w:ascii="Times New Roman" w:hAnsi="Times New Roman" w:cs="FrankRuehl" w:hint="eastAsia"/>
          <w:sz w:val="20"/>
          <w:rtl/>
        </w:rPr>
        <w:t>לקבל</w:t>
      </w:r>
      <w:r w:rsidRPr="00CB20FE">
        <w:rPr>
          <w:rFonts w:ascii="Times New Roman" w:hAnsi="Times New Roman" w:cs="FrankRuehl"/>
          <w:sz w:val="20"/>
          <w:rtl/>
        </w:rPr>
        <w:t xml:space="preserve"> </w:t>
      </w:r>
      <w:r w:rsidRPr="00CB20FE">
        <w:rPr>
          <w:rFonts w:ascii="Times New Roman" w:hAnsi="Times New Roman" w:cs="FrankRuehl" w:hint="eastAsia"/>
          <w:sz w:val="20"/>
          <w:rtl/>
        </w:rPr>
        <w:t>הלוואות</w:t>
      </w:r>
      <w:r w:rsidRPr="00CB20FE">
        <w:rPr>
          <w:rFonts w:ascii="Times New Roman" w:hAnsi="Times New Roman" w:cs="FrankRuehl"/>
          <w:sz w:val="20"/>
          <w:rtl/>
        </w:rPr>
        <w:t xml:space="preserve"> </w:t>
      </w:r>
      <w:r w:rsidRPr="00CB20FE">
        <w:rPr>
          <w:rFonts w:ascii="Times New Roman" w:hAnsi="Times New Roman" w:cs="FrankRuehl" w:hint="eastAsia"/>
          <w:sz w:val="20"/>
          <w:rtl/>
        </w:rPr>
        <w:t>בתנאים</w:t>
      </w:r>
      <w:r w:rsidRPr="00CB20FE">
        <w:rPr>
          <w:rFonts w:ascii="Times New Roman" w:hAnsi="Times New Roman" w:cs="FrankRuehl"/>
          <w:sz w:val="20"/>
          <w:rtl/>
        </w:rPr>
        <w:t xml:space="preserve"> </w:t>
      </w:r>
      <w:r w:rsidRPr="00CB20FE">
        <w:rPr>
          <w:rFonts w:ascii="Times New Roman" w:hAnsi="Times New Roman" w:cs="FrankRuehl" w:hint="eastAsia"/>
          <w:sz w:val="20"/>
          <w:rtl/>
        </w:rPr>
        <w:t>מועדפים</w:t>
      </w:r>
      <w:r w:rsidRPr="00CB20FE">
        <w:rPr>
          <w:rFonts w:ascii="Times New Roman" w:hAnsi="Times New Roman" w:cs="FrankRuehl"/>
          <w:sz w:val="20"/>
          <w:rtl/>
        </w:rPr>
        <w:t xml:space="preserve">, </w:t>
      </w:r>
      <w:r w:rsidRPr="00CB20FE">
        <w:rPr>
          <w:rFonts w:ascii="Times New Roman" w:hAnsi="Times New Roman" w:cs="FrankRuehl" w:hint="eastAsia"/>
          <w:sz w:val="20"/>
          <w:rtl/>
        </w:rPr>
        <w:t>כאשר</w:t>
      </w:r>
      <w:r w:rsidRPr="00CB20FE">
        <w:rPr>
          <w:rFonts w:ascii="Times New Roman" w:hAnsi="Times New Roman" w:cs="FrankRuehl"/>
          <w:sz w:val="20"/>
          <w:rtl/>
        </w:rPr>
        <w:t xml:space="preserve"> </w:t>
      </w:r>
      <w:r w:rsidRPr="00CB20FE">
        <w:rPr>
          <w:rFonts w:ascii="Times New Roman" w:hAnsi="Times New Roman" w:cs="FrankRuehl" w:hint="eastAsia"/>
          <w:sz w:val="20"/>
          <w:rtl/>
        </w:rPr>
        <w:t>כללי</w:t>
      </w:r>
      <w:r w:rsidRPr="00CB20FE">
        <w:rPr>
          <w:rFonts w:ascii="Times New Roman" w:hAnsi="Times New Roman" w:cs="FrankRuehl"/>
          <w:sz w:val="20"/>
          <w:rtl/>
        </w:rPr>
        <w:t xml:space="preserve"> </w:t>
      </w:r>
      <w:r w:rsidRPr="00CB20FE">
        <w:rPr>
          <w:rFonts w:ascii="Times New Roman" w:hAnsi="Times New Roman" w:cs="FrankRuehl" w:hint="eastAsia"/>
          <w:sz w:val="20"/>
          <w:rtl/>
        </w:rPr>
        <w:t>הזכאות</w:t>
      </w:r>
      <w:r w:rsidRPr="00CB20FE">
        <w:rPr>
          <w:rFonts w:ascii="Times New Roman" w:hAnsi="Times New Roman" w:cs="FrankRuehl"/>
          <w:sz w:val="20"/>
          <w:rtl/>
        </w:rPr>
        <w:t xml:space="preserve"> </w:t>
      </w:r>
      <w:r w:rsidRPr="00CB20FE">
        <w:rPr>
          <w:rFonts w:ascii="Times New Roman" w:hAnsi="Times New Roman" w:cs="FrankRuehl" w:hint="eastAsia"/>
          <w:sz w:val="20"/>
          <w:rtl/>
        </w:rPr>
        <w:t>נקבעים</w:t>
      </w:r>
      <w:r w:rsidRPr="00CB20FE">
        <w:rPr>
          <w:rFonts w:ascii="Times New Roman" w:hAnsi="Times New Roman" w:cs="FrankRuehl"/>
          <w:sz w:val="20"/>
          <w:rtl/>
        </w:rPr>
        <w:t xml:space="preserve"> </w:t>
      </w:r>
      <w:r w:rsidRPr="00CB20FE">
        <w:rPr>
          <w:rFonts w:ascii="Times New Roman" w:hAnsi="Times New Roman" w:cs="FrankRuehl" w:hint="eastAsia"/>
          <w:sz w:val="20"/>
          <w:rtl/>
        </w:rPr>
        <w:t>מראש</w:t>
      </w:r>
      <w:r w:rsidRPr="00CB20FE">
        <w:rPr>
          <w:rFonts w:ascii="Times New Roman" w:hAnsi="Times New Roman" w:cs="FrankRuehl"/>
          <w:sz w:val="20"/>
          <w:rtl/>
        </w:rPr>
        <w:t xml:space="preserve">. </w:t>
      </w:r>
      <w:r w:rsidRPr="00CB20FE">
        <w:rPr>
          <w:rFonts w:ascii="Times New Roman" w:hAnsi="Times New Roman" w:cs="FrankRuehl" w:hint="eastAsia"/>
          <w:sz w:val="20"/>
          <w:rtl/>
        </w:rPr>
        <w:t>הביקורת</w:t>
      </w:r>
      <w:r w:rsidRPr="00CB20FE">
        <w:rPr>
          <w:rFonts w:ascii="Times New Roman" w:hAnsi="Times New Roman" w:cs="FrankRuehl"/>
          <w:sz w:val="20"/>
          <w:rtl/>
        </w:rPr>
        <w:t xml:space="preserve"> </w:t>
      </w:r>
      <w:r w:rsidRPr="00CB20FE">
        <w:rPr>
          <w:rFonts w:ascii="Times New Roman" w:hAnsi="Times New Roman" w:cs="FrankRuehl" w:hint="eastAsia"/>
          <w:sz w:val="20"/>
          <w:rtl/>
        </w:rPr>
        <w:t>העלתה</w:t>
      </w:r>
      <w:r w:rsidRPr="00CB20FE">
        <w:rPr>
          <w:rFonts w:ascii="Times New Roman" w:hAnsi="Times New Roman" w:cs="FrankRuehl"/>
          <w:sz w:val="20"/>
          <w:rtl/>
        </w:rPr>
        <w:t xml:space="preserve"> </w:t>
      </w:r>
      <w:r w:rsidRPr="00CB20FE">
        <w:rPr>
          <w:rFonts w:ascii="Times New Roman" w:hAnsi="Times New Roman" w:cs="FrankRuehl" w:hint="eastAsia"/>
          <w:sz w:val="20"/>
          <w:rtl/>
        </w:rPr>
        <w:t>שהסוכנות</w:t>
      </w:r>
      <w:r w:rsidRPr="00CB20FE">
        <w:rPr>
          <w:rFonts w:ascii="Times New Roman" w:hAnsi="Times New Roman" w:cs="FrankRuehl"/>
          <w:sz w:val="20"/>
          <w:rtl/>
        </w:rPr>
        <w:t xml:space="preserve"> </w:t>
      </w:r>
      <w:r w:rsidRPr="00CB20FE">
        <w:rPr>
          <w:rFonts w:ascii="Times New Roman" w:hAnsi="Times New Roman" w:cs="FrankRuehl" w:hint="eastAsia"/>
          <w:sz w:val="20"/>
          <w:rtl/>
        </w:rPr>
        <w:t>מזינה</w:t>
      </w:r>
      <w:r w:rsidRPr="00CB20FE">
        <w:rPr>
          <w:rFonts w:ascii="Times New Roman" w:hAnsi="Times New Roman" w:cs="FrankRuehl"/>
          <w:sz w:val="20"/>
          <w:rtl/>
        </w:rPr>
        <w:t xml:space="preserve"> </w:t>
      </w:r>
      <w:r w:rsidRPr="00CB20FE">
        <w:rPr>
          <w:rFonts w:ascii="Times New Roman" w:hAnsi="Times New Roman" w:cs="FrankRuehl" w:hint="eastAsia"/>
          <w:sz w:val="20"/>
          <w:rtl/>
        </w:rPr>
        <w:t>באתר</w:t>
      </w:r>
      <w:r w:rsidRPr="00CB20FE">
        <w:rPr>
          <w:rFonts w:ascii="Times New Roman" w:hAnsi="Times New Roman" w:cs="FrankRuehl"/>
          <w:sz w:val="20"/>
          <w:rtl/>
        </w:rPr>
        <w:t xml:space="preserve"> </w:t>
      </w:r>
      <w:r w:rsidRPr="00CB20FE">
        <w:rPr>
          <w:rFonts w:ascii="Times New Roman" w:hAnsi="Times New Roman" w:cs="FrankRuehl" w:hint="eastAsia"/>
          <w:sz w:val="20"/>
          <w:rtl/>
        </w:rPr>
        <w:t>האינטרנט</w:t>
      </w:r>
      <w:r w:rsidRPr="00CB20FE">
        <w:rPr>
          <w:rFonts w:ascii="Times New Roman" w:hAnsi="Times New Roman" w:cs="FrankRuehl"/>
          <w:sz w:val="20"/>
          <w:rtl/>
        </w:rPr>
        <w:t xml:space="preserve"> </w:t>
      </w:r>
      <w:r w:rsidRPr="00CB20FE">
        <w:rPr>
          <w:rFonts w:ascii="Times New Roman" w:hAnsi="Times New Roman" w:cs="FrankRuehl" w:hint="eastAsia"/>
          <w:sz w:val="20"/>
          <w:rtl/>
        </w:rPr>
        <w:t>שלה</w:t>
      </w:r>
      <w:r w:rsidRPr="00CB20FE">
        <w:rPr>
          <w:rFonts w:ascii="Times New Roman" w:hAnsi="Times New Roman" w:cs="FrankRuehl"/>
          <w:sz w:val="20"/>
          <w:rtl/>
        </w:rPr>
        <w:t xml:space="preserve"> </w:t>
      </w:r>
      <w:r w:rsidRPr="00CB20FE">
        <w:rPr>
          <w:rFonts w:ascii="Times New Roman" w:hAnsi="Times New Roman" w:cs="FrankRuehl" w:hint="eastAsia"/>
          <w:sz w:val="20"/>
          <w:rtl/>
        </w:rPr>
        <w:t>מידע</w:t>
      </w:r>
      <w:r w:rsidRPr="00CB20FE">
        <w:rPr>
          <w:rFonts w:ascii="Times New Roman" w:hAnsi="Times New Roman" w:cs="FrankRuehl"/>
          <w:sz w:val="20"/>
          <w:rtl/>
        </w:rPr>
        <w:t xml:space="preserve"> </w:t>
      </w:r>
      <w:r w:rsidRPr="00CB20FE">
        <w:rPr>
          <w:rFonts w:ascii="Times New Roman" w:hAnsi="Times New Roman" w:cs="FrankRuehl" w:hint="eastAsia"/>
          <w:sz w:val="20"/>
          <w:rtl/>
        </w:rPr>
        <w:t>על</w:t>
      </w:r>
      <w:r w:rsidRPr="00CB20FE">
        <w:rPr>
          <w:rFonts w:ascii="Times New Roman" w:hAnsi="Times New Roman" w:cs="FrankRuehl"/>
          <w:sz w:val="20"/>
          <w:rtl/>
        </w:rPr>
        <w:t xml:space="preserve"> </w:t>
      </w:r>
      <w:r w:rsidRPr="00CB20FE">
        <w:rPr>
          <w:rFonts w:ascii="Times New Roman" w:hAnsi="Times New Roman" w:cs="FrankRuehl" w:hint="eastAsia"/>
          <w:sz w:val="20"/>
          <w:rtl/>
        </w:rPr>
        <w:t>תכניות</w:t>
      </w:r>
      <w:r w:rsidRPr="00CB20FE">
        <w:rPr>
          <w:rFonts w:ascii="Times New Roman" w:hAnsi="Times New Roman" w:cs="FrankRuehl"/>
          <w:sz w:val="20"/>
          <w:rtl/>
        </w:rPr>
        <w:t xml:space="preserve"> </w:t>
      </w:r>
      <w:r w:rsidRPr="00CB20FE">
        <w:rPr>
          <w:rFonts w:ascii="Times New Roman" w:hAnsi="Times New Roman" w:cs="FrankRuehl" w:hint="eastAsia"/>
          <w:sz w:val="20"/>
          <w:rtl/>
        </w:rPr>
        <w:t>סיוע</w:t>
      </w:r>
      <w:r w:rsidRPr="00CB20FE">
        <w:rPr>
          <w:rFonts w:ascii="Times New Roman" w:hAnsi="Times New Roman" w:cs="FrankRuehl"/>
          <w:sz w:val="20"/>
          <w:rtl/>
        </w:rPr>
        <w:t xml:space="preserve"> </w:t>
      </w:r>
      <w:r w:rsidRPr="00CB20FE">
        <w:rPr>
          <w:rFonts w:ascii="Times New Roman" w:hAnsi="Times New Roman" w:cs="FrankRuehl" w:hint="eastAsia"/>
          <w:sz w:val="20"/>
          <w:rtl/>
        </w:rPr>
        <w:t>או</w:t>
      </w:r>
      <w:r w:rsidRPr="00CB20FE">
        <w:rPr>
          <w:rFonts w:ascii="Times New Roman" w:hAnsi="Times New Roman" w:cs="FrankRuehl"/>
          <w:sz w:val="20"/>
          <w:rtl/>
        </w:rPr>
        <w:t xml:space="preserve"> </w:t>
      </w:r>
      <w:r w:rsidRPr="00CB20FE">
        <w:rPr>
          <w:rFonts w:ascii="Times New Roman" w:hAnsi="Times New Roman" w:cs="FrankRuehl" w:hint="eastAsia"/>
          <w:sz w:val="20"/>
          <w:rtl/>
        </w:rPr>
        <w:t>שינויים</w:t>
      </w:r>
      <w:r w:rsidRPr="00CB20FE">
        <w:rPr>
          <w:rFonts w:ascii="Times New Roman" w:hAnsi="Times New Roman" w:cs="FrankRuehl"/>
          <w:sz w:val="20"/>
          <w:rtl/>
        </w:rPr>
        <w:t xml:space="preserve"> </w:t>
      </w:r>
      <w:r w:rsidRPr="00CB20FE">
        <w:rPr>
          <w:rFonts w:ascii="Times New Roman" w:hAnsi="Times New Roman" w:cs="FrankRuehl" w:hint="eastAsia"/>
          <w:sz w:val="20"/>
          <w:rtl/>
        </w:rPr>
        <w:t>בכללים</w:t>
      </w:r>
      <w:r w:rsidRPr="00CB20FE">
        <w:rPr>
          <w:rFonts w:ascii="Times New Roman" w:hAnsi="Times New Roman" w:cs="FrankRuehl"/>
          <w:sz w:val="20"/>
          <w:rtl/>
        </w:rPr>
        <w:t xml:space="preserve"> </w:t>
      </w:r>
      <w:r w:rsidRPr="00CB20FE">
        <w:rPr>
          <w:rFonts w:ascii="Times New Roman" w:hAnsi="Times New Roman" w:cs="FrankRuehl" w:hint="eastAsia"/>
          <w:sz w:val="20"/>
          <w:rtl/>
        </w:rPr>
        <w:t>של</w:t>
      </w:r>
      <w:r w:rsidRPr="00CB20FE">
        <w:rPr>
          <w:rFonts w:ascii="Times New Roman" w:hAnsi="Times New Roman" w:cs="FrankRuehl"/>
          <w:sz w:val="20"/>
          <w:rtl/>
        </w:rPr>
        <w:t xml:space="preserve"> </w:t>
      </w:r>
      <w:r w:rsidRPr="00CB20FE">
        <w:rPr>
          <w:rFonts w:ascii="Times New Roman" w:hAnsi="Times New Roman" w:cs="FrankRuehl" w:hint="eastAsia"/>
          <w:sz w:val="20"/>
          <w:rtl/>
        </w:rPr>
        <w:t>תכניות</w:t>
      </w:r>
      <w:r w:rsidRPr="00CB20FE">
        <w:rPr>
          <w:rFonts w:ascii="Times New Roman" w:hAnsi="Times New Roman" w:cs="FrankRuehl"/>
          <w:sz w:val="20"/>
          <w:rtl/>
        </w:rPr>
        <w:t xml:space="preserve"> </w:t>
      </w:r>
      <w:r w:rsidRPr="00CB20FE">
        <w:rPr>
          <w:rFonts w:ascii="Times New Roman" w:hAnsi="Times New Roman" w:cs="FrankRuehl" w:hint="eastAsia"/>
          <w:sz w:val="20"/>
          <w:rtl/>
        </w:rPr>
        <w:t>קיימות</w:t>
      </w:r>
      <w:r w:rsidRPr="00CB20FE">
        <w:rPr>
          <w:rFonts w:ascii="Times New Roman" w:hAnsi="Times New Roman" w:cs="FrankRuehl"/>
          <w:sz w:val="20"/>
          <w:rtl/>
        </w:rPr>
        <w:t xml:space="preserve"> </w:t>
      </w:r>
      <w:r w:rsidRPr="00CB20FE">
        <w:rPr>
          <w:rFonts w:ascii="Times New Roman" w:hAnsi="Times New Roman" w:cs="FrankRuehl" w:hint="eastAsia"/>
          <w:sz w:val="20"/>
          <w:rtl/>
        </w:rPr>
        <w:t>אד</w:t>
      </w:r>
      <w:r w:rsidRPr="00CB20FE">
        <w:rPr>
          <w:rFonts w:ascii="Times New Roman" w:hAnsi="Times New Roman" w:cs="FrankRuehl"/>
          <w:sz w:val="20"/>
          <w:rtl/>
        </w:rPr>
        <w:t xml:space="preserve"> </w:t>
      </w:r>
      <w:r w:rsidRPr="00CB20FE">
        <w:rPr>
          <w:rFonts w:ascii="Times New Roman" w:hAnsi="Times New Roman" w:cs="FrankRuehl" w:hint="eastAsia"/>
          <w:sz w:val="20"/>
          <w:rtl/>
        </w:rPr>
        <w:t>הוק</w:t>
      </w:r>
      <w:r w:rsidRPr="00CB20FE">
        <w:rPr>
          <w:rFonts w:ascii="Times New Roman" w:hAnsi="Times New Roman" w:cs="FrankRuehl"/>
          <w:sz w:val="20"/>
          <w:rtl/>
        </w:rPr>
        <w:t xml:space="preserve"> </w:t>
      </w:r>
      <w:r w:rsidRPr="00CB20FE">
        <w:rPr>
          <w:rFonts w:ascii="Times New Roman" w:hAnsi="Times New Roman" w:cs="FrankRuehl" w:hint="eastAsia"/>
          <w:sz w:val="20"/>
          <w:rtl/>
        </w:rPr>
        <w:t>ובהתאם</w:t>
      </w:r>
      <w:r w:rsidRPr="00CB20FE">
        <w:rPr>
          <w:rFonts w:ascii="Times New Roman" w:hAnsi="Times New Roman" w:cs="FrankRuehl"/>
          <w:sz w:val="20"/>
          <w:rtl/>
        </w:rPr>
        <w:t xml:space="preserve"> </w:t>
      </w:r>
      <w:r w:rsidRPr="00CB20FE">
        <w:rPr>
          <w:rFonts w:ascii="Times New Roman" w:hAnsi="Times New Roman" w:cs="FrankRuehl" w:hint="eastAsia"/>
          <w:sz w:val="20"/>
          <w:rtl/>
        </w:rPr>
        <w:t>לצרכים</w:t>
      </w:r>
      <w:r w:rsidRPr="00CB20FE">
        <w:rPr>
          <w:rFonts w:ascii="Times New Roman" w:hAnsi="Times New Roman" w:cs="FrankRuehl"/>
          <w:sz w:val="20"/>
          <w:rtl/>
        </w:rPr>
        <w:t xml:space="preserve"> </w:t>
      </w:r>
      <w:r w:rsidRPr="00CB20FE">
        <w:rPr>
          <w:rFonts w:ascii="Times New Roman" w:hAnsi="Times New Roman" w:cs="FrankRuehl" w:hint="eastAsia"/>
          <w:sz w:val="20"/>
          <w:rtl/>
        </w:rPr>
        <w:t>באותו</w:t>
      </w:r>
      <w:r w:rsidRPr="00CB20FE">
        <w:rPr>
          <w:rFonts w:ascii="Times New Roman" w:hAnsi="Times New Roman" w:cs="FrankRuehl"/>
          <w:sz w:val="20"/>
          <w:rtl/>
        </w:rPr>
        <w:t xml:space="preserve"> </w:t>
      </w:r>
      <w:r w:rsidRPr="00CB20FE">
        <w:rPr>
          <w:rFonts w:ascii="Times New Roman" w:hAnsi="Times New Roman" w:cs="FrankRuehl" w:hint="eastAsia"/>
          <w:sz w:val="20"/>
          <w:rtl/>
        </w:rPr>
        <w:t>מועד</w:t>
      </w:r>
      <w:r w:rsidRPr="00CB20FE">
        <w:rPr>
          <w:rFonts w:ascii="Times New Roman" w:hAnsi="Times New Roman" w:cs="FrankRuehl"/>
          <w:sz w:val="20"/>
          <w:rtl/>
        </w:rPr>
        <w:t xml:space="preserve">. </w:t>
      </w:r>
      <w:r w:rsidRPr="00CB20FE">
        <w:rPr>
          <w:rFonts w:ascii="Times New Roman" w:hAnsi="Times New Roman" w:cs="FrankRuehl" w:hint="eastAsia"/>
          <w:sz w:val="20"/>
          <w:rtl/>
        </w:rPr>
        <w:t>כך</w:t>
      </w:r>
      <w:r w:rsidRPr="00CB20FE">
        <w:rPr>
          <w:rFonts w:ascii="Times New Roman" w:hAnsi="Times New Roman" w:cs="FrankRuehl"/>
          <w:sz w:val="20"/>
          <w:rtl/>
        </w:rPr>
        <w:t xml:space="preserve"> </w:t>
      </w:r>
      <w:r w:rsidRPr="00CB20FE">
        <w:rPr>
          <w:rFonts w:ascii="Times New Roman" w:hAnsi="Times New Roman" w:cs="FrankRuehl" w:hint="eastAsia"/>
          <w:sz w:val="20"/>
          <w:rtl/>
        </w:rPr>
        <w:t>לדוגמה</w:t>
      </w:r>
      <w:r w:rsidRPr="00CB20FE">
        <w:rPr>
          <w:rFonts w:ascii="Times New Roman" w:hAnsi="Times New Roman" w:cs="FrankRuehl"/>
          <w:sz w:val="20"/>
          <w:rtl/>
        </w:rPr>
        <w:t xml:space="preserve">, </w:t>
      </w:r>
      <w:r w:rsidRPr="00CB20FE">
        <w:rPr>
          <w:rFonts w:ascii="Times New Roman" w:hAnsi="Times New Roman" w:cs="FrankRuehl" w:hint="eastAsia"/>
          <w:sz w:val="20"/>
          <w:rtl/>
        </w:rPr>
        <w:t>במבצע</w:t>
      </w:r>
      <w:r w:rsidRPr="00CB20FE">
        <w:rPr>
          <w:rFonts w:ascii="Times New Roman" w:hAnsi="Times New Roman" w:cs="FrankRuehl"/>
          <w:sz w:val="20"/>
          <w:rtl/>
        </w:rPr>
        <w:t xml:space="preserve"> "צוק </w:t>
      </w:r>
      <w:r w:rsidRPr="00CB20FE">
        <w:rPr>
          <w:rFonts w:ascii="Times New Roman" w:hAnsi="Times New Roman" w:cs="FrankRuehl" w:hint="eastAsia"/>
          <w:sz w:val="20"/>
          <w:rtl/>
        </w:rPr>
        <w:t>איתן</w:t>
      </w:r>
      <w:r w:rsidRPr="00CB20FE">
        <w:rPr>
          <w:rFonts w:ascii="Times New Roman" w:hAnsi="Times New Roman" w:cs="FrankRuehl"/>
          <w:sz w:val="20"/>
          <w:rtl/>
        </w:rPr>
        <w:t>"</w:t>
      </w:r>
      <w:r w:rsidRPr="00CB20FE">
        <w:rPr>
          <w:rFonts w:ascii="Times New Roman" w:hAnsi="Times New Roman" w:cs="FrankRuehl"/>
          <w:sz w:val="20"/>
          <w:rtl/>
        </w:rPr>
        <w:t xml:space="preserve"> </w:t>
      </w:r>
      <w:r w:rsidRPr="00CB20FE">
        <w:rPr>
          <w:rFonts w:ascii="Times New Roman" w:hAnsi="Times New Roman" w:cs="FrankRuehl" w:hint="eastAsia"/>
          <w:sz w:val="20"/>
          <w:rtl/>
        </w:rPr>
        <w:t>בשנת</w:t>
      </w:r>
      <w:r w:rsidRPr="00CB20FE">
        <w:rPr>
          <w:rFonts w:ascii="Times New Roman" w:hAnsi="Times New Roman" w:cs="FrankRuehl"/>
          <w:sz w:val="20"/>
          <w:rtl/>
        </w:rPr>
        <w:t xml:space="preserve"> 2014 החליטה הסוכנות לקצר את הזמן הנדרש לטיפול בבקשות להלוואות מקרן ההלוואות לעסקים קטנים ובינוניים ובבקשות לקבלת ייעוץ כלכלי מסובסד. </w:t>
      </w:r>
    </w:p>
    <w:p w:rsidR="00E21817" w:rsidRPr="00CB20FE" w:rsidP="00484EEB">
      <w:pPr>
        <w:pStyle w:val="ListParagraph"/>
        <w:numPr>
          <w:ilvl w:val="0"/>
          <w:numId w:val="44"/>
        </w:numPr>
        <w:spacing w:after="120" w:line="230" w:lineRule="exact"/>
        <w:contextualSpacing w:val="0"/>
        <w:jc w:val="both"/>
        <w:rPr>
          <w:rFonts w:ascii="Times New Roman" w:hAnsi="Times New Roman" w:cs="FrankRuehl"/>
          <w:sz w:val="20"/>
        </w:rPr>
      </w:pPr>
      <w:r w:rsidRPr="00CB20FE">
        <w:rPr>
          <w:rFonts w:ascii="Times New Roman" w:hAnsi="Times New Roman" w:cs="FrankRuehl" w:hint="cs"/>
          <w:sz w:val="20"/>
          <w:rtl/>
        </w:rPr>
        <w:t xml:space="preserve">אחד מכלי ההיערכות המרכזיים שמציעה הסוכנות הוא ייעוץ כלכלי במחיר מסובסד במגוון תחומים. הסוכנות לא הכינה רשימה של יועצים המוכרים כמומחים להיערכות לאסונות (להלן </w:t>
      </w:r>
      <w:r w:rsidRPr="00CB20FE">
        <w:rPr>
          <w:rFonts w:ascii="Times New Roman" w:hAnsi="Times New Roman" w:cs="FrankRuehl"/>
          <w:sz w:val="20"/>
          <w:rtl/>
        </w:rPr>
        <w:t>-</w:t>
      </w:r>
      <w:r w:rsidRPr="00CB20FE">
        <w:rPr>
          <w:rFonts w:ascii="Times New Roman" w:hAnsi="Times New Roman" w:cs="FrankRuehl" w:hint="cs"/>
          <w:sz w:val="20"/>
          <w:rtl/>
        </w:rPr>
        <w:t xml:space="preserve"> יועצי המעוף), ולפיכך אין באפשרותה להציע לעסקים המעוניינים להיערך לאסונות לקבל ייעוץ באמצעות יועצים מוכרים במחיר</w:t>
      </w:r>
      <w:r w:rsidRPr="00CB20FE">
        <w:rPr>
          <w:rFonts w:ascii="Times New Roman" w:hAnsi="Times New Roman" w:cs="FrankRuehl"/>
          <w:sz w:val="20"/>
          <w:rtl/>
        </w:rPr>
        <w:t xml:space="preserve"> </w:t>
      </w:r>
      <w:r w:rsidRPr="00CB20FE">
        <w:rPr>
          <w:rFonts w:ascii="Times New Roman" w:hAnsi="Times New Roman" w:cs="FrankRuehl" w:hint="cs"/>
          <w:sz w:val="20"/>
          <w:rtl/>
        </w:rPr>
        <w:t xml:space="preserve">מסובסד. </w:t>
      </w:r>
    </w:p>
    <w:p w:rsidR="00E21817" w:rsidRPr="00CB20FE" w:rsidP="001312DA">
      <w:pPr>
        <w:tabs>
          <w:tab w:val="left" w:pos="7229"/>
        </w:tabs>
        <w:spacing w:after="240" w:line="230" w:lineRule="exact"/>
        <w:ind w:left="340"/>
        <w:jc w:val="both"/>
        <w:rPr>
          <w:rFonts w:cs="FrankRuehl"/>
          <w:sz w:val="20"/>
          <w:szCs w:val="22"/>
          <w:rtl/>
        </w:rPr>
      </w:pPr>
      <w:r w:rsidRPr="00CB20FE">
        <w:rPr>
          <w:rFonts w:cs="FrankRuehl" w:hint="cs"/>
          <w:sz w:val="20"/>
          <w:szCs w:val="22"/>
          <w:rtl/>
        </w:rPr>
        <w:t xml:space="preserve">משרד הכלכלה מסר בתשובתו כי לדעתו הקשיים שבהם נתקל עסק בחירום אינם שונים במהותם מהקשיים שבהם הוא נתקל במהלך פעילותו השוטפת ורק עצמתם גבוהה יותר. </w:t>
      </w:r>
      <w:r w:rsidRPr="00CB20FE">
        <w:rPr>
          <w:rFonts w:cs="FrankRuehl" w:hint="cs"/>
          <w:sz w:val="20"/>
          <w:szCs w:val="22"/>
          <w:rtl/>
        </w:rPr>
        <w:t>לפיכך, יועצי המעוף הקיימים בתחומים השונים מתאימים לסייע לעסקים גם במצבי חירום, ואין לטעמו מקום להכשיר יועצים ספציפיים לנושא.</w:t>
      </w:r>
    </w:p>
    <w:p w:rsidR="00E21817" w:rsidRPr="00CB20FE" w:rsidP="001312DA">
      <w:pPr>
        <w:pStyle w:val="RESHET"/>
        <w:ind w:left="567"/>
        <w:rPr>
          <w:rtl/>
        </w:rPr>
      </w:pPr>
      <w:r w:rsidRPr="00CB20FE">
        <w:rPr>
          <w:rFonts w:hint="cs"/>
          <w:rtl/>
        </w:rPr>
        <w:t>לדעת משרד</w:t>
      </w:r>
      <w:r w:rsidRPr="00CB20FE">
        <w:rPr>
          <w:rtl/>
        </w:rPr>
        <w:t xml:space="preserve"> מבקר המדינה</w:t>
      </w:r>
      <w:r w:rsidRPr="00CB20FE">
        <w:rPr>
          <w:rFonts w:hint="cs"/>
          <w:rtl/>
        </w:rPr>
        <w:t>,</w:t>
      </w:r>
      <w:r w:rsidRPr="00CB20FE">
        <w:rPr>
          <w:rtl/>
        </w:rPr>
        <w:t xml:space="preserve"> </w:t>
      </w:r>
      <w:r w:rsidRPr="00CB20FE">
        <w:rPr>
          <w:rFonts w:hint="cs"/>
          <w:rtl/>
        </w:rPr>
        <w:t>מהספרות</w:t>
      </w:r>
      <w:r w:rsidRPr="00CB20FE">
        <w:rPr>
          <w:rtl/>
        </w:rPr>
        <w:t xml:space="preserve"> </w:t>
      </w:r>
      <w:r w:rsidRPr="00CB20FE">
        <w:rPr>
          <w:rFonts w:hint="cs"/>
          <w:rtl/>
        </w:rPr>
        <w:t>המקצועית</w:t>
      </w:r>
      <w:r w:rsidRPr="00CB20FE">
        <w:rPr>
          <w:rtl/>
        </w:rPr>
        <w:t xml:space="preserve"> </w:t>
      </w:r>
      <w:r w:rsidRPr="00CB20FE">
        <w:rPr>
          <w:rFonts w:hint="cs"/>
          <w:rtl/>
        </w:rPr>
        <w:t>בנושא</w:t>
      </w:r>
      <w:r w:rsidRPr="00CB20FE">
        <w:rPr>
          <w:rtl/>
        </w:rPr>
        <w:t xml:space="preserve"> </w:t>
      </w:r>
      <w:r w:rsidRPr="00CB20FE">
        <w:rPr>
          <w:rFonts w:hint="cs"/>
          <w:rtl/>
        </w:rPr>
        <w:t>הכנה</w:t>
      </w:r>
      <w:r w:rsidRPr="00CB20FE">
        <w:rPr>
          <w:rtl/>
        </w:rPr>
        <w:t xml:space="preserve"> </w:t>
      </w:r>
      <w:r w:rsidRPr="00CB20FE">
        <w:rPr>
          <w:rFonts w:hint="cs"/>
          <w:rtl/>
        </w:rPr>
        <w:t>לאסון</w:t>
      </w:r>
      <w:r w:rsidRPr="00CB20FE">
        <w:rPr>
          <w:rtl/>
        </w:rPr>
        <w:t xml:space="preserve"> </w:t>
      </w:r>
      <w:r w:rsidRPr="00CB20FE">
        <w:rPr>
          <w:rFonts w:hint="cs"/>
          <w:rtl/>
        </w:rPr>
        <w:t>והתאוששות</w:t>
      </w:r>
      <w:r>
        <w:rPr>
          <w:rStyle w:val="FootnoteReference"/>
          <w:rFonts w:cs="FrankRuehl"/>
          <w:rtl/>
        </w:rPr>
        <w:footnoteReference w:id="53"/>
      </w:r>
      <w:r w:rsidRPr="00CB20FE">
        <w:rPr>
          <w:rtl/>
        </w:rPr>
        <w:t xml:space="preserve"> </w:t>
      </w:r>
      <w:r w:rsidRPr="00CB20FE">
        <w:rPr>
          <w:rFonts w:hint="cs"/>
          <w:rtl/>
        </w:rPr>
        <w:t>עולה</w:t>
      </w:r>
      <w:r w:rsidRPr="00CB20FE">
        <w:rPr>
          <w:rtl/>
        </w:rPr>
        <w:t xml:space="preserve"> שנושא זה מורכב מא</w:t>
      </w:r>
      <w:r w:rsidRPr="00CB20FE">
        <w:rPr>
          <w:rFonts w:hint="cs"/>
          <w:rtl/>
        </w:rPr>
        <w:t>ו</w:t>
      </w:r>
      <w:r w:rsidRPr="00CB20FE">
        <w:rPr>
          <w:rtl/>
        </w:rPr>
        <w:t>ד ודורש מומחיות מיוחדת. ניתן לשלב את הידע הקיים אצל יועצי המעוף עם ידע ממומחים בתחום זה כדי להעשיר את הייעוץ הניתן לעסקים בתחום זה</w:t>
      </w:r>
      <w:r w:rsidRPr="00CB20FE">
        <w:rPr>
          <w:rFonts w:hint="cs"/>
          <w:rtl/>
        </w:rPr>
        <w:t>.</w:t>
      </w:r>
    </w:p>
    <w:p w:rsidR="00E21817" w:rsidRPr="00CB20FE" w:rsidP="001312DA">
      <w:pPr>
        <w:pStyle w:val="ListParagraph"/>
        <w:numPr>
          <w:ilvl w:val="0"/>
          <w:numId w:val="44"/>
        </w:numPr>
        <w:spacing w:before="180" w:after="240" w:line="230" w:lineRule="exact"/>
        <w:contextualSpacing w:val="0"/>
        <w:jc w:val="both"/>
        <w:rPr>
          <w:rFonts w:ascii="Times New Roman" w:hAnsi="Times New Roman" w:cs="FrankRuehl"/>
          <w:sz w:val="20"/>
        </w:rPr>
      </w:pPr>
      <w:r w:rsidRPr="00CB20FE">
        <w:rPr>
          <w:rFonts w:ascii="Times New Roman" w:hAnsi="Times New Roman" w:cs="FrankRuehl" w:hint="cs"/>
          <w:sz w:val="20"/>
          <w:rtl/>
        </w:rPr>
        <w:t xml:space="preserve">המדינה ערבה להלוואות במיליארדי שקלים שניתנו לעסקים קטנים ובינוניים באמצעות קרן ההלוואות לעסקים קטנים ובינוניים. מדיניות </w:t>
      </w:r>
      <w:r w:rsidRPr="00CB20FE">
        <w:rPr>
          <w:rFonts w:ascii="Times New Roman" w:hAnsi="Times New Roman" w:cs="FrankRuehl" w:hint="cs"/>
          <w:sz w:val="20"/>
          <w:rtl/>
        </w:rPr>
        <w:t>החשכ"ל</w:t>
      </w:r>
      <w:r w:rsidRPr="00CB20FE">
        <w:rPr>
          <w:rFonts w:ascii="Times New Roman" w:hAnsi="Times New Roman" w:cs="FrankRuehl" w:hint="cs"/>
          <w:sz w:val="20"/>
          <w:rtl/>
        </w:rPr>
        <w:t xml:space="preserve"> והסוכנות היא לפשט את תהליך הגשת הבקשות לקבלת הלוואות מהקרן. על פי מדיניות זו, הסוכנות </w:t>
      </w:r>
      <w:r w:rsidRPr="00CB20FE">
        <w:rPr>
          <w:rFonts w:ascii="Times New Roman" w:hAnsi="Times New Roman" w:cs="FrankRuehl" w:hint="cs"/>
          <w:sz w:val="20"/>
          <w:rtl/>
        </w:rPr>
        <w:t>והחשכ"ל</w:t>
      </w:r>
      <w:r w:rsidRPr="00CB20FE">
        <w:rPr>
          <w:rFonts w:ascii="Times New Roman" w:hAnsi="Times New Roman" w:cs="FrankRuehl" w:hint="cs"/>
          <w:sz w:val="20"/>
          <w:rtl/>
        </w:rPr>
        <w:t xml:space="preserve"> אינם מבקשים מעסקים המקבלים הלוואות בערבות המדינה להכין תכנית היערכות למצבי חירום ואסונות. יצוין שבמקרים של אסונות אזוריים או מצבי חירום הנמשכים תקופה ארוכה עלול להיווצר מצב שייפגעו בעקיפין או במישרין עסקים אשר לקחו קודם לכן הלוואות מהקרן. עסקים אלה עלולים אפוא להתקשות בהחזרת הלוואות, והמדינה תצטרך לפרוע את הערבויות. הדבר עלול לגרום הפסד ניכר למדינה ולבנקים</w:t>
      </w:r>
      <w:r>
        <w:rPr>
          <w:rFonts w:ascii="Times New Roman" w:hAnsi="Times New Roman" w:cs="FrankRuehl"/>
          <w:sz w:val="20"/>
          <w:vertAlign w:val="superscript"/>
          <w:rtl/>
        </w:rPr>
        <w:footnoteReference w:id="54"/>
      </w:r>
      <w:r w:rsidRPr="00CB20FE">
        <w:rPr>
          <w:rFonts w:ascii="Times New Roman" w:hAnsi="Times New Roman" w:cs="FrankRuehl" w:hint="cs"/>
          <w:sz w:val="20"/>
          <w:rtl/>
        </w:rPr>
        <w:t>.</w:t>
      </w:r>
    </w:p>
    <w:p w:rsidR="00E21817" w:rsidRPr="00CB20FE" w:rsidP="001312DA">
      <w:pPr>
        <w:pStyle w:val="RESHET"/>
        <w:rPr>
          <w:rtl/>
        </w:rPr>
      </w:pPr>
      <w:r w:rsidRPr="00CB20FE">
        <w:rPr>
          <w:rFonts w:hint="cs"/>
          <w:rtl/>
        </w:rPr>
        <w:t xml:space="preserve">לדעת משרד מבקר המדינה יש מקום שהסוכנות ומשרד הכלכלה יפעלו בתיאום עם </w:t>
      </w:r>
      <w:r w:rsidRPr="00CB20FE">
        <w:rPr>
          <w:rFonts w:hint="cs"/>
          <w:rtl/>
        </w:rPr>
        <w:t>רח"ל</w:t>
      </w:r>
      <w:r w:rsidRPr="00CB20FE">
        <w:rPr>
          <w:rFonts w:hint="cs"/>
          <w:rtl/>
        </w:rPr>
        <w:t xml:space="preserve"> ורשויות נוספות האחראיות לחירום, בין היתר לבחון גיבוש מדיניות כוללת לטיפול בעסקים קטנים ובינוניים בשעת חירום והנחיות היערכות למצבי חירום עבור עסקים קטנים ובינוניים וכן לבחון פיתוח כלי סיוע לשיקום עסקים אלה עם סיומו של מצב החירום. כמו כן על הסוכנות לרכז את המידע המקצועי הרלוונטי באתר האינטרנט שלה. </w:t>
      </w:r>
    </w:p>
    <w:p w:rsidR="00E21817" w:rsidRPr="00CB20FE" w:rsidP="00484EEB">
      <w:pPr>
        <w:spacing w:after="120" w:line="230" w:lineRule="exact"/>
        <w:jc w:val="both"/>
        <w:rPr>
          <w:rFonts w:cs="FrankRuehl"/>
          <w:sz w:val="20"/>
          <w:szCs w:val="22"/>
          <w:rtl/>
          <w:lang w:eastAsia="he-IL"/>
        </w:rPr>
      </w:pPr>
    </w:p>
    <w:p w:rsidR="004013A9" w:rsidRPr="00CB20FE" w:rsidP="00484EEB">
      <w:pPr>
        <w:spacing w:after="120" w:line="230" w:lineRule="exact"/>
        <w:jc w:val="both"/>
        <w:rPr>
          <w:rFonts w:cs="FrankRuehl"/>
          <w:sz w:val="20"/>
          <w:szCs w:val="22"/>
          <w:rtl/>
          <w:lang w:eastAsia="he-IL"/>
        </w:rPr>
      </w:pPr>
    </w:p>
    <w:p w:rsidR="00E21817" w:rsidP="00484EEB">
      <w:pPr>
        <w:pStyle w:val="KOT4"/>
        <w:rPr>
          <w:rtl/>
        </w:rPr>
      </w:pPr>
      <w:r>
        <w:rPr>
          <w:rFonts w:hint="cs"/>
          <w:rtl/>
        </w:rPr>
        <w:t>סיכום</w:t>
      </w:r>
    </w:p>
    <w:p w:rsidR="00E21817" w:rsidRPr="00CB20FE" w:rsidP="001312DA">
      <w:pPr>
        <w:pStyle w:val="RESHET"/>
        <w:keepLines/>
        <w:rPr>
          <w:rtl/>
        </w:rPr>
      </w:pPr>
      <w:r w:rsidRPr="00CB20FE">
        <w:rPr>
          <w:rFonts w:hint="cs"/>
          <w:rtl/>
        </w:rPr>
        <w:t xml:space="preserve">לעסקים קטנים ובינוניים יש חשיבות רבה בהתפתחותן הכלכלית של מדינות. בשנת 2013 היו העסקים הקטנים והבינוניים כ-99% מכלל העסקים בישראל. מאז הקמתה בשנת 2009 פיתחה הסוכנות כלי סיוע חדשים, שיפרה את אמצעי התמיכה הקיימים, ויזמה פעילויות שנועדו לסייע לעסקים קטנים ובינוניים. עם זאת, מהדוח עולה כי עדיין קיימים תחומים שבהם יש צורך לייעל ולשפר את הסיוע לעסקים קטנים ובינוניים: להסיר חסמים המקשים עליהם את ההשתתפות במכרזי רכש של גופים ציבוריים; לקדם את תהליך החקיקה של החוק המקנה סמכויות לסוכנות; להסדיר את התגמול לבעלי עסקים המשרתים במילואים; לשפר, בשיתוף </w:t>
      </w:r>
      <w:r w:rsidRPr="00CB20FE">
        <w:rPr>
          <w:rFonts w:hint="cs"/>
          <w:rtl/>
        </w:rPr>
        <w:t>החשכ"ל</w:t>
      </w:r>
      <w:r w:rsidRPr="00CB20FE">
        <w:rPr>
          <w:rFonts w:hint="cs"/>
          <w:rtl/>
        </w:rPr>
        <w:t xml:space="preserve">, את אופן הפעלת קרן ההלוואות לעסקים קטנים ובינוניים, ולסייע לעסקים קטנים ובינוניים להיערך כראוי למצבי חירום, לאסונות ולמשברים. </w:t>
      </w:r>
    </w:p>
    <w:p w:rsidR="00E21817" w:rsidRPr="00CB20FE" w:rsidP="001312DA">
      <w:pPr>
        <w:pStyle w:val="RESHET"/>
        <w:keepLines/>
        <w:rPr>
          <w:rtl/>
        </w:rPr>
      </w:pPr>
      <w:r w:rsidRPr="00CB20FE">
        <w:rPr>
          <w:rFonts w:hint="cs"/>
          <w:rtl/>
        </w:rPr>
        <w:t>ממצאי</w:t>
      </w:r>
      <w:r w:rsidRPr="00CB20FE">
        <w:rPr>
          <w:rtl/>
        </w:rPr>
        <w:t xml:space="preserve"> </w:t>
      </w:r>
      <w:r w:rsidRPr="00CB20FE">
        <w:rPr>
          <w:rFonts w:hint="cs"/>
          <w:rtl/>
        </w:rPr>
        <w:t>דוח</w:t>
      </w:r>
      <w:r w:rsidRPr="00CB20FE">
        <w:rPr>
          <w:rtl/>
        </w:rPr>
        <w:t xml:space="preserve"> </w:t>
      </w:r>
      <w:r w:rsidRPr="00CB20FE">
        <w:rPr>
          <w:rFonts w:hint="cs"/>
          <w:rtl/>
        </w:rPr>
        <w:t>זה</w:t>
      </w:r>
      <w:r w:rsidRPr="00CB20FE">
        <w:rPr>
          <w:rtl/>
        </w:rPr>
        <w:t xml:space="preserve"> </w:t>
      </w:r>
      <w:r w:rsidRPr="00CB20FE">
        <w:rPr>
          <w:rFonts w:hint="cs"/>
          <w:rtl/>
        </w:rPr>
        <w:t>והדוחות</w:t>
      </w:r>
      <w:r w:rsidRPr="00CB20FE">
        <w:rPr>
          <w:rtl/>
        </w:rPr>
        <w:t xml:space="preserve"> </w:t>
      </w:r>
      <w:r w:rsidRPr="00CB20FE">
        <w:rPr>
          <w:rFonts w:hint="cs"/>
          <w:rtl/>
        </w:rPr>
        <w:t>הקודמים</w:t>
      </w:r>
      <w:r w:rsidRPr="00CB20FE">
        <w:rPr>
          <w:rtl/>
        </w:rPr>
        <w:t xml:space="preserve"> </w:t>
      </w:r>
      <w:r w:rsidRPr="00CB20FE">
        <w:rPr>
          <w:rFonts w:hint="cs"/>
          <w:rtl/>
        </w:rPr>
        <w:t>של</w:t>
      </w:r>
      <w:r w:rsidRPr="00CB20FE">
        <w:rPr>
          <w:rtl/>
        </w:rPr>
        <w:t xml:space="preserve"> </w:t>
      </w:r>
      <w:r w:rsidRPr="00CB20FE">
        <w:rPr>
          <w:rFonts w:hint="cs"/>
          <w:rtl/>
        </w:rPr>
        <w:t>משרד</w:t>
      </w:r>
      <w:r w:rsidRPr="00CB20FE">
        <w:rPr>
          <w:rtl/>
        </w:rPr>
        <w:t xml:space="preserve"> </w:t>
      </w:r>
      <w:r w:rsidRPr="00CB20FE">
        <w:rPr>
          <w:rFonts w:hint="cs"/>
          <w:rtl/>
        </w:rPr>
        <w:t>מבקר</w:t>
      </w:r>
      <w:r w:rsidRPr="00CB20FE">
        <w:rPr>
          <w:rtl/>
        </w:rPr>
        <w:t xml:space="preserve"> </w:t>
      </w:r>
      <w:r w:rsidRPr="00CB20FE">
        <w:rPr>
          <w:rFonts w:hint="cs"/>
          <w:rtl/>
        </w:rPr>
        <w:t>המדינה</w:t>
      </w:r>
      <w:r w:rsidRPr="00CB20FE">
        <w:rPr>
          <w:rtl/>
        </w:rPr>
        <w:t xml:space="preserve"> </w:t>
      </w:r>
      <w:r w:rsidRPr="00CB20FE">
        <w:rPr>
          <w:rFonts w:hint="cs"/>
          <w:rtl/>
        </w:rPr>
        <w:t>בעניין</w:t>
      </w:r>
      <w:r w:rsidRPr="00CB20FE">
        <w:rPr>
          <w:rtl/>
        </w:rPr>
        <w:t xml:space="preserve"> </w:t>
      </w:r>
      <w:r w:rsidRPr="00CB20FE">
        <w:rPr>
          <w:rFonts w:hint="cs"/>
          <w:rtl/>
        </w:rPr>
        <w:t>הסיוע</w:t>
      </w:r>
      <w:r w:rsidRPr="00CB20FE">
        <w:rPr>
          <w:rtl/>
        </w:rPr>
        <w:t xml:space="preserve"> </w:t>
      </w:r>
      <w:r w:rsidRPr="00CB20FE">
        <w:rPr>
          <w:rFonts w:hint="cs"/>
          <w:rtl/>
        </w:rPr>
        <w:t>לעסקים</w:t>
      </w:r>
      <w:r w:rsidRPr="00CB20FE">
        <w:rPr>
          <w:rtl/>
        </w:rPr>
        <w:t xml:space="preserve"> </w:t>
      </w:r>
      <w:r w:rsidRPr="00CB20FE">
        <w:rPr>
          <w:rFonts w:hint="cs"/>
          <w:rtl/>
        </w:rPr>
        <w:t>קטנים</w:t>
      </w:r>
      <w:r w:rsidRPr="00CB20FE">
        <w:rPr>
          <w:rtl/>
        </w:rPr>
        <w:t xml:space="preserve"> </w:t>
      </w:r>
      <w:r w:rsidRPr="00CB20FE">
        <w:rPr>
          <w:rFonts w:hint="cs"/>
          <w:rtl/>
        </w:rPr>
        <w:t>ובינוניים</w:t>
      </w:r>
      <w:r w:rsidRPr="00CB20FE">
        <w:rPr>
          <w:rtl/>
        </w:rPr>
        <w:t xml:space="preserve"> </w:t>
      </w:r>
      <w:r w:rsidRPr="00CB20FE">
        <w:rPr>
          <w:rFonts w:hint="cs"/>
          <w:rtl/>
        </w:rPr>
        <w:t>מצביעים</w:t>
      </w:r>
      <w:r w:rsidRPr="00CB20FE">
        <w:rPr>
          <w:rtl/>
        </w:rPr>
        <w:t xml:space="preserve"> </w:t>
      </w:r>
      <w:r w:rsidRPr="00CB20FE">
        <w:rPr>
          <w:rFonts w:hint="cs"/>
          <w:rtl/>
        </w:rPr>
        <w:t>על</w:t>
      </w:r>
      <w:r w:rsidRPr="00CB20FE">
        <w:rPr>
          <w:rtl/>
        </w:rPr>
        <w:t xml:space="preserve"> </w:t>
      </w:r>
      <w:r w:rsidRPr="00CB20FE">
        <w:rPr>
          <w:rFonts w:hint="cs"/>
          <w:rtl/>
        </w:rPr>
        <w:t>כך</w:t>
      </w:r>
      <w:r w:rsidRPr="00CB20FE">
        <w:rPr>
          <w:rtl/>
        </w:rPr>
        <w:t xml:space="preserve"> </w:t>
      </w:r>
      <w:r w:rsidRPr="00CB20FE">
        <w:rPr>
          <w:rFonts w:hint="cs"/>
          <w:rtl/>
        </w:rPr>
        <w:t>שהממשלה</w:t>
      </w:r>
      <w:r w:rsidRPr="00CB20FE">
        <w:rPr>
          <w:rtl/>
        </w:rPr>
        <w:t xml:space="preserve"> </w:t>
      </w:r>
      <w:r w:rsidRPr="00CB20FE">
        <w:rPr>
          <w:rFonts w:hint="cs"/>
          <w:rtl/>
        </w:rPr>
        <w:t>אינה</w:t>
      </w:r>
      <w:r w:rsidRPr="00CB20FE">
        <w:rPr>
          <w:rtl/>
        </w:rPr>
        <w:t xml:space="preserve"> </w:t>
      </w:r>
      <w:r w:rsidRPr="00CB20FE">
        <w:rPr>
          <w:rFonts w:hint="cs"/>
          <w:rtl/>
        </w:rPr>
        <w:t>מייחדת</w:t>
      </w:r>
      <w:r w:rsidRPr="00CB20FE">
        <w:rPr>
          <w:rtl/>
        </w:rPr>
        <w:t xml:space="preserve"> </w:t>
      </w:r>
      <w:r w:rsidRPr="00CB20FE">
        <w:rPr>
          <w:rFonts w:hint="cs"/>
          <w:rtl/>
        </w:rPr>
        <w:t>לתחום</w:t>
      </w:r>
      <w:r w:rsidRPr="00CB20FE">
        <w:rPr>
          <w:rtl/>
        </w:rPr>
        <w:t xml:space="preserve"> </w:t>
      </w:r>
      <w:r w:rsidRPr="00CB20FE">
        <w:rPr>
          <w:rFonts w:hint="cs"/>
          <w:rtl/>
        </w:rPr>
        <w:t>זה</w:t>
      </w:r>
      <w:r w:rsidRPr="00CB20FE">
        <w:rPr>
          <w:rtl/>
        </w:rPr>
        <w:t xml:space="preserve"> </w:t>
      </w:r>
      <w:r w:rsidRPr="00CB20FE">
        <w:rPr>
          <w:rFonts w:hint="cs"/>
          <w:rtl/>
        </w:rPr>
        <w:t>את</w:t>
      </w:r>
      <w:r w:rsidRPr="00CB20FE">
        <w:rPr>
          <w:rtl/>
        </w:rPr>
        <w:t xml:space="preserve"> </w:t>
      </w:r>
      <w:r w:rsidRPr="00CB20FE">
        <w:rPr>
          <w:rFonts w:hint="cs"/>
          <w:rtl/>
        </w:rPr>
        <w:t>תשומת</w:t>
      </w:r>
      <w:r w:rsidRPr="00CB20FE">
        <w:rPr>
          <w:rtl/>
        </w:rPr>
        <w:t xml:space="preserve"> </w:t>
      </w:r>
      <w:r w:rsidRPr="00CB20FE">
        <w:rPr>
          <w:rFonts w:hint="cs"/>
          <w:rtl/>
        </w:rPr>
        <w:t>הלב</w:t>
      </w:r>
      <w:r w:rsidRPr="00CB20FE">
        <w:rPr>
          <w:rtl/>
        </w:rPr>
        <w:t xml:space="preserve"> </w:t>
      </w:r>
      <w:r w:rsidRPr="00CB20FE">
        <w:rPr>
          <w:rFonts w:hint="cs"/>
          <w:rtl/>
        </w:rPr>
        <w:t>הראויה</w:t>
      </w:r>
      <w:r w:rsidRPr="00CB20FE">
        <w:rPr>
          <w:rtl/>
        </w:rPr>
        <w:t xml:space="preserve"> </w:t>
      </w:r>
      <w:r w:rsidRPr="00CB20FE">
        <w:rPr>
          <w:rFonts w:hint="cs"/>
          <w:rtl/>
        </w:rPr>
        <w:t>ואינה עושה די לקידום העסקים הקטנים והבינוניים בישראל. מגזר העסקים הקטנים והבינוניים בישראל הוא אחד הקטרים לצמיחה ונודעת לו חשיבות גדולה במיוחד לפיתוח יישובי הפריפריה ולקידום אוכלוסיותיהם, ועל כן יש לתת לנושא קידום העסקים הקטנים והבינוניים את העדיפות הראויה לו.</w:t>
      </w:r>
    </w:p>
    <w:p w:rsidR="00C8241F" w:rsidP="00484EEB">
      <w:pPr>
        <w:pStyle w:val="Header"/>
        <w:tabs>
          <w:tab w:val="clear" w:pos="4153"/>
          <w:tab w:val="clear" w:pos="8306"/>
        </w:tabs>
      </w:pPr>
    </w:p>
    <w:p w:rsidR="00BB1518" w:rsidP="00484EEB">
      <w:pPr>
        <w:pStyle w:val="Header"/>
        <w:tabs>
          <w:tab w:val="clear" w:pos="4153"/>
          <w:tab w:val="clear" w:pos="8306"/>
        </w:tabs>
        <w:rPr>
          <w:rtl/>
        </w:rPr>
        <w:sectPr w:rsidSect="007C7B9B">
          <w:headerReference w:type="even" r:id="rId6"/>
          <w:headerReference w:type="default" r:id="rId7"/>
          <w:footerReference w:type="even" r:id="rId8"/>
          <w:footerReference w:type="default" r:id="rId9"/>
          <w:headerReference w:type="first" r:id="rId10"/>
          <w:footerReference w:type="first" r:id="rId11"/>
          <w:footnotePr>
            <w:numRestart w:val="eachSect"/>
          </w:footnotePr>
          <w:pgSz w:w="11906" w:h="16838" w:code="9"/>
          <w:pgMar w:top="1758" w:right="2552" w:bottom="4253" w:left="2552" w:header="1247" w:footer="1134" w:gutter="0"/>
          <w:pgNumType w:start="357"/>
          <w:cols w:space="720"/>
          <w:rtlGutter/>
        </w:sectPr>
      </w:pPr>
    </w:p>
    <w:p w:rsidR="00BB1518" w:rsidP="00484EEB">
      <w:pPr>
        <w:pStyle w:val="Header"/>
        <w:tabs>
          <w:tab w:val="clear" w:pos="4153"/>
          <w:tab w:val="clear" w:pos="8306"/>
        </w:tabs>
        <w:rPr>
          <w:rtl/>
        </w:rPr>
      </w:pPr>
    </w:p>
    <w:sectPr>
      <w:headerReference w:type="first" r:id="rId12"/>
      <w:footerReference w:type="first" r:id="rId13"/>
      <w:footnotePr>
        <w:numRestart w:val="eachSect"/>
      </w:footnotePr>
      <w:pgSz w:w="11906" w:h="16838" w:code="9"/>
      <w:pgMar w:top="1758" w:right="2552" w:bottom="4253" w:left="2552" w:header="1247" w:footer="1134" w:gutter="0"/>
      <w:cols w:space="720"/>
      <w:titlePg/>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auto"/>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67CF" w:rsidP="004867CF">
    <w:pPr>
      <w:pStyle w:val="Footer"/>
      <w:tabs>
        <w:tab w:val="left" w:pos="1222"/>
      </w:tabs>
      <w:spacing w:line="160" w:lineRule="exact"/>
      <w:rPr>
        <w:sz w:val="16"/>
        <w:szCs w:val="16"/>
        <w:rtl/>
      </w:rPr>
    </w:pPr>
    <w:r>
      <w:rPr>
        <w:sz w:val="16"/>
        <w:szCs w:val="16"/>
        <w:rtl/>
      </w:rPr>
      <w:t>שם הדוח:</w:t>
    </w:r>
    <w:r>
      <w:rPr>
        <w:sz w:val="16"/>
        <w:szCs w:val="16"/>
        <w:rtl/>
      </w:rPr>
      <w:tab/>
    </w:r>
    <w:r>
      <w:rPr>
        <w:rFonts w:hint="cs"/>
        <w:sz w:val="16"/>
        <w:szCs w:val="16"/>
        <w:rtl/>
      </w:rPr>
      <w:t xml:space="preserve">משרד הכלכלה - </w:t>
    </w:r>
    <w:r w:rsidRPr="004867CF">
      <w:rPr>
        <w:rFonts w:hint="cs"/>
        <w:sz w:val="16"/>
        <w:szCs w:val="16"/>
        <w:rtl/>
      </w:rPr>
      <w:t>הטיפול בעסקים קטנים ובינוניים</w:t>
    </w:r>
  </w:p>
  <w:p w:rsidR="005750D3" w:rsidP="005750D3">
    <w:pPr>
      <w:pStyle w:val="Footer"/>
      <w:tabs>
        <w:tab w:val="left" w:pos="1222"/>
      </w:tabs>
      <w:spacing w:line="160" w:lineRule="exact"/>
      <w:rPr>
        <w:sz w:val="16"/>
        <w:szCs w:val="16"/>
        <w:rtl/>
      </w:rPr>
    </w:pPr>
    <w:r>
      <w:rPr>
        <w:sz w:val="16"/>
        <w:szCs w:val="16"/>
        <w:rtl/>
      </w:rPr>
      <w:t>מסגרת הפרסום:</w:t>
    </w:r>
    <w:r>
      <w:rPr>
        <w:sz w:val="16"/>
        <w:szCs w:val="16"/>
        <w:rtl/>
      </w:rPr>
      <w:tab/>
    </w:r>
    <w:r w:rsidR="00B27766">
      <w:rPr>
        <w:rFonts w:hint="cs"/>
        <w:sz w:val="16"/>
        <w:szCs w:val="16"/>
        <w:rtl/>
      </w:rPr>
      <w:t>דוח שנתי 66א</w:t>
    </w:r>
  </w:p>
  <w:p w:rsidR="009718F9" w:rsidP="009718F9">
    <w:pPr>
      <w:pStyle w:val="Footer"/>
      <w:tabs>
        <w:tab w:val="left" w:pos="1222"/>
      </w:tabs>
      <w:spacing w:line="160" w:lineRule="exact"/>
      <w:rPr>
        <w:sz w:val="16"/>
        <w:szCs w:val="16"/>
        <w:rtl/>
      </w:rPr>
    </w:pPr>
    <w:r>
      <w:rPr>
        <w:sz w:val="16"/>
        <w:szCs w:val="16"/>
        <w:rtl/>
      </w:rPr>
      <w:t>שנת פרסום:</w:t>
    </w:r>
    <w:r>
      <w:rPr>
        <w:sz w:val="16"/>
        <w:szCs w:val="16"/>
        <w:rtl/>
      </w:rPr>
      <w:tab/>
    </w:r>
    <w:r w:rsidR="00B27766">
      <w:rPr>
        <w:sz w:val="16"/>
        <w:szCs w:val="16"/>
        <w:rtl/>
      </w:rPr>
      <w:t>התשע"ו-2015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67CF" w:rsidP="004867CF">
    <w:pPr>
      <w:pStyle w:val="Footer"/>
      <w:tabs>
        <w:tab w:val="left" w:pos="1222"/>
      </w:tabs>
      <w:spacing w:line="160" w:lineRule="exact"/>
      <w:rPr>
        <w:sz w:val="16"/>
        <w:szCs w:val="16"/>
        <w:rtl/>
      </w:rPr>
    </w:pPr>
    <w:r>
      <w:rPr>
        <w:sz w:val="16"/>
        <w:szCs w:val="16"/>
        <w:rtl/>
      </w:rPr>
      <w:t>שם הדוח:</w:t>
    </w:r>
    <w:r>
      <w:rPr>
        <w:sz w:val="16"/>
        <w:szCs w:val="16"/>
        <w:rtl/>
      </w:rPr>
      <w:tab/>
    </w:r>
    <w:r>
      <w:rPr>
        <w:rFonts w:hint="cs"/>
        <w:sz w:val="16"/>
        <w:szCs w:val="16"/>
        <w:rtl/>
      </w:rPr>
      <w:t xml:space="preserve">משרד הכלכלה - </w:t>
    </w:r>
    <w:r w:rsidRPr="004867CF">
      <w:rPr>
        <w:rFonts w:hint="cs"/>
        <w:sz w:val="16"/>
        <w:szCs w:val="16"/>
        <w:rtl/>
      </w:rPr>
      <w:t>הטיפול בעסקים קטנים ובינוניים</w:t>
    </w:r>
  </w:p>
  <w:p w:rsidR="005750D3" w:rsidP="005750D3">
    <w:pPr>
      <w:pStyle w:val="Footer"/>
      <w:tabs>
        <w:tab w:val="left" w:pos="1222"/>
      </w:tabs>
      <w:spacing w:line="160" w:lineRule="exact"/>
      <w:rPr>
        <w:sz w:val="16"/>
        <w:szCs w:val="16"/>
        <w:rtl/>
      </w:rPr>
    </w:pPr>
    <w:r>
      <w:rPr>
        <w:sz w:val="16"/>
        <w:szCs w:val="16"/>
        <w:rtl/>
      </w:rPr>
      <w:t>מסגרת הפרסום:</w:t>
    </w:r>
    <w:r>
      <w:rPr>
        <w:sz w:val="16"/>
        <w:szCs w:val="16"/>
        <w:rtl/>
      </w:rPr>
      <w:tab/>
    </w:r>
    <w:r w:rsidR="00B27766">
      <w:rPr>
        <w:rFonts w:hint="cs"/>
        <w:sz w:val="16"/>
        <w:szCs w:val="16"/>
        <w:rtl/>
      </w:rPr>
      <w:t>דוח שנתי 66א</w:t>
    </w:r>
  </w:p>
  <w:p w:rsidR="009718F9" w:rsidP="009718F9">
    <w:pPr>
      <w:pStyle w:val="Footer"/>
      <w:tabs>
        <w:tab w:val="left" w:pos="1222"/>
      </w:tabs>
      <w:spacing w:line="160" w:lineRule="exact"/>
      <w:rPr>
        <w:sz w:val="16"/>
        <w:szCs w:val="16"/>
        <w:rtl/>
      </w:rPr>
    </w:pPr>
    <w:r>
      <w:rPr>
        <w:sz w:val="16"/>
        <w:szCs w:val="16"/>
        <w:rtl/>
      </w:rPr>
      <w:t>שנת פרסום:</w:t>
    </w:r>
    <w:r>
      <w:rPr>
        <w:sz w:val="16"/>
        <w:szCs w:val="16"/>
        <w:rtl/>
      </w:rPr>
      <w:tab/>
    </w:r>
    <w:r w:rsidR="00B27766">
      <w:rPr>
        <w:sz w:val="16"/>
        <w:szCs w:val="16"/>
        <w:rtl/>
      </w:rPr>
      <w:t>התשע"ו-2015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75A6" w:rsidP="009718F9">
    <w:pPr>
      <w:pStyle w:val="Footer"/>
      <w:tabs>
        <w:tab w:val="left" w:pos="1222"/>
      </w:tabs>
      <w:spacing w:line="160" w:lineRule="exact"/>
      <w:rPr>
        <w:sz w:val="16"/>
        <w:szCs w:val="16"/>
        <w:rtl/>
      </w:rPr>
    </w:pPr>
    <w:r>
      <w:rPr>
        <w:sz w:val="16"/>
        <w:szCs w:val="16"/>
        <w:rtl/>
      </w:rPr>
      <w:t>שם הדוח:</w:t>
    </w:r>
    <w:r>
      <w:rPr>
        <w:sz w:val="16"/>
        <w:szCs w:val="16"/>
        <w:rtl/>
      </w:rPr>
      <w:tab/>
    </w:r>
    <w:r w:rsidR="004867CF">
      <w:rPr>
        <w:rFonts w:hint="cs"/>
        <w:sz w:val="16"/>
        <w:szCs w:val="16"/>
        <w:rtl/>
      </w:rPr>
      <w:t xml:space="preserve">משרד הכלכלה - </w:t>
    </w:r>
    <w:r w:rsidRPr="004867CF" w:rsidR="004867CF">
      <w:rPr>
        <w:rFonts w:hint="cs"/>
        <w:sz w:val="16"/>
        <w:szCs w:val="16"/>
        <w:rtl/>
      </w:rPr>
      <w:t>הטיפול בעסקים קטנים ובינוניים</w:t>
    </w:r>
  </w:p>
  <w:p w:rsidR="005750D3" w:rsidP="005750D3">
    <w:pPr>
      <w:pStyle w:val="Footer"/>
      <w:tabs>
        <w:tab w:val="left" w:pos="1222"/>
      </w:tabs>
      <w:spacing w:line="160" w:lineRule="exact"/>
      <w:rPr>
        <w:sz w:val="16"/>
        <w:szCs w:val="16"/>
        <w:rtl/>
      </w:rPr>
    </w:pPr>
    <w:r>
      <w:rPr>
        <w:sz w:val="16"/>
        <w:szCs w:val="16"/>
        <w:rtl/>
      </w:rPr>
      <w:t>מסגרת הפרסום:</w:t>
    </w:r>
    <w:r>
      <w:rPr>
        <w:sz w:val="16"/>
        <w:szCs w:val="16"/>
        <w:rtl/>
      </w:rPr>
      <w:tab/>
    </w:r>
    <w:r w:rsidR="00BA09A0">
      <w:rPr>
        <w:rFonts w:hint="cs"/>
        <w:sz w:val="16"/>
        <w:szCs w:val="16"/>
        <w:rtl/>
      </w:rPr>
      <w:t>דוח שנתי 66א</w:t>
    </w:r>
  </w:p>
  <w:p w:rsidR="001275A6" w:rsidP="009718F9">
    <w:pPr>
      <w:pStyle w:val="Footer"/>
      <w:tabs>
        <w:tab w:val="left" w:pos="1222"/>
      </w:tabs>
      <w:spacing w:line="160" w:lineRule="exact"/>
      <w:rPr>
        <w:sz w:val="16"/>
        <w:szCs w:val="16"/>
        <w:rtl/>
      </w:rPr>
    </w:pPr>
    <w:r>
      <w:rPr>
        <w:sz w:val="16"/>
        <w:szCs w:val="16"/>
        <w:rtl/>
      </w:rPr>
      <w:t>שנת פרסום:</w:t>
    </w:r>
    <w:r>
      <w:rPr>
        <w:sz w:val="16"/>
        <w:szCs w:val="16"/>
        <w:rtl/>
      </w:rPr>
      <w:tab/>
    </w:r>
    <w:r w:rsidR="00B27766">
      <w:rPr>
        <w:sz w:val="16"/>
        <w:szCs w:val="16"/>
        <w:rtl/>
      </w:rPr>
      <w:t>התשע"ו-2015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1518" w:rsidRPr="00BB1518" w:rsidP="00BB1518">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52D21">
      <w:pPr>
        <w:spacing w:after="120"/>
        <w:rPr>
          <w:sz w:val="16"/>
          <w:szCs w:val="16"/>
        </w:rPr>
      </w:pPr>
      <w:r>
        <w:rPr>
          <w:sz w:val="16"/>
          <w:szCs w:val="16"/>
          <w:rtl/>
        </w:rPr>
        <w:t>__________________</w:t>
      </w:r>
    </w:p>
  </w:footnote>
  <w:footnote w:type="continuationSeparator" w:id="1">
    <w:p w:rsidR="00F52D21">
      <w:r>
        <w:t>_______________</w:t>
      </w:r>
    </w:p>
  </w:footnote>
  <w:footnote w:id="2">
    <w:p w:rsidR="004867CF" w:rsidRPr="00593BFC" w:rsidP="004867CF">
      <w:pPr>
        <w:pStyle w:val="FootnoteText"/>
        <w:keepLines/>
        <w:tabs>
          <w:tab w:val="left" w:pos="6521"/>
        </w:tab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מבקר המדינה, </w:t>
      </w:r>
      <w:r w:rsidRPr="00593BFC">
        <w:rPr>
          <w:rFonts w:cs="FrankRuehl"/>
          <w:b/>
          <w:bCs/>
          <w:rtl/>
        </w:rPr>
        <w:t>דוח שנתי 61ב</w:t>
      </w:r>
      <w:r w:rsidRPr="00593BFC">
        <w:rPr>
          <w:rFonts w:cs="FrankRuehl"/>
          <w:rtl/>
        </w:rPr>
        <w:t xml:space="preserve"> (2011), "סיוע לעסקים קטנים ובינוניים", עמ' 1221.</w:t>
      </w:r>
    </w:p>
  </w:footnote>
  <w:footnote w:id="3">
    <w:p w:rsidR="004867CF" w:rsidRPr="00593BFC" w:rsidP="004867CF">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כמו למשל רשויות מקומיות, קופות החולים, חברות ממשלתיות וכד'.</w:t>
      </w:r>
    </w:p>
  </w:footnote>
  <w:footnote w:id="4">
    <w:p w:rsidR="004867CF" w:rsidRPr="00593BFC" w:rsidP="004867CF">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פרוטוקולים מדיוני ועדת הכלכלה של הכנסת מ</w:t>
      </w:r>
      <w:r w:rsidRPr="00593BFC">
        <w:rPr>
          <w:rFonts w:cs="FrankRuehl"/>
        </w:rPr>
        <w:t>-</w:t>
      </w:r>
      <w:r w:rsidRPr="00593BFC">
        <w:rPr>
          <w:rFonts w:cs="FrankRuehl"/>
          <w:rtl/>
        </w:rPr>
        <w:t xml:space="preserve">5.11.13 ו-24.12.13 על הצעת החוק לעידוד עסקים קטנים ובינוניים בישראל, התשע"ב-2012. </w:t>
      </w:r>
    </w:p>
  </w:footnote>
  <w:footnote w:id="5">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ab/>
        <w:t>92% מהעסקים בישראל מוגדרים כקטנים ו-7% כבינוניים.</w:t>
      </w:r>
    </w:p>
  </w:footnote>
  <w:footnote w:id="6">
    <w:p w:rsidR="00E21817" w:rsidRPr="00593BFC" w:rsidP="00CB20FE">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משרד הכלכלה מגדיר גודל עסקים בהתאם למספר מועסקים ומחזור. עסק קטן מעסיק עד 25 עובדים והמחזור שלו עד 25 מיליון </w:t>
      </w:r>
      <w:r w:rsidR="00CB20FE">
        <w:rPr>
          <w:rFonts w:cs="FrankRuehl"/>
          <w:rtl/>
        </w:rPr>
        <w:t>ש"ח</w:t>
      </w:r>
      <w:r w:rsidRPr="00593BFC">
        <w:rPr>
          <w:rFonts w:cs="FrankRuehl"/>
          <w:rtl/>
        </w:rPr>
        <w:t xml:space="preserve">. עסק בינוני מעסיק עד 100 עובדים והמחזור שלו לא עולה על 100 מיליון </w:t>
      </w:r>
      <w:r w:rsidR="00CB20FE">
        <w:rPr>
          <w:rFonts w:cs="FrankRuehl"/>
          <w:rtl/>
        </w:rPr>
        <w:t>ש"ח</w:t>
      </w:r>
      <w:r w:rsidRPr="00593BFC">
        <w:rPr>
          <w:rFonts w:cs="FrankRuehl"/>
          <w:rtl/>
        </w:rPr>
        <w:t xml:space="preserve">. </w:t>
      </w:r>
    </w:p>
  </w:footnote>
  <w:footnote w:id="7">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הלשכה המרכזית לסטטיסטיקה, הודעה לתקשורת 176/2014, דמוגרפיה של עסקים - שרידות של עסקים 2011.</w:t>
      </w:r>
    </w:p>
  </w:footnote>
  <w:footnote w:id="8">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Style w:val="FootnoteReference"/>
          <w:rFonts w:cs="FrankRuehl"/>
          <w:vertAlign w:val="baseline"/>
          <w:rtl/>
        </w:rPr>
        <w:t xml:space="preserve"> </w:t>
      </w:r>
      <w:r w:rsidRPr="00593BFC">
        <w:rPr>
          <w:rFonts w:cs="FrankRuehl"/>
          <w:rtl/>
        </w:rPr>
        <w:tab/>
        <w:t xml:space="preserve">המחקר פורסם באתר האינטרנט </w:t>
      </w:r>
      <w:r w:rsidRPr="00593BFC">
        <w:rPr>
          <w:rFonts w:cs="FrankRuehl"/>
        </w:rPr>
        <w:t>.www.doingbusiness.org/rankings</w:t>
      </w:r>
    </w:p>
  </w:footnote>
  <w:footnote w:id="9">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ab/>
        <w:t>מבקר המדינה,</w:t>
      </w:r>
      <w:r w:rsidRPr="00593BFC">
        <w:rPr>
          <w:rFonts w:cs="FrankRuehl"/>
          <w:b/>
          <w:bCs/>
          <w:rtl/>
        </w:rPr>
        <w:t xml:space="preserve"> דוח שנתי 55ב</w:t>
      </w:r>
      <w:r w:rsidRPr="00593BFC">
        <w:rPr>
          <w:rFonts w:cs="FrankRuehl"/>
          <w:rtl/>
        </w:rPr>
        <w:t xml:space="preserve"> (2005), "עידוד עסקים קטנים", עמ' 763.</w:t>
      </w:r>
    </w:p>
  </w:footnote>
  <w:footnote w:id="10">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Style w:val="FootnoteReference"/>
          <w:rFonts w:cs="FrankRuehl"/>
          <w:vertAlign w:val="baseline"/>
          <w:rtl/>
        </w:rPr>
        <w:t xml:space="preserve"> </w:t>
      </w:r>
      <w:r w:rsidRPr="00593BFC">
        <w:rPr>
          <w:rFonts w:cs="FrankRuehl"/>
          <w:rtl/>
        </w:rPr>
        <w:tab/>
        <w:t>החלטת ממשלה מס' 2190 מ-12.8.07 בעניין ייעול הסיוע לעסקים קטנים ומיקודו.</w:t>
      </w:r>
    </w:p>
  </w:footnote>
  <w:footnote w:id="11">
    <w:p w:rsidR="00E21817" w:rsidRPr="00593BFC" w:rsidP="00593BFC">
      <w:pPr>
        <w:pStyle w:val="FootnoteText"/>
        <w:keepLines/>
        <w:tabs>
          <w:tab w:val="left" w:pos="5450"/>
        </w:tab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ab/>
        <w:t>ב-14.3.13 החליטה הממשלה על שינוי שמו של משרד התעשייה, המסחר והתעסוקה ל"משרד הכלכלה" (החלטה מס' 29). בדוח זה יכונה אפוא המשרד "משרד הכלכלה".</w:t>
      </w:r>
    </w:p>
  </w:footnote>
  <w:footnote w:id="12">
    <w:p w:rsidR="00E21817" w:rsidRPr="00593BFC" w:rsidP="00593BFC">
      <w:pPr>
        <w:pStyle w:val="FootnoteText"/>
        <w:keepLines/>
        <w:tabs>
          <w:tab w:val="left" w:pos="6521"/>
        </w:tab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ab/>
        <w:t xml:space="preserve">מבקר המדינה, </w:t>
      </w:r>
      <w:r w:rsidRPr="00593BFC">
        <w:rPr>
          <w:rFonts w:cs="FrankRuehl"/>
          <w:b/>
          <w:bCs/>
          <w:rtl/>
        </w:rPr>
        <w:t>דוח שנתי 61ב</w:t>
      </w:r>
      <w:r w:rsidRPr="00593BFC">
        <w:rPr>
          <w:rFonts w:cs="FrankRuehl"/>
          <w:rtl/>
        </w:rPr>
        <w:t xml:space="preserve"> (2011), "סיוע לעסקים קטנים ובינוניים", עמ' 1221.</w:t>
      </w:r>
    </w:p>
  </w:footnote>
  <w:footnote w:id="13">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ההפסד הכספי שעלול להיגרם למפרסם המכרז מחמת אי-התאמה בין היקף הערבות ובין היקף העבודה שטרם בוצעה.</w:t>
      </w:r>
    </w:p>
  </w:footnote>
  <w:footnote w:id="14">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המסמכים המשמשים להגשת הצעת המחיר של המשתתף במכרז הם בתשלום.</w:t>
      </w:r>
    </w:p>
  </w:footnote>
  <w:footnote w:id="15">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בהקשר זה יצוין כי העדפה מתקנת כלפי עסקים קטנים במכרזים ממשלתיים מקובלת במדינות רבות. בארצות הברית למשל יש חקיקה פדרלית המבטיחה 23% מסך הרכש לעסקים קטנים.</w:t>
      </w:r>
    </w:p>
  </w:footnote>
  <w:footnote w:id="16">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Style w:val="FootnoteReference"/>
          <w:rFonts w:cs="FrankRuehl"/>
          <w:vertAlign w:val="baseline"/>
          <w:rtl/>
        </w:rPr>
        <w:t xml:space="preserve"> </w:t>
      </w:r>
      <w:r w:rsidRPr="00593BFC">
        <w:rPr>
          <w:rFonts w:cs="FrankRuehl"/>
          <w:rtl/>
        </w:rPr>
        <w:tab/>
        <w:t xml:space="preserve">בתיקון מס' 19 מ-27.3.08 שנכנס לתוקפו ב-27.5.08 </w:t>
      </w:r>
      <w:r w:rsidRPr="00593BFC">
        <w:rPr>
          <w:rFonts w:cs="FrankRuehl"/>
          <w:rtl/>
          <w:lang w:eastAsia="he-IL"/>
        </w:rPr>
        <w:t>נוסף סעיף 2א לחוק</w:t>
      </w:r>
      <w:r w:rsidRPr="00593BFC">
        <w:rPr>
          <w:rFonts w:cs="FrankRuehl"/>
          <w:rtl/>
        </w:rPr>
        <w:t>.</w:t>
      </w:r>
    </w:p>
  </w:footnote>
  <w:footnote w:id="17">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Style w:val="FootnoteReference"/>
          <w:rFonts w:cs="FrankRuehl"/>
          <w:vertAlign w:val="baseline"/>
          <w:rtl/>
        </w:rPr>
        <w:t xml:space="preserve"> </w:t>
      </w:r>
      <w:r w:rsidRPr="00593BFC">
        <w:rPr>
          <w:rFonts w:cs="FrankRuehl"/>
          <w:rtl/>
        </w:rPr>
        <w:tab/>
        <w:t>המדינה, כל תאגיד ממשלתי, מועצה דתית, קופת חולים ומוסד להשכלה גבוהה. יצוין שתיקון מס' 14 לחוק חל גם על תאגיד מקומי, אך נקבע כי התיקון ייכנס לתוקף רק עם התקנת תקנות לעניין עסקאות של תאגיד מקומי. תקנות כאמור טרם הותקנו.</w:t>
      </w:r>
    </w:p>
  </w:footnote>
  <w:footnote w:id="18">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חוק חובת המכרזים אינו חל על רשויות מקומיות ואחדות מהגופים הציבוריים.</w:t>
      </w:r>
    </w:p>
  </w:footnote>
  <w:footnote w:id="19">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התיקון נכנס לתוקפו ב-1.6.09.</w:t>
      </w:r>
    </w:p>
  </w:footnote>
  <w:footnote w:id="20">
    <w:p w:rsidR="00E21817" w:rsidRPr="00593BFC" w:rsidP="00593BFC">
      <w:pPr>
        <w:pStyle w:val="FootnoteText"/>
        <w:keepLines/>
        <w:tabs>
          <w:tab w:val="left" w:pos="2267"/>
        </w:tab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r>
      <w:r w:rsidRPr="00593BFC">
        <w:rPr>
          <w:rFonts w:cs="FrankRuehl"/>
          <w:spacing w:val="-2"/>
          <w:rtl/>
        </w:rPr>
        <w:t>הוראה זמנית מס' 7.12.7 שתוקפה מ-1.12.09 עד 1.12.10. תוקף ההוראה הוארך ב-5.1.11 עד 1.12.11.</w:t>
      </w:r>
    </w:p>
  </w:footnote>
  <w:footnote w:id="21">
    <w:p w:rsidR="00E21817" w:rsidRPr="00593BFC" w:rsidP="00593BFC">
      <w:pPr>
        <w:pStyle w:val="FootnoteText"/>
        <w:keepLines/>
        <w:tabs>
          <w:tab w:val="left" w:pos="2267"/>
        </w:tab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החלטה 3409 מ-3.7.11. רכש ממשלתי מתייחס למשרדי ממשלה בלבד. רכש ציבורי כולל בין היתר חברות ממשלתיות, רשויות מקומיות, רשויות סטטוטוריות. </w:t>
      </w:r>
    </w:p>
  </w:footnote>
  <w:footnote w:id="22">
    <w:p w:rsidR="00E21817" w:rsidRPr="00593BFC" w:rsidP="00593BFC">
      <w:pPr>
        <w:pStyle w:val="FootnoteText"/>
        <w:keepLines/>
        <w:tabs>
          <w:tab w:val="left" w:pos="2267"/>
        </w:tab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הוראת </w:t>
      </w:r>
      <w:r w:rsidRPr="00593BFC">
        <w:rPr>
          <w:rFonts w:cs="FrankRuehl"/>
          <w:rtl/>
        </w:rPr>
        <w:t>התכ"ם</w:t>
      </w:r>
      <w:r w:rsidRPr="00593BFC">
        <w:rPr>
          <w:rFonts w:cs="FrankRuehl"/>
          <w:rtl/>
        </w:rPr>
        <w:t xml:space="preserve"> 7.12.7 מ-27.8.13.</w:t>
      </w:r>
    </w:p>
  </w:footnote>
  <w:footnote w:id="23">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רכש ציבורי כולל רכישות של ארגונים המקבלים לפחות חלק מתקציבם ממקור ממשלתי או שהממשלה שותפה בניהולם כגון רשויות מקומיות, אוניברסיטאות, בתי חולים ממשלתיים וחברות ממשלתיות.</w:t>
      </w:r>
    </w:p>
  </w:footnote>
  <w:footnote w:id="24">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ועדה מייעצת - ועדה האחראית למתן סיוע, ייעוץ והמלצות </w:t>
      </w:r>
      <w:r w:rsidRPr="00593BFC">
        <w:rPr>
          <w:rFonts w:cs="FrankRuehl"/>
          <w:rtl/>
        </w:rPr>
        <w:t>לחשכ"ל</w:t>
      </w:r>
      <w:r w:rsidRPr="00593BFC">
        <w:rPr>
          <w:rFonts w:cs="FrankRuehl"/>
          <w:rtl/>
        </w:rPr>
        <w:t xml:space="preserve"> בכל הנוגע ליישום סמכויותיו ולשם גיבוש החלטותיו כמפורט </w:t>
      </w:r>
      <w:r w:rsidRPr="00593BFC">
        <w:rPr>
          <w:rFonts w:cs="FrankRuehl"/>
          <w:b/>
          <w:i/>
          <w:rtl/>
        </w:rPr>
        <w:t>ב</w:t>
      </w:r>
      <w:r w:rsidRPr="00555376">
        <w:rPr>
          <w:rFonts w:cs="FrankRuehl"/>
          <w:rtl/>
        </w:rPr>
        <w:t xml:space="preserve">הודעה "ועדות מייעצות ליישום </w:t>
      </w:r>
      <w:bookmarkStart w:id="6" w:name="_Hlt318970208"/>
      <w:bookmarkStart w:id="7" w:name="_Hlt318970209"/>
      <w:r w:rsidRPr="00555376">
        <w:rPr>
          <w:rFonts w:cs="FrankRuehl"/>
          <w:rtl/>
        </w:rPr>
        <w:t>ס</w:t>
      </w:r>
      <w:bookmarkEnd w:id="6"/>
      <w:bookmarkEnd w:id="7"/>
      <w:r w:rsidRPr="00555376">
        <w:rPr>
          <w:rFonts w:cs="FrankRuehl"/>
          <w:rtl/>
        </w:rPr>
        <w:t>מכויות החשב הכללי", מס' ה.7.1.3.1</w:t>
      </w:r>
      <w:r w:rsidRPr="00593BFC">
        <w:rPr>
          <w:rFonts w:cs="FrankRuehl"/>
          <w:rtl/>
        </w:rPr>
        <w:t>.</w:t>
      </w:r>
    </w:p>
  </w:footnote>
  <w:footnote w:id="25">
    <w:p w:rsidR="00484EEB" w:rsidRPr="00484EEB">
      <w:pPr>
        <w:pStyle w:val="FootnoteText"/>
        <w:rPr>
          <w:rStyle w:val="FootnoteReference"/>
          <w:rFonts w:ascii="FrankRuehl" w:hAnsi="FrankRuehl" w:cs="FrankRuehl"/>
          <w:vertAlign w:val="baseline"/>
        </w:rPr>
      </w:pPr>
      <w:r w:rsidRPr="00484EEB">
        <w:rPr>
          <w:rStyle w:val="FootnoteReference"/>
          <w:rFonts w:ascii="FrankRuehl" w:hAnsi="FrankRuehl" w:cs="FrankRuehl"/>
          <w:vertAlign w:val="baseline"/>
        </w:rPr>
        <w:footnoteRef/>
      </w:r>
      <w:r w:rsidRPr="00484EEB">
        <w:rPr>
          <w:rStyle w:val="FootnoteReference"/>
          <w:rFonts w:ascii="FrankRuehl" w:hAnsi="FrankRuehl" w:cs="FrankRuehl"/>
          <w:vertAlign w:val="baseline"/>
          <w:rtl/>
        </w:rPr>
        <w:t xml:space="preserve"> </w:t>
      </w:r>
      <w:r w:rsidRPr="00484EEB">
        <w:rPr>
          <w:rStyle w:val="FootnoteReference"/>
          <w:rFonts w:ascii="FrankRuehl" w:hAnsi="FrankRuehl" w:cs="FrankRuehl" w:hint="cs"/>
          <w:vertAlign w:val="baseline"/>
          <w:rtl/>
        </w:rPr>
        <w:tab/>
      </w:r>
      <w:r w:rsidRPr="00593BFC">
        <w:rPr>
          <w:rFonts w:cs="FrankRuehl"/>
        </w:rPr>
        <w:t>Directive 2011/7/EU Combating late payment in commercial transactions</w:t>
      </w:r>
    </w:p>
  </w:footnote>
  <w:footnote w:id="26">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ראו הוראת </w:t>
      </w:r>
      <w:r w:rsidRPr="00593BFC">
        <w:rPr>
          <w:rFonts w:cs="FrankRuehl"/>
          <w:rtl/>
        </w:rPr>
        <w:t>תכ"ם</w:t>
      </w:r>
      <w:r w:rsidRPr="00593BFC">
        <w:rPr>
          <w:rFonts w:cs="FrankRuehl"/>
          <w:rtl/>
        </w:rPr>
        <w:t xml:space="preserve"> 1.4.3.</w:t>
      </w:r>
    </w:p>
  </w:footnote>
  <w:footnote w:id="27">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משרד מבקר המדינה עמד על הנזקים הנגרמים לעסקים כתוצאה מפיגורים בתשלומים לספקים של משרד </w:t>
      </w:r>
      <w:r w:rsidRPr="00593BFC">
        <w:rPr>
          <w:rFonts w:cs="FrankRuehl"/>
          <w:rtl/>
        </w:rPr>
        <w:t>הבטחון</w:t>
      </w:r>
      <w:r w:rsidRPr="00593BFC">
        <w:rPr>
          <w:rFonts w:cs="FrankRuehl"/>
          <w:rtl/>
        </w:rPr>
        <w:t xml:space="preserve">. ראו מבקר המדינה, </w:t>
      </w:r>
      <w:r w:rsidRPr="00593BFC">
        <w:rPr>
          <w:rFonts w:cs="FrankRuehl"/>
          <w:b/>
          <w:bCs/>
          <w:rtl/>
        </w:rPr>
        <w:t>דוח שנתי 64ב</w:t>
      </w:r>
      <w:r w:rsidRPr="00593BFC">
        <w:rPr>
          <w:rFonts w:cs="FrankRuehl"/>
          <w:rtl/>
        </w:rPr>
        <w:t xml:space="preserve"> (2014), "תשלומי משרד הביטחון לספקים".</w:t>
      </w:r>
    </w:p>
  </w:footnote>
  <w:footnote w:id="28">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בהחלטה מס' 2059, קובץ החלטות הממשלה בעניין התכנית הכלכלית לשנת 2015, 7.10.14.</w:t>
      </w:r>
    </w:p>
  </w:footnote>
  <w:footnote w:id="29">
    <w:p w:rsidR="00E21817" w:rsidRPr="00593BFC" w:rsidP="00593BFC">
      <w:pPr>
        <w:pStyle w:val="FootnoteText"/>
        <w:keepLines/>
        <w:tabs>
          <w:tab w:val="left" w:pos="4961"/>
        </w:tab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Pr>
        <w:tab/>
      </w:r>
      <w:r w:rsidRPr="00593BFC">
        <w:rPr>
          <w:rFonts w:cs="FrankRuehl"/>
          <w:rtl/>
        </w:rPr>
        <w:t xml:space="preserve">ראו לדוגמה סעיף 5(א) לחוק לקידום התחרות ולצמצום הריכוזיות, התשע"ד-2013, ולפיו "מאסדר רשאי שלא להקצות זכות לגורם ריכוזי, לאחר שמצא כי סביר שלא תיגרם פגיעה של ממש לתחום שבו מוקצית הזכות ולהסדרת התחום האמור בשל אי ההקצאה". לפי הסעיף האמור, </w:t>
      </w:r>
      <w:r w:rsidRPr="00593BFC">
        <w:rPr>
          <w:rFonts w:cs="FrankRuehl"/>
          <w:rtl/>
        </w:rPr>
        <w:t>מאסדרים</w:t>
      </w:r>
      <w:r w:rsidRPr="00593BFC">
        <w:rPr>
          <w:rFonts w:cs="FrankRuehl"/>
          <w:rtl/>
        </w:rPr>
        <w:t xml:space="preserve"> חייבים לשקול שיקולי תחרות בעת ההחלטה להעניק הטבה לגוף מסוים.</w:t>
      </w:r>
    </w:p>
  </w:footnote>
  <w:footnote w:id="30">
    <w:p w:rsidR="00E21817" w:rsidRPr="00593BFC" w:rsidP="00593BFC">
      <w:pPr>
        <w:pStyle w:val="FootnoteText"/>
        <w:keepLines/>
        <w:tabs>
          <w:tab w:val="left" w:pos="4961"/>
        </w:tab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Style w:val="FootnoteReference"/>
          <w:rFonts w:cs="FrankRuehl"/>
          <w:vertAlign w:val="baseline"/>
          <w:rtl/>
        </w:rPr>
        <w:t xml:space="preserve"> </w:t>
      </w:r>
      <w:r w:rsidRPr="00593BFC">
        <w:rPr>
          <w:rFonts w:cs="FrankRuehl"/>
          <w:rtl/>
        </w:rPr>
        <w:tab/>
        <w:t xml:space="preserve">החוק חוקק לראשונה ב-1980 ותוקן על ידי </w:t>
      </w:r>
      <w:r w:rsidRPr="00593BFC">
        <w:rPr>
          <w:rFonts w:cs="FrankRuehl"/>
        </w:rPr>
        <w:t>Small Business Regulatory Enforcement Fairness Act</w:t>
      </w:r>
      <w:r w:rsidRPr="00593BFC">
        <w:rPr>
          <w:rFonts w:cs="FrankRuehl"/>
          <w:rtl/>
        </w:rPr>
        <w:t xml:space="preserve"> ב-1996.</w:t>
      </w:r>
    </w:p>
  </w:footnote>
  <w:footnote w:id="31">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הצוות</w:t>
      </w:r>
      <w:r w:rsidRPr="00593BFC">
        <w:rPr>
          <w:rFonts w:cs="FrankRuehl"/>
        </w:rPr>
        <w:t xml:space="preserve"> </w:t>
      </w:r>
      <w:r w:rsidRPr="00593BFC">
        <w:rPr>
          <w:rFonts w:cs="FrankRuehl"/>
          <w:rtl/>
        </w:rPr>
        <w:t>לפיצוי</w:t>
      </w:r>
      <w:r w:rsidRPr="00593BFC">
        <w:rPr>
          <w:rFonts w:cs="FrankRuehl"/>
        </w:rPr>
        <w:t xml:space="preserve"> </w:t>
      </w:r>
      <w:r w:rsidRPr="00593BFC">
        <w:rPr>
          <w:rFonts w:cs="FrankRuehl"/>
          <w:rtl/>
        </w:rPr>
        <w:t>עצמאים</w:t>
      </w:r>
      <w:r w:rsidRPr="00593BFC">
        <w:rPr>
          <w:rFonts w:cs="FrankRuehl"/>
        </w:rPr>
        <w:t xml:space="preserve"> </w:t>
      </w:r>
      <w:r w:rsidRPr="00593BFC">
        <w:rPr>
          <w:rFonts w:cs="FrankRuehl"/>
          <w:rtl/>
        </w:rPr>
        <w:t>ומעסיקים</w:t>
      </w:r>
      <w:r w:rsidRPr="00593BFC">
        <w:rPr>
          <w:rFonts w:cs="FrankRuehl"/>
        </w:rPr>
        <w:t xml:space="preserve"> </w:t>
      </w:r>
      <w:r w:rsidRPr="00593BFC">
        <w:rPr>
          <w:rFonts w:cs="FrankRuehl"/>
          <w:rtl/>
        </w:rPr>
        <w:t>על</w:t>
      </w:r>
      <w:r w:rsidRPr="00593BFC">
        <w:rPr>
          <w:rFonts w:cs="FrankRuehl"/>
        </w:rPr>
        <w:t xml:space="preserve"> </w:t>
      </w:r>
      <w:r w:rsidRPr="00593BFC">
        <w:rPr>
          <w:rFonts w:cs="FrankRuehl"/>
          <w:rtl/>
        </w:rPr>
        <w:t>שירות</w:t>
      </w:r>
      <w:r w:rsidRPr="00593BFC">
        <w:rPr>
          <w:rFonts w:cs="FrankRuehl"/>
        </w:rPr>
        <w:t xml:space="preserve"> </w:t>
      </w:r>
      <w:r w:rsidRPr="00593BFC">
        <w:rPr>
          <w:rFonts w:cs="FrankRuehl"/>
          <w:rtl/>
        </w:rPr>
        <w:t>מילואים.</w:t>
      </w:r>
    </w:p>
  </w:footnote>
  <w:footnote w:id="32">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ההכנסה החודשית היא הכנסות שנתיות פחות הוצאות שנתיות, מחולקת ב-12.</w:t>
      </w:r>
    </w:p>
  </w:footnote>
  <w:footnote w:id="33">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סעיף 271 לחוק הביטוח הלאומי.</w:t>
      </w:r>
    </w:p>
  </w:footnote>
  <w:footnote w:id="34">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Pr>
        <w:tab/>
      </w:r>
      <w:r w:rsidRPr="00593BFC">
        <w:rPr>
          <w:rFonts w:cs="FrankRuehl"/>
          <w:rtl/>
        </w:rPr>
        <w:t xml:space="preserve">החלטה מס' </w:t>
      </w:r>
      <w:r w:rsidRPr="00593BFC">
        <w:rPr>
          <w:rFonts w:cs="FrankRuehl"/>
          <w:rtl/>
        </w:rPr>
        <w:t>חק</w:t>
      </w:r>
      <w:r w:rsidRPr="00593BFC">
        <w:rPr>
          <w:rFonts w:cs="FrankRuehl"/>
          <w:rtl/>
        </w:rPr>
        <w:t>/400 של ועדת השרים שקיבלה תוקף של החלטת ממשלה ב-27.11.13 (החלטה 973).</w:t>
      </w:r>
    </w:p>
  </w:footnote>
  <w:footnote w:id="35">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ועדה בראשות מנכ"ל משרד הפנים לשעבר דב קהת שבחנה את טבלאות ההנחות בארנונה ופטורים מארנונה.</w:t>
      </w:r>
    </w:p>
  </w:footnote>
  <w:footnote w:id="36">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משרת מילואים פעיל מוגדר על בסיס שירות שמשכו מספר מזערי של ימים בשנה. </w:t>
      </w:r>
    </w:p>
  </w:footnote>
  <w:footnote w:id="37">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חברות כלכליות חיצוניות הבודקות את הכדאיות הכלכלית של הבקשה ומנהלות את הטיפול בבקשה עבור </w:t>
      </w:r>
      <w:r w:rsidRPr="00593BFC">
        <w:rPr>
          <w:rFonts w:cs="FrankRuehl"/>
          <w:rtl/>
        </w:rPr>
        <w:t>החשכ"ל</w:t>
      </w:r>
      <w:r w:rsidRPr="00593BFC">
        <w:rPr>
          <w:rFonts w:cs="FrankRuehl"/>
          <w:rtl/>
        </w:rPr>
        <w:t>. במועד הביקורת היו שני גופי תיאום.</w:t>
      </w:r>
    </w:p>
  </w:footnote>
  <w:footnote w:id="38">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בוועדה חברים נציג הבנקים, נציג </w:t>
      </w:r>
      <w:r w:rsidRPr="00593BFC">
        <w:rPr>
          <w:rFonts w:cs="FrankRuehl"/>
          <w:rtl/>
        </w:rPr>
        <w:t>החשכ"ל</w:t>
      </w:r>
      <w:r w:rsidRPr="00593BFC">
        <w:rPr>
          <w:rFonts w:cs="FrankRuehl"/>
          <w:rtl/>
        </w:rPr>
        <w:t xml:space="preserve"> ונציג ציבורי.</w:t>
      </w:r>
    </w:p>
  </w:footnote>
  <w:footnote w:id="39">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החלטות ועדת האשראי לאשר הלוואה התקבלו פה אחד. בכל ועדת אשראי יש לבנק האמור להעמיד את ההלוואה נציג. אם הבנק מתנגד למתן ההלוואה הוא מצביע על כך בדיון ועדת האשראי על הבקשה.</w:t>
      </w:r>
    </w:p>
  </w:footnote>
  <w:footnote w:id="40">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הנתונים כוללים הלוואות שניתנו בקרן לעסקים קטנים, בקרן לעסקים בינוניים ובקרן לעסקים קטנים ובינוניים.</w:t>
      </w:r>
    </w:p>
  </w:footnote>
  <w:footnote w:id="41">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הנתונים על היקף הקרן מעודכנים למארס 2015. הנתונים על </w:t>
      </w:r>
      <w:r w:rsidRPr="00593BFC">
        <w:rPr>
          <w:rFonts w:cs="FrankRuehl"/>
          <w:rtl/>
        </w:rPr>
        <w:t>חילוטים</w:t>
      </w:r>
      <w:r w:rsidRPr="00593BFC">
        <w:rPr>
          <w:rFonts w:cs="FrankRuehl"/>
          <w:rtl/>
        </w:rPr>
        <w:t xml:space="preserve"> מעודכנים לאוגוסט 2014.</w:t>
      </w:r>
    </w:p>
  </w:footnote>
  <w:footnote w:id="42">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מספר בדיקות המעקב שעל גופי התיאום לבצע נקבע בנוסחה הקשורה למספר ההלוואות שאושרו כל חודש. במועד הביקורת בדקו גופי התיאום, בהתאם לנוסחה, כ-20% מהעסקים שקיבלו הלוואות מהקרן. גופי תיאום מבקרים שלוש פעמים בעסקים אלו במהלך תקופת ההלוואה.</w:t>
      </w:r>
    </w:p>
  </w:footnote>
  <w:footnote w:id="43">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בעת קבלת ההלוואה מהקרן חותם הלווה על ויתור סודיות בנקאית לצורך בדיקת בקשת העסק הקטן לקבלת ההלוואה ולצורך מעקב אחר ביצוע התכנית העסקית ופעילות העסק.</w:t>
      </w:r>
    </w:p>
  </w:footnote>
  <w:footnote w:id="44">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מוקדי השטח (מעוף) הם חברות כלכליות שנבחרו על ידי משרד הכלכלה כמפעילים של תכניות ייעוץ וליווי לעסקים קטנים ובינוניים, הכוללות אבחון מקצועי וייעוץ של מומחים במגוון תחומי התמחות. </w:t>
      </w:r>
    </w:p>
  </w:footnote>
  <w:footnote w:id="45">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תהליך בדיקת הסיכון של הצעה לקבלת הלוואה וההחלטה אם לתת אותה, באילו מחירים וכד'.</w:t>
      </w:r>
    </w:p>
  </w:footnote>
  <w:footnote w:id="46">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ab/>
        <w:t>בהגדרת מצבי חירום נכללים, בין היתר, אסונות טבע; תקלות טכנולוגיות; מפגעי אבטחה; ותאונות.</w:t>
      </w:r>
      <w:r w:rsidRPr="00593BFC">
        <w:rPr>
          <w:rFonts w:cs="FrankRuehl"/>
          <w:color w:val="7030A0"/>
          <w:rtl/>
        </w:rPr>
        <w:t xml:space="preserve"> </w:t>
      </w:r>
      <w:r w:rsidRPr="00593BFC">
        <w:rPr>
          <w:rFonts w:cs="FrankRuehl"/>
          <w:rtl/>
        </w:rPr>
        <w:t xml:space="preserve">לפירוט יותר רחב ראו </w:t>
      </w:r>
      <w:r w:rsidRPr="00593BFC">
        <w:rPr>
          <w:rFonts w:cs="FrankRuehl"/>
        </w:rPr>
        <w:t>http://www.disastermgmt.org/type/types.html</w:t>
      </w:r>
      <w:r w:rsidRPr="00593BFC">
        <w:rPr>
          <w:rFonts w:cs="FrankRuehl"/>
          <w:color w:val="7030A0"/>
          <w:rtl/>
        </w:rPr>
        <w:t>.</w:t>
      </w:r>
    </w:p>
  </w:footnote>
  <w:footnote w:id="47">
    <w:p w:rsidR="00094B57" w:rsidP="00BB1518">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sidR="00E21817">
        <w:rPr>
          <w:rFonts w:cs="FrankRuehl"/>
          <w:rtl/>
        </w:rPr>
        <w:t xml:space="preserve"> </w:t>
      </w:r>
      <w:r w:rsidRPr="00593BFC" w:rsidR="00E21817">
        <w:rPr>
          <w:rFonts w:cs="FrankRuehl"/>
          <w:rtl/>
        </w:rPr>
        <w:tab/>
      </w:r>
      <w:r>
        <w:rPr>
          <w:rFonts w:cs="FrankRuehl" w:hint="cs"/>
          <w:rtl/>
        </w:rPr>
        <w:t>ראו:</w:t>
      </w:r>
    </w:p>
    <w:p w:rsidR="00E21817" w:rsidRPr="00593BFC" w:rsidP="00484EEB">
      <w:pPr>
        <w:pStyle w:val="FootnoteText"/>
        <w:keepLines/>
        <w:bidi w:val="0"/>
        <w:spacing w:line="200" w:lineRule="exact"/>
        <w:ind w:right="397"/>
        <w:jc w:val="both"/>
        <w:rPr>
          <w:rFonts w:cs="FrankRuehl"/>
          <w:rtl/>
        </w:rPr>
      </w:pPr>
      <w:r w:rsidRPr="00593BFC">
        <w:rPr>
          <w:rFonts w:cs="FrankRuehl"/>
          <w:rtl/>
        </w:rPr>
        <w:t xml:space="preserve"> </w:t>
      </w:r>
      <w:r w:rsidRPr="00593BFC">
        <w:rPr>
          <w:rFonts w:cs="FrankRuehl"/>
        </w:rPr>
        <w:t>https://www.disastersafety.org/commercial_maintenance/commercial-vulnerability-assessment_ibhs</w:t>
      </w:r>
      <w:r w:rsidRPr="00593BFC">
        <w:rPr>
          <w:rFonts w:cs="FrankRuehl"/>
          <w:rtl/>
        </w:rPr>
        <w:t>/</w:t>
      </w:r>
    </w:p>
  </w:footnote>
  <w:footnote w:id="48">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תרחיש הייחוס בצה"ל הוא תיאור התפתחות עתידית של מלחמה, שממנו נגזרות התפוקות הנדרשות מגופי התכנון, והוא מהווה קביעה פיקודית של האתגרים המבצעיים העיקריים שצה"ל צריך להיערך אליהם בבניין הכוח שלו. תרחיש הייחוס אמור לשמש בסיס לתכנון כוח האדם, כמויות המלאי והאמצעים התומכים, ולהוות בסיס משותף למודלים של תכנון בגופים ובזרועות בצה"ל. תרחיש הייחוס של מערך מל"ח הוא תרחיש למשק המדינה, שמכין מטה מל"ח ארצי על בסיס איום הייחוס, שהגדיר אגף התכנון בצה"ל ושאישר הרמטכ"ל. תרחיש הייחוס של מערך מל"ח הוא רכיב יסודי הנחוץ לצורך תכנון מערך מל"ח ולצורך היערכותו למצב שבו יוחלט להפעילו.</w:t>
      </w:r>
    </w:p>
  </w:footnote>
  <w:footnote w:id="49">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 xml:space="preserve">בעקבות החלטת ממשלה 2745 מינואר 2011 על הקמת המשרד להגנת העורף, במרץ 2011 הועברה אליו פעילותה של </w:t>
      </w:r>
      <w:r w:rsidRPr="00593BFC">
        <w:rPr>
          <w:rFonts w:cs="FrankRuehl"/>
          <w:rtl/>
        </w:rPr>
        <w:t>רח"ל</w:t>
      </w:r>
      <w:r w:rsidRPr="00593BFC">
        <w:rPr>
          <w:rFonts w:cs="FrankRuehl"/>
          <w:rtl/>
        </w:rPr>
        <w:t xml:space="preserve">. ב- 1.6.14 החליטה הממשלה (החלטה 1661) לבטל את המשרד להגנת העורף ולהעביר את שטח הפעולה של </w:t>
      </w:r>
      <w:r w:rsidRPr="00593BFC">
        <w:rPr>
          <w:rFonts w:cs="FrankRuehl"/>
          <w:rtl/>
        </w:rPr>
        <w:t>רח"ל</w:t>
      </w:r>
      <w:r w:rsidRPr="00593BFC">
        <w:rPr>
          <w:rFonts w:cs="FrankRuehl"/>
          <w:rtl/>
        </w:rPr>
        <w:t xml:space="preserve"> והסמכויות שהוקנו לשר להגנת העורף בעניין מל"ח, חזרה לאחריותו של משרד הביטחון.</w:t>
      </w:r>
    </w:p>
  </w:footnote>
  <w:footnote w:id="50">
    <w:p w:rsidR="00E21817" w:rsidRPr="00593BFC" w:rsidP="00593BFC">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החלטה 706.</w:t>
      </w:r>
    </w:p>
  </w:footnote>
  <w:footnote w:id="51">
    <w:p w:rsidR="00E21817" w:rsidRPr="00593BFC" w:rsidP="001312DA">
      <w:pPr>
        <w:pStyle w:val="FootnoteText"/>
        <w:keepLines/>
        <w:spacing w:line="200" w:lineRule="exact"/>
        <w:ind w:left="397" w:hanging="397"/>
        <w:jc w:val="both"/>
        <w:rPr>
          <w:rFonts w:cs="FrankRueh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r>
      <w:r w:rsidR="001312DA">
        <w:rPr>
          <w:rFonts w:cs="FrankRuehl" w:hint="cs"/>
          <w:rtl/>
        </w:rPr>
        <w:t xml:space="preserve">ראו: </w:t>
      </w:r>
      <w:r w:rsidRPr="00593BFC">
        <w:rPr>
          <w:rFonts w:cs="FrankRuehl"/>
        </w:rPr>
        <w:t>.https://www.sba.gov/content/disaster-preparedness</w:t>
      </w:r>
    </w:p>
  </w:footnote>
  <w:footnote w:id="52">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הסוכנות לעסקים קטנים בארה"ב מציעה הלוואות לעסקים שנפגעו מאסון למטרות הללו: תיקון או החלפה של ציוד ונכסים שניזוקו, נזק כלכלי ללא קשר לנזק פיזי לעסק, כיסוי נזקים שנגרמו על ידי שירות במילואים של עובד חיוני.</w:t>
      </w:r>
    </w:p>
  </w:footnote>
  <w:footnote w:id="53">
    <w:p w:rsidR="00E21817" w:rsidRPr="00593BFC" w:rsidP="002C0572">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Pr>
          <w:rFonts w:cs="FrankRuehl"/>
          <w:rtl/>
        </w:rPr>
        <w:t xml:space="preserve"> </w:t>
      </w:r>
      <w:r w:rsidR="001B54E5">
        <w:rPr>
          <w:rFonts w:cs="FrankRuehl"/>
        </w:rPr>
        <w:tab/>
      </w:r>
      <w:r w:rsidRPr="00593BFC" w:rsidR="001B54E5">
        <w:rPr>
          <w:rFonts w:cs="FrankRuehl"/>
        </w:rPr>
        <w:t>disaster planning and recovery</w:t>
      </w:r>
    </w:p>
  </w:footnote>
  <w:footnote w:id="54">
    <w:p w:rsidR="00E21817" w:rsidRPr="00593BFC" w:rsidP="00593BFC">
      <w:pPr>
        <w:pStyle w:val="FootnoteText"/>
        <w:keepLines/>
        <w:spacing w:line="200" w:lineRule="exact"/>
        <w:ind w:left="397" w:hanging="397"/>
        <w:jc w:val="both"/>
        <w:rPr>
          <w:rFonts w:cs="FrankRuehl"/>
          <w:rtl/>
        </w:rPr>
      </w:pPr>
      <w:r w:rsidRPr="00593BFC">
        <w:rPr>
          <w:rStyle w:val="FootnoteReference"/>
          <w:rFonts w:ascii="FrankRuehl" w:hAnsi="FrankRuehl" w:cs="FrankRuehl"/>
          <w:vertAlign w:val="baseline"/>
        </w:rPr>
        <w:footnoteRef/>
      </w:r>
      <w:r w:rsidRPr="00593BFC">
        <w:rPr>
          <w:rFonts w:cs="FrankRuehl"/>
          <w:rtl/>
        </w:rPr>
        <w:t xml:space="preserve"> </w:t>
      </w:r>
      <w:r w:rsidRPr="00593BFC">
        <w:rPr>
          <w:rFonts w:cs="FrankRuehl"/>
          <w:rtl/>
        </w:rPr>
        <w:tab/>
        <w:t>במקרה של מימוש הערבות לבנקים יש חשיפה ישירה של 5% מערך ההלוואה ועד ל-20% חשיפה עקיפה. החשיפה העקיפה נובעת מכך שהאוצר הפקיד פיקדון בבנק לכסות את הערבות של המדינה עד תקרה מסוימת. מימוש מעל תקרה זו חל במלואו על הבנק.</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50D3" w:rsidP="005750D3">
    <w:pPr>
      <w:pStyle w:val="Header"/>
      <w:tabs>
        <w:tab w:val="clear" w:pos="4153"/>
        <w:tab w:val="right" w:pos="6804"/>
        <w:tab w:val="clear" w:pos="8306"/>
      </w:tabs>
      <w:rPr>
        <w:rFonts w:ascii="FrankRuehl" w:hAnsi="FrankRuehl" w:cs="FrankRuehl"/>
        <w:szCs w:val="20"/>
        <w:rtl/>
      </w:rPr>
    </w:pP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0C468B">
      <w:rPr>
        <w:rFonts w:ascii="FrankRuehl" w:hAnsi="FrankRuehl" w:cs="FrankRuehl"/>
        <w:noProof/>
        <w:szCs w:val="20"/>
        <w:rtl/>
      </w:rPr>
      <w:t>378</w:t>
    </w:r>
    <w:r>
      <w:rPr>
        <w:rFonts w:ascii="FrankRuehl" w:hAnsi="FrankRuehl" w:cs="FrankRuehl"/>
        <w:szCs w:val="20"/>
      </w:rPr>
      <w:fldChar w:fldCharType="end"/>
    </w:r>
    <w:r>
      <w:rPr>
        <w:rFonts w:ascii="FrankRuehl" w:hAnsi="FrankRuehl" w:cs="FrankRuehl"/>
        <w:szCs w:val="20"/>
        <w:rtl/>
      </w:rPr>
      <w:tab/>
    </w:r>
    <w:r w:rsidR="00BA09A0">
      <w:rPr>
        <w:rFonts w:ascii="FrankRuehl" w:hAnsi="FrankRuehl" w:cs="FrankRuehl" w:hint="cs"/>
        <w:szCs w:val="20"/>
        <w:rtl/>
      </w:rPr>
      <w:t>דוח שנתי 66א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75A6" w:rsidP="004867CF">
    <w:pPr>
      <w:pStyle w:val="Header"/>
      <w:tabs>
        <w:tab w:val="clear" w:pos="4153"/>
        <w:tab w:val="right" w:pos="6804"/>
        <w:tab w:val="clear" w:pos="8306"/>
      </w:tabs>
      <w:rPr>
        <w:rFonts w:ascii="FrankRuehl" w:hAnsi="FrankRuehl" w:cs="FrankRuehl"/>
        <w:szCs w:val="20"/>
        <w:rtl/>
      </w:rPr>
    </w:pPr>
    <w:r>
      <w:rPr>
        <w:rFonts w:ascii="FrankRuehl" w:hAnsi="FrankRuehl" w:cs="FrankRuehl" w:hint="cs"/>
        <w:noProof/>
        <w:szCs w:val="20"/>
        <w:rtl/>
      </w:rPr>
      <w:t xml:space="preserve">משרד </w:t>
    </w:r>
    <w:r w:rsidR="004867CF">
      <w:rPr>
        <w:rFonts w:ascii="FrankRuehl" w:hAnsi="FrankRuehl" w:cs="FrankRuehl" w:hint="cs"/>
        <w:noProof/>
        <w:szCs w:val="20"/>
        <w:rtl/>
      </w:rPr>
      <w:t>הכלכלה</w:t>
    </w: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0C468B">
      <w:rPr>
        <w:rFonts w:ascii="FrankRuehl" w:hAnsi="FrankRuehl" w:cs="FrankRuehl"/>
        <w:noProof/>
        <w:szCs w:val="20"/>
        <w:rtl/>
      </w:rPr>
      <w:t>379</w:t>
    </w:r>
    <w:r>
      <w:rPr>
        <w:rFonts w:ascii="FrankRuehl" w:hAnsi="FrankRuehl" w:cs="FrankRuehl"/>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75A6">
    <w:pPr>
      <w:pStyle w:val="Header"/>
      <w:tabs>
        <w:tab w:val="clear" w:pos="4153"/>
        <w:tab w:val="right" w:pos="6804"/>
        <w:tab w:val="clear" w:pos="8306"/>
      </w:tabs>
      <w:rPr>
        <w:rFonts w:ascii="FrankRuehl" w:hAnsi="FrankRuehl" w:cs="FrankRuehl"/>
        <w:szCs w:val="20"/>
        <w:rtl/>
      </w:rPr>
    </w:pPr>
    <w:r>
      <w:rPr>
        <w:rFonts w:ascii="FrankRuehl" w:hAnsi="FrankRuehl" w:cs="FrankRuehl" w:hint="cs"/>
        <w:szCs w:val="20"/>
        <w:rtl/>
      </w:rPr>
      <w:t>משרד הכלכלה</w:t>
    </w: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Pr>
        <w:rFonts w:ascii="FrankRuehl" w:hAnsi="FrankRuehl" w:cs="FrankRuehl"/>
        <w:noProof/>
        <w:szCs w:val="20"/>
        <w:rtl/>
      </w:rPr>
      <w:t>1</w:t>
    </w:r>
    <w:r>
      <w:rPr>
        <w:rFonts w:ascii="FrankRuehl" w:hAnsi="FrankRuehl" w:cs="FrankRuehl"/>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1518" w:rsidRPr="00BB1518" w:rsidP="00BB1518">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3E2215"/>
    <w:multiLevelType w:val="hybridMultilevel"/>
    <w:tmpl w:val="198C8C4A"/>
    <w:lvl w:ilvl="0">
      <w:start w:val="1"/>
      <w:numFmt w:val="hebrew1"/>
      <w:lvlText w:val="%1."/>
      <w:lvlJc w:val="left"/>
      <w:pPr>
        <w:ind w:left="1003" w:hanging="360"/>
      </w:pPr>
      <w:rPr>
        <w:rFonts w:hint="default"/>
        <w:sz w:val="24"/>
        <w:szCs w:val="24"/>
      </w:rPr>
    </w:lvl>
    <w:lvl w:ilvl="1" w:tentative="1">
      <w:start w:val="1"/>
      <w:numFmt w:val="lowerLetter"/>
      <w:lvlText w:val="%2."/>
      <w:lvlJc w:val="left"/>
      <w:pPr>
        <w:ind w:left="1723" w:hanging="360"/>
      </w:pPr>
    </w:lvl>
    <w:lvl w:ilvl="2" w:tentative="1">
      <w:start w:val="1"/>
      <w:numFmt w:val="lowerRoman"/>
      <w:lvlText w:val="%3."/>
      <w:lvlJc w:val="right"/>
      <w:pPr>
        <w:ind w:left="2443" w:hanging="180"/>
      </w:pPr>
    </w:lvl>
    <w:lvl w:ilvl="3" w:tentative="1">
      <w:start w:val="1"/>
      <w:numFmt w:val="decimal"/>
      <w:lvlText w:val="%4."/>
      <w:lvlJc w:val="left"/>
      <w:pPr>
        <w:ind w:left="3163" w:hanging="360"/>
      </w:pPr>
    </w:lvl>
    <w:lvl w:ilvl="4" w:tentative="1">
      <w:start w:val="1"/>
      <w:numFmt w:val="lowerLetter"/>
      <w:lvlText w:val="%5."/>
      <w:lvlJc w:val="left"/>
      <w:pPr>
        <w:ind w:left="3883" w:hanging="360"/>
      </w:pPr>
    </w:lvl>
    <w:lvl w:ilvl="5" w:tentative="1">
      <w:start w:val="1"/>
      <w:numFmt w:val="lowerRoman"/>
      <w:lvlText w:val="%6."/>
      <w:lvlJc w:val="right"/>
      <w:pPr>
        <w:ind w:left="4603" w:hanging="180"/>
      </w:pPr>
    </w:lvl>
    <w:lvl w:ilvl="6" w:tentative="1">
      <w:start w:val="1"/>
      <w:numFmt w:val="decimal"/>
      <w:lvlText w:val="%7."/>
      <w:lvlJc w:val="left"/>
      <w:pPr>
        <w:ind w:left="5323" w:hanging="360"/>
      </w:pPr>
    </w:lvl>
    <w:lvl w:ilvl="7" w:tentative="1">
      <w:start w:val="1"/>
      <w:numFmt w:val="lowerLetter"/>
      <w:lvlText w:val="%8."/>
      <w:lvlJc w:val="left"/>
      <w:pPr>
        <w:ind w:left="6043" w:hanging="360"/>
      </w:pPr>
    </w:lvl>
    <w:lvl w:ilvl="8" w:tentative="1">
      <w:start w:val="1"/>
      <w:numFmt w:val="lowerRoman"/>
      <w:lvlText w:val="%9."/>
      <w:lvlJc w:val="right"/>
      <w:pPr>
        <w:ind w:left="6763" w:hanging="180"/>
      </w:pPr>
    </w:lvl>
  </w:abstractNum>
  <w:abstractNum w:abstractNumId="1">
    <w:nsid w:val="082654D5"/>
    <w:multiLevelType w:val="multilevel"/>
    <w:tmpl w:val="DD12774E"/>
    <w:lvl w:ilvl="0">
      <w:start w:val="1"/>
      <w:numFmt w:val="decimal"/>
      <w:lvlText w:val="%1."/>
      <w:lvlJc w:val="left"/>
      <w:pPr>
        <w:ind w:left="340" w:hanging="340"/>
      </w:pPr>
      <w:rPr>
        <w:b w:val="0"/>
        <w:bCs w:val="0"/>
      </w:rPr>
    </w:lvl>
    <w:lvl w:ilvl="1">
      <w:start w:val="1"/>
      <w:numFmt w:val="decimal"/>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
    <w:nsid w:val="0E0800CC"/>
    <w:multiLevelType w:val="multilevel"/>
    <w:tmpl w:val="72B85C2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
    <w:nsid w:val="11C600F1"/>
    <w:multiLevelType w:val="multilevel"/>
    <w:tmpl w:val="6C02230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
    <w:nsid w:val="1F6812B4"/>
    <w:multiLevelType w:val="hybridMultilevel"/>
    <w:tmpl w:val="4A725DDE"/>
    <w:lvl w:ilvl="0">
      <w:start w:val="1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84176D8"/>
    <w:multiLevelType w:val="hybridMultilevel"/>
    <w:tmpl w:val="F86A82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A12F07"/>
    <w:multiLevelType w:val="hybridMultilevel"/>
    <w:tmpl w:val="3078C3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813257"/>
    <w:multiLevelType w:val="hybridMultilevel"/>
    <w:tmpl w:val="E7A8A540"/>
    <w:lvl w:ilvl="0">
      <w:start w:val="1"/>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08C1EEA"/>
    <w:multiLevelType w:val="multilevel"/>
    <w:tmpl w:val="6C02230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9">
    <w:nsid w:val="346C6037"/>
    <w:multiLevelType w:val="hybridMultilevel"/>
    <w:tmpl w:val="B4C6A1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8B40E19"/>
    <w:multiLevelType w:val="multilevel"/>
    <w:tmpl w:val="72B85C2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1">
    <w:nsid w:val="395A6C23"/>
    <w:multiLevelType w:val="hybridMultilevel"/>
    <w:tmpl w:val="F8DA8EDC"/>
    <w:lvl w:ilvl="0">
      <w:start w:val="1"/>
      <w:numFmt w:val="decimal"/>
      <w:lvlText w:val="%1."/>
      <w:lvlJc w:val="left"/>
      <w:pPr>
        <w:ind w:left="72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DA22DB7"/>
    <w:multiLevelType w:val="multilevel"/>
    <w:tmpl w:val="72B85C2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3">
    <w:nsid w:val="3FD638CD"/>
    <w:multiLevelType w:val="hybridMultilevel"/>
    <w:tmpl w:val="7B38B6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FFC6428"/>
    <w:multiLevelType w:val="hybridMultilevel"/>
    <w:tmpl w:val="1CD22AE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44C44D5F"/>
    <w:multiLevelType w:val="multilevel"/>
    <w:tmpl w:val="72B85C2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6">
    <w:nsid w:val="45D413FA"/>
    <w:multiLevelType w:val="hybridMultilevel"/>
    <w:tmpl w:val="F7065ACC"/>
    <w:lvl w:ilvl="0">
      <w:start w:val="96"/>
      <w:numFmt w:val="decimal"/>
      <w:lvlText w:val="%1"/>
      <w:lvlJc w:val="left"/>
      <w:pPr>
        <w:ind w:left="8157" w:hanging="360"/>
      </w:pPr>
      <w:rPr>
        <w:rFonts w:hint="default"/>
      </w:rPr>
    </w:lvl>
    <w:lvl w:ilvl="1" w:tentative="1">
      <w:start w:val="1"/>
      <w:numFmt w:val="lowerLetter"/>
      <w:lvlText w:val="%2."/>
      <w:lvlJc w:val="left"/>
      <w:pPr>
        <w:ind w:left="8877" w:hanging="360"/>
      </w:pPr>
    </w:lvl>
    <w:lvl w:ilvl="2" w:tentative="1">
      <w:start w:val="1"/>
      <w:numFmt w:val="lowerRoman"/>
      <w:lvlText w:val="%3."/>
      <w:lvlJc w:val="right"/>
      <w:pPr>
        <w:ind w:left="9597" w:hanging="180"/>
      </w:pPr>
    </w:lvl>
    <w:lvl w:ilvl="3" w:tentative="1">
      <w:start w:val="1"/>
      <w:numFmt w:val="decimal"/>
      <w:lvlText w:val="%4."/>
      <w:lvlJc w:val="left"/>
      <w:pPr>
        <w:ind w:left="10317" w:hanging="360"/>
      </w:pPr>
    </w:lvl>
    <w:lvl w:ilvl="4" w:tentative="1">
      <w:start w:val="1"/>
      <w:numFmt w:val="lowerLetter"/>
      <w:lvlText w:val="%5."/>
      <w:lvlJc w:val="left"/>
      <w:pPr>
        <w:ind w:left="11037" w:hanging="360"/>
      </w:pPr>
    </w:lvl>
    <w:lvl w:ilvl="5" w:tentative="1">
      <w:start w:val="1"/>
      <w:numFmt w:val="lowerRoman"/>
      <w:lvlText w:val="%6."/>
      <w:lvlJc w:val="right"/>
      <w:pPr>
        <w:ind w:left="11757" w:hanging="180"/>
      </w:pPr>
    </w:lvl>
    <w:lvl w:ilvl="6" w:tentative="1">
      <w:start w:val="1"/>
      <w:numFmt w:val="decimal"/>
      <w:lvlText w:val="%7."/>
      <w:lvlJc w:val="left"/>
      <w:pPr>
        <w:ind w:left="12477" w:hanging="360"/>
      </w:pPr>
    </w:lvl>
    <w:lvl w:ilvl="7" w:tentative="1">
      <w:start w:val="1"/>
      <w:numFmt w:val="lowerLetter"/>
      <w:lvlText w:val="%8."/>
      <w:lvlJc w:val="left"/>
      <w:pPr>
        <w:ind w:left="13197" w:hanging="360"/>
      </w:pPr>
    </w:lvl>
    <w:lvl w:ilvl="8" w:tentative="1">
      <w:start w:val="1"/>
      <w:numFmt w:val="lowerRoman"/>
      <w:lvlText w:val="%9."/>
      <w:lvlJc w:val="right"/>
      <w:pPr>
        <w:ind w:left="13917" w:hanging="180"/>
      </w:pPr>
    </w:lvl>
  </w:abstractNum>
  <w:abstractNum w:abstractNumId="17">
    <w:nsid w:val="45DB1424"/>
    <w:multiLevelType w:val="multilevel"/>
    <w:tmpl w:val="6CAA2CA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8">
    <w:nsid w:val="4AEA37DE"/>
    <w:multiLevelType w:val="hybridMultilevel"/>
    <w:tmpl w:val="FF2A7AB4"/>
    <w:lvl w:ilvl="0">
      <w:start w:val="1"/>
      <w:numFmt w:val="decimal"/>
      <w:lvlText w:val="%1."/>
      <w:lvlJc w:val="left"/>
      <w:pPr>
        <w:ind w:left="2673" w:hanging="360"/>
      </w:pPr>
    </w:lvl>
    <w:lvl w:ilvl="1" w:tentative="1">
      <w:start w:val="1"/>
      <w:numFmt w:val="lowerLetter"/>
      <w:lvlText w:val="%2."/>
      <w:lvlJc w:val="left"/>
      <w:pPr>
        <w:ind w:left="3393" w:hanging="360"/>
      </w:pPr>
    </w:lvl>
    <w:lvl w:ilvl="2" w:tentative="1">
      <w:start w:val="1"/>
      <w:numFmt w:val="lowerRoman"/>
      <w:lvlText w:val="%3."/>
      <w:lvlJc w:val="right"/>
      <w:pPr>
        <w:ind w:left="4113" w:hanging="180"/>
      </w:pPr>
    </w:lvl>
    <w:lvl w:ilvl="3" w:tentative="1">
      <w:start w:val="1"/>
      <w:numFmt w:val="decimal"/>
      <w:lvlText w:val="%4."/>
      <w:lvlJc w:val="left"/>
      <w:pPr>
        <w:ind w:left="4833" w:hanging="360"/>
      </w:pPr>
    </w:lvl>
    <w:lvl w:ilvl="4" w:tentative="1">
      <w:start w:val="1"/>
      <w:numFmt w:val="lowerLetter"/>
      <w:lvlText w:val="%5."/>
      <w:lvlJc w:val="left"/>
      <w:pPr>
        <w:ind w:left="5553" w:hanging="360"/>
      </w:pPr>
    </w:lvl>
    <w:lvl w:ilvl="5" w:tentative="1">
      <w:start w:val="1"/>
      <w:numFmt w:val="lowerRoman"/>
      <w:lvlText w:val="%6."/>
      <w:lvlJc w:val="right"/>
      <w:pPr>
        <w:ind w:left="6273" w:hanging="180"/>
      </w:pPr>
    </w:lvl>
    <w:lvl w:ilvl="6" w:tentative="1">
      <w:start w:val="1"/>
      <w:numFmt w:val="decimal"/>
      <w:lvlText w:val="%7."/>
      <w:lvlJc w:val="left"/>
      <w:pPr>
        <w:ind w:left="6993" w:hanging="360"/>
      </w:pPr>
    </w:lvl>
    <w:lvl w:ilvl="7" w:tentative="1">
      <w:start w:val="1"/>
      <w:numFmt w:val="lowerLetter"/>
      <w:lvlText w:val="%8."/>
      <w:lvlJc w:val="left"/>
      <w:pPr>
        <w:ind w:left="7713" w:hanging="360"/>
      </w:pPr>
    </w:lvl>
    <w:lvl w:ilvl="8" w:tentative="1">
      <w:start w:val="1"/>
      <w:numFmt w:val="lowerRoman"/>
      <w:lvlText w:val="%9."/>
      <w:lvlJc w:val="right"/>
      <w:pPr>
        <w:ind w:left="8433" w:hanging="180"/>
      </w:pPr>
    </w:lvl>
  </w:abstractNum>
  <w:abstractNum w:abstractNumId="19">
    <w:nsid w:val="4B181D14"/>
    <w:multiLevelType w:val="multilevel"/>
    <w:tmpl w:val="54FE0C5E"/>
    <w:lvl w:ilvl="0">
      <w:start w:val="1"/>
      <w:numFmt w:val="decimal"/>
      <w:lvlText w:val="%1."/>
      <w:lvlJc w:val="left"/>
      <w:pPr>
        <w:ind w:left="340" w:hanging="340"/>
      </w:pPr>
      <w:rPr>
        <w:b w:val="0"/>
        <w:bCs w:val="0"/>
        <w:sz w:val="24"/>
        <w:szCs w:val="24"/>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0">
    <w:nsid w:val="4EDC0F65"/>
    <w:multiLevelType w:val="hybridMultilevel"/>
    <w:tmpl w:val="C408FBEC"/>
    <w:lvl w:ilvl="0">
      <w:start w:val="1"/>
      <w:numFmt w:val="hebrew1"/>
      <w:lvlText w:val="(%1)"/>
      <w:lvlJc w:val="left"/>
      <w:pPr>
        <w:tabs>
          <w:tab w:val="num" w:pos="624"/>
        </w:tabs>
        <w:ind w:left="0" w:firstLine="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09F28D9"/>
    <w:multiLevelType w:val="hybridMultilevel"/>
    <w:tmpl w:val="AA982E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2A6C1A"/>
    <w:multiLevelType w:val="multilevel"/>
    <w:tmpl w:val="485A18B4"/>
    <w:lvl w:ilvl="0">
      <w:start w:val="1"/>
      <w:numFmt w:val="decimal"/>
      <w:lvlText w:val="%1."/>
      <w:lvlJc w:val="left"/>
      <w:pPr>
        <w:ind w:left="340" w:hanging="340"/>
      </w:pPr>
      <w:rPr>
        <w:b w:val="0"/>
        <w:bCs w:val="0"/>
        <w:sz w:val="24"/>
        <w:szCs w:val="24"/>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3">
    <w:nsid w:val="586551BD"/>
    <w:multiLevelType w:val="hybridMultilevel"/>
    <w:tmpl w:val="6B3EBBF4"/>
    <w:lvl w:ilvl="0">
      <w:start w:val="2"/>
      <w:numFmt w:val="hebrew1"/>
      <w:lvlText w:val="%1)"/>
      <w:lvlJc w:val="left"/>
      <w:pPr>
        <w:ind w:left="696" w:hanging="360"/>
      </w:pPr>
      <w:rPr>
        <w:rFonts w:hint="default"/>
        <w:sz w:val="24"/>
      </w:rPr>
    </w:lvl>
    <w:lvl w:ilvl="1" w:tentative="1">
      <w:start w:val="1"/>
      <w:numFmt w:val="lowerLetter"/>
      <w:lvlText w:val="%2."/>
      <w:lvlJc w:val="left"/>
      <w:pPr>
        <w:ind w:left="1416" w:hanging="360"/>
      </w:pPr>
    </w:lvl>
    <w:lvl w:ilvl="2" w:tentative="1">
      <w:start w:val="1"/>
      <w:numFmt w:val="lowerRoman"/>
      <w:lvlText w:val="%3."/>
      <w:lvlJc w:val="right"/>
      <w:pPr>
        <w:ind w:left="2136" w:hanging="180"/>
      </w:pPr>
    </w:lvl>
    <w:lvl w:ilvl="3" w:tentative="1">
      <w:start w:val="1"/>
      <w:numFmt w:val="decimal"/>
      <w:lvlText w:val="%4."/>
      <w:lvlJc w:val="left"/>
      <w:pPr>
        <w:ind w:left="2856" w:hanging="360"/>
      </w:pPr>
    </w:lvl>
    <w:lvl w:ilvl="4" w:tentative="1">
      <w:start w:val="1"/>
      <w:numFmt w:val="lowerLetter"/>
      <w:lvlText w:val="%5."/>
      <w:lvlJc w:val="left"/>
      <w:pPr>
        <w:ind w:left="3576" w:hanging="360"/>
      </w:pPr>
    </w:lvl>
    <w:lvl w:ilvl="5" w:tentative="1">
      <w:start w:val="1"/>
      <w:numFmt w:val="lowerRoman"/>
      <w:lvlText w:val="%6."/>
      <w:lvlJc w:val="right"/>
      <w:pPr>
        <w:ind w:left="4296" w:hanging="180"/>
      </w:pPr>
    </w:lvl>
    <w:lvl w:ilvl="6" w:tentative="1">
      <w:start w:val="1"/>
      <w:numFmt w:val="decimal"/>
      <w:lvlText w:val="%7."/>
      <w:lvlJc w:val="left"/>
      <w:pPr>
        <w:ind w:left="5016" w:hanging="360"/>
      </w:pPr>
    </w:lvl>
    <w:lvl w:ilvl="7" w:tentative="1">
      <w:start w:val="1"/>
      <w:numFmt w:val="lowerLetter"/>
      <w:lvlText w:val="%8."/>
      <w:lvlJc w:val="left"/>
      <w:pPr>
        <w:ind w:left="5736" w:hanging="360"/>
      </w:pPr>
    </w:lvl>
    <w:lvl w:ilvl="8" w:tentative="1">
      <w:start w:val="1"/>
      <w:numFmt w:val="lowerRoman"/>
      <w:lvlText w:val="%9."/>
      <w:lvlJc w:val="right"/>
      <w:pPr>
        <w:ind w:left="6456" w:hanging="180"/>
      </w:pPr>
    </w:lvl>
  </w:abstractNum>
  <w:abstractNum w:abstractNumId="24">
    <w:nsid w:val="5C1563B9"/>
    <w:multiLevelType w:val="hybridMultilevel"/>
    <w:tmpl w:val="44F4B73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C700739"/>
    <w:multiLevelType w:val="hybridMultilevel"/>
    <w:tmpl w:val="6E38D0D8"/>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0305837"/>
    <w:multiLevelType w:val="multilevel"/>
    <w:tmpl w:val="72B85C24"/>
    <w:lvl w:ilvl="0">
      <w:start w:val="1"/>
      <w:numFmt w:val="decimal"/>
      <w:lvlText w:val="%1."/>
      <w:lvlJc w:val="left"/>
      <w:pPr>
        <w:ind w:left="340" w:hanging="340"/>
      </w:pPr>
      <w:rPr>
        <w:rFonts w:hint="default"/>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7">
    <w:nsid w:val="609926CD"/>
    <w:multiLevelType w:val="hybridMultilevel"/>
    <w:tmpl w:val="16703846"/>
    <w:lvl w:ilvl="0">
      <w:start w:val="1"/>
      <w:numFmt w:val="hebrew1"/>
      <w:lvlText w:val="%1."/>
      <w:lvlJc w:val="left"/>
      <w:pPr>
        <w:ind w:left="720" w:hanging="360"/>
      </w:pPr>
      <w:rPr>
        <w:rFonts w:hint="default"/>
        <w:sz w:val="2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424183C"/>
    <w:multiLevelType w:val="hybridMultilevel"/>
    <w:tmpl w:val="505A15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7BF5139"/>
    <w:multiLevelType w:val="multilevel"/>
    <w:tmpl w:val="DC6C961C"/>
    <w:lvl w:ilvl="0">
      <w:start w:val="1"/>
      <w:numFmt w:val="decimal"/>
      <w:pStyle w:val="a6"/>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30">
    <w:nsid w:val="67C826FF"/>
    <w:multiLevelType w:val="hybridMultilevel"/>
    <w:tmpl w:val="B9465BAC"/>
    <w:lvl w:ilvl="0">
      <w:start w:val="1"/>
      <w:numFmt w:val="decimal"/>
      <w:lvlText w:val="%1."/>
      <w:lvlJc w:val="left"/>
      <w:pPr>
        <w:ind w:left="36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9066AE9"/>
    <w:multiLevelType w:val="multilevel"/>
    <w:tmpl w:val="4B209E5C"/>
    <w:lvl w:ilvl="0">
      <w:start w:val="1"/>
      <w:numFmt w:val="decimal"/>
      <w:lvlText w:val="%1."/>
      <w:lvlJc w:val="left"/>
      <w:pPr>
        <w:ind w:left="340" w:hanging="340"/>
      </w:pPr>
      <w:rPr>
        <w:b w:val="0"/>
        <w:bCs w:val="0"/>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2">
    <w:nsid w:val="6D1B7DBB"/>
    <w:multiLevelType w:val="hybridMultilevel"/>
    <w:tmpl w:val="DF240F68"/>
    <w:lvl w:ilvl="0">
      <w:start w:val="1"/>
      <w:numFmt w:val="hebrew1"/>
      <w:lvlText w:val="(%1)"/>
      <w:lvlJc w:val="left"/>
      <w:pPr>
        <w:ind w:left="870" w:hanging="360"/>
      </w:pPr>
      <w:rPr>
        <w:rFonts w:hint="default"/>
      </w:r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33">
    <w:nsid w:val="6E7835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F5B43FC"/>
    <w:multiLevelType w:val="hybridMultilevel"/>
    <w:tmpl w:val="4B36A866"/>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F76532B"/>
    <w:multiLevelType w:val="hybridMultilevel"/>
    <w:tmpl w:val="48CABE3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0286B8F"/>
    <w:multiLevelType w:val="hybridMultilevel"/>
    <w:tmpl w:val="3C5635AE"/>
    <w:lvl w:ilvl="0">
      <w:start w:val="97"/>
      <w:numFmt w:val="decimal"/>
      <w:lvlText w:val="%1"/>
      <w:lvlJc w:val="left"/>
      <w:pPr>
        <w:ind w:left="-207" w:hanging="360"/>
      </w:pPr>
      <w:rPr>
        <w:rFonts w:hint="default"/>
      </w:rPr>
    </w:lvl>
    <w:lvl w:ilvl="1" w:tentative="1">
      <w:start w:val="1"/>
      <w:numFmt w:val="lowerLetter"/>
      <w:lvlText w:val="%2."/>
      <w:lvlJc w:val="left"/>
      <w:pPr>
        <w:ind w:left="513" w:hanging="360"/>
      </w:pPr>
    </w:lvl>
    <w:lvl w:ilvl="2" w:tentative="1">
      <w:start w:val="1"/>
      <w:numFmt w:val="lowerRoman"/>
      <w:lvlText w:val="%3."/>
      <w:lvlJc w:val="right"/>
      <w:pPr>
        <w:ind w:left="1233" w:hanging="180"/>
      </w:pPr>
    </w:lvl>
    <w:lvl w:ilvl="3" w:tentative="1">
      <w:start w:val="1"/>
      <w:numFmt w:val="decimal"/>
      <w:lvlText w:val="%4."/>
      <w:lvlJc w:val="left"/>
      <w:pPr>
        <w:ind w:left="1953" w:hanging="360"/>
      </w:pPr>
    </w:lvl>
    <w:lvl w:ilvl="4" w:tentative="1">
      <w:start w:val="1"/>
      <w:numFmt w:val="lowerLetter"/>
      <w:lvlText w:val="%5."/>
      <w:lvlJc w:val="left"/>
      <w:pPr>
        <w:ind w:left="2673" w:hanging="360"/>
      </w:pPr>
    </w:lvl>
    <w:lvl w:ilvl="5" w:tentative="1">
      <w:start w:val="1"/>
      <w:numFmt w:val="lowerRoman"/>
      <w:lvlText w:val="%6."/>
      <w:lvlJc w:val="right"/>
      <w:pPr>
        <w:ind w:left="3393" w:hanging="180"/>
      </w:pPr>
    </w:lvl>
    <w:lvl w:ilvl="6" w:tentative="1">
      <w:start w:val="1"/>
      <w:numFmt w:val="decimal"/>
      <w:lvlText w:val="%7."/>
      <w:lvlJc w:val="left"/>
      <w:pPr>
        <w:ind w:left="4113" w:hanging="360"/>
      </w:pPr>
    </w:lvl>
    <w:lvl w:ilvl="7" w:tentative="1">
      <w:start w:val="1"/>
      <w:numFmt w:val="lowerLetter"/>
      <w:lvlText w:val="%8."/>
      <w:lvlJc w:val="left"/>
      <w:pPr>
        <w:ind w:left="4833" w:hanging="360"/>
      </w:pPr>
    </w:lvl>
    <w:lvl w:ilvl="8" w:tentative="1">
      <w:start w:val="1"/>
      <w:numFmt w:val="lowerRoman"/>
      <w:lvlText w:val="%9."/>
      <w:lvlJc w:val="right"/>
      <w:pPr>
        <w:ind w:left="5553" w:hanging="180"/>
      </w:pPr>
    </w:lvl>
  </w:abstractNum>
  <w:abstractNum w:abstractNumId="37">
    <w:nsid w:val="70523CB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41E6550"/>
    <w:multiLevelType w:val="hybridMultilevel"/>
    <w:tmpl w:val="E83CDA8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5DF38B8"/>
    <w:multiLevelType w:val="multilevel"/>
    <w:tmpl w:val="06B48E1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0">
    <w:nsid w:val="79297560"/>
    <w:multiLevelType w:val="hybridMultilevel"/>
    <w:tmpl w:val="64048DA0"/>
    <w:lvl w:ilvl="0">
      <w:start w:val="1"/>
      <w:numFmt w:val="hebrew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9A0523C"/>
    <w:multiLevelType w:val="multilevel"/>
    <w:tmpl w:val="6C02230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2">
    <w:nsid w:val="7C757186"/>
    <w:multiLevelType w:val="hybridMultilevel"/>
    <w:tmpl w:val="E3781540"/>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abstractNum w:abstractNumId="43">
    <w:nsid w:val="7F3C6279"/>
    <w:multiLevelType w:val="hybridMultilevel"/>
    <w:tmpl w:val="A49689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9"/>
  </w:num>
  <w:num w:numId="2">
    <w:abstractNumId w:val="14"/>
  </w:num>
  <w:num w:numId="3">
    <w:abstractNumId w:val="13"/>
  </w:num>
  <w:num w:numId="4">
    <w:abstractNumId w:val="42"/>
  </w:num>
  <w:num w:numId="5">
    <w:abstractNumId w:val="32"/>
  </w:num>
  <w:num w:numId="6">
    <w:abstractNumId w:val="39"/>
  </w:num>
  <w:num w:numId="7">
    <w:abstractNumId w:val="24"/>
  </w:num>
  <w:num w:numId="8">
    <w:abstractNumId w:val="27"/>
  </w:num>
  <w:num w:numId="9">
    <w:abstractNumId w:val="7"/>
  </w:num>
  <w:num w:numId="10">
    <w:abstractNumId w:val="30"/>
  </w:num>
  <w:num w:numId="11">
    <w:abstractNumId w:val="0"/>
  </w:num>
  <w:num w:numId="12">
    <w:abstractNumId w:val="23"/>
  </w:num>
  <w:num w:numId="13">
    <w:abstractNumId w:val="18"/>
  </w:num>
  <w:num w:numId="14">
    <w:abstractNumId w:val="9"/>
  </w:num>
  <w:num w:numId="15">
    <w:abstractNumId w:val="5"/>
  </w:num>
  <w:num w:numId="16">
    <w:abstractNumId w:val="20"/>
  </w:num>
  <w:num w:numId="17">
    <w:abstractNumId w:val="19"/>
  </w:num>
  <w:num w:numId="18">
    <w:abstractNumId w:val="31"/>
  </w:num>
  <w:num w:numId="19">
    <w:abstractNumId w:val="17"/>
  </w:num>
  <w:num w:numId="20">
    <w:abstractNumId w:val="22"/>
  </w:num>
  <w:num w:numId="21">
    <w:abstractNumId w:val="34"/>
  </w:num>
  <w:num w:numId="22">
    <w:abstractNumId w:val="40"/>
  </w:num>
  <w:num w:numId="23">
    <w:abstractNumId w:val="43"/>
  </w:num>
  <w:num w:numId="24">
    <w:abstractNumId w:val="16"/>
  </w:num>
  <w:num w:numId="25">
    <w:abstractNumId w:val="36"/>
  </w:num>
  <w:num w:numId="26">
    <w:abstractNumId w:val="21"/>
  </w:num>
  <w:num w:numId="27">
    <w:abstractNumId w:val="6"/>
  </w:num>
  <w:num w:numId="28">
    <w:abstractNumId w:val="1"/>
  </w:num>
  <w:num w:numId="29">
    <w:abstractNumId w:val="35"/>
  </w:num>
  <w:num w:numId="30">
    <w:abstractNumId w:val="38"/>
  </w:num>
  <w:num w:numId="31">
    <w:abstractNumId w:val="28"/>
  </w:num>
  <w:num w:numId="32">
    <w:abstractNumId w:val="41"/>
  </w:num>
  <w:num w:numId="33">
    <w:abstractNumId w:val="4"/>
  </w:num>
  <w:num w:numId="34">
    <w:abstractNumId w:val="11"/>
  </w:num>
  <w:num w:numId="35">
    <w:abstractNumId w:val="8"/>
  </w:num>
  <w:num w:numId="36">
    <w:abstractNumId w:val="26"/>
  </w:num>
  <w:num w:numId="37">
    <w:abstractNumId w:val="25"/>
  </w:num>
  <w:num w:numId="38">
    <w:abstractNumId w:val="3"/>
  </w:num>
  <w:num w:numId="39">
    <w:abstractNumId w:val="33"/>
  </w:num>
  <w:num w:numId="40">
    <w:abstractNumId w:val="37"/>
  </w:num>
  <w:num w:numId="41">
    <w:abstractNumId w:val="15"/>
  </w:num>
  <w:num w:numId="42">
    <w:abstractNumId w:val="12"/>
  </w:num>
  <w:num w:numId="43">
    <w:abstractNumId w:val="10"/>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NotTrackMoves/>
  <w:defaultTabStop w:val="340"/>
  <w:evenAndOddHeaders/>
  <w:drawingGridHorizontalSpacing w:val="72"/>
  <w:drawingGridVerticalSpacing w:val="98"/>
  <w:displayHorizontalDrawingGridEvery w:val="2"/>
  <w:displayVerticalDrawingGridEvery w:val="2"/>
  <w:noPunctuationKerning/>
  <w:characterSpacingControl w:val="doNotCompress"/>
  <w:footnotePr>
    <w:numRestart w:val="eachSect"/>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78"/>
    <w:rsid w:val="00047C24"/>
    <w:rsid w:val="00081C30"/>
    <w:rsid w:val="00094B57"/>
    <w:rsid w:val="000A3DE6"/>
    <w:rsid w:val="000B659A"/>
    <w:rsid w:val="000C468B"/>
    <w:rsid w:val="000E15FB"/>
    <w:rsid w:val="001275A6"/>
    <w:rsid w:val="001312DA"/>
    <w:rsid w:val="001B54E5"/>
    <w:rsid w:val="001C54DB"/>
    <w:rsid w:val="002C0572"/>
    <w:rsid w:val="00333E19"/>
    <w:rsid w:val="00396B9B"/>
    <w:rsid w:val="004013A9"/>
    <w:rsid w:val="00411F28"/>
    <w:rsid w:val="00484EEB"/>
    <w:rsid w:val="004867CF"/>
    <w:rsid w:val="004B13D5"/>
    <w:rsid w:val="0051463B"/>
    <w:rsid w:val="00517378"/>
    <w:rsid w:val="00550646"/>
    <w:rsid w:val="00555376"/>
    <w:rsid w:val="005750D3"/>
    <w:rsid w:val="00593BFC"/>
    <w:rsid w:val="005A0EA1"/>
    <w:rsid w:val="00617379"/>
    <w:rsid w:val="006A0089"/>
    <w:rsid w:val="00732881"/>
    <w:rsid w:val="00770431"/>
    <w:rsid w:val="007C7B9B"/>
    <w:rsid w:val="007E10DE"/>
    <w:rsid w:val="00853CD3"/>
    <w:rsid w:val="00854DA5"/>
    <w:rsid w:val="009213C5"/>
    <w:rsid w:val="009718F9"/>
    <w:rsid w:val="009D6893"/>
    <w:rsid w:val="009E525C"/>
    <w:rsid w:val="00A15B63"/>
    <w:rsid w:val="00A37BD3"/>
    <w:rsid w:val="00A76FDF"/>
    <w:rsid w:val="00AD673C"/>
    <w:rsid w:val="00B27766"/>
    <w:rsid w:val="00B5353E"/>
    <w:rsid w:val="00BA09A0"/>
    <w:rsid w:val="00BB1518"/>
    <w:rsid w:val="00BD6799"/>
    <w:rsid w:val="00BF4C3B"/>
    <w:rsid w:val="00C8241F"/>
    <w:rsid w:val="00CA3BB5"/>
    <w:rsid w:val="00CA5D2E"/>
    <w:rsid w:val="00CB20FE"/>
    <w:rsid w:val="00D4375F"/>
    <w:rsid w:val="00D667AD"/>
    <w:rsid w:val="00DA4D76"/>
    <w:rsid w:val="00E21817"/>
    <w:rsid w:val="00E2728F"/>
    <w:rsid w:val="00E44678"/>
    <w:rsid w:val="00F2068A"/>
    <w:rsid w:val="00F52D21"/>
    <w:rsid w:val="00FE64D8"/>
    <w:rsid w:val="00FF6E51"/>
  </w:rsids>
  <w:docVars>
    <w:docVar w:name="sivug" w:val="0"/>
    <w:docVar w:name="space" w:val="-1"/>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semiHidden="0" w:uiPriority="1" w:unhideWhenUsed="0" w:qFormat="1"/>
    <w:lsdException w:name="heading 7" w:semiHidden="0" w:uiPriority="1" w:unhideWhenUsed="0" w:qFormat="1"/>
    <w:lsdException w:name="heading 8" w:semiHidden="0" w:uiPriority="1"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pPr>
    <w:rPr>
      <w:rFonts w:cs="David"/>
      <w:sz w:val="24"/>
      <w:szCs w:val="24"/>
    </w:rPr>
  </w:style>
  <w:style w:type="paragraph" w:styleId="Heading1">
    <w:name w:val="heading 1"/>
    <w:basedOn w:val="Normal"/>
    <w:next w:val="Normal"/>
    <w:link w:val="Heading1Char"/>
    <w:uiPriority w:val="1"/>
    <w:qFormat/>
    <w:locked/>
    <w:pPr>
      <w:keepNext/>
      <w:widowControl w:val="0"/>
      <w:spacing w:line="700" w:lineRule="atLeast"/>
      <w:jc w:val="center"/>
      <w:outlineLvl w:val="0"/>
    </w:pPr>
    <w:rPr>
      <w:b/>
      <w:bCs/>
      <w:sz w:val="56"/>
      <w:szCs w:val="56"/>
      <w:lang w:eastAsia="he-IL"/>
    </w:rPr>
  </w:style>
  <w:style w:type="paragraph" w:styleId="Heading2">
    <w:name w:val="heading 2"/>
    <w:basedOn w:val="Normal"/>
    <w:next w:val="Normal"/>
    <w:link w:val="Heading2Char"/>
    <w:uiPriority w:val="1"/>
    <w:qFormat/>
    <w:locked/>
    <w:pPr>
      <w:keepNext/>
      <w:spacing w:line="360" w:lineRule="exact"/>
      <w:ind w:left="1293"/>
      <w:outlineLvl w:val="1"/>
    </w:pPr>
    <w:rPr>
      <w:sz w:val="32"/>
      <w:szCs w:val="32"/>
    </w:rPr>
  </w:style>
  <w:style w:type="paragraph" w:styleId="Heading3">
    <w:name w:val="heading 3"/>
    <w:basedOn w:val="Normal"/>
    <w:next w:val="Normal"/>
    <w:link w:val="Heading3Char"/>
    <w:uiPriority w:val="1"/>
    <w:qFormat/>
    <w:locked/>
    <w:pPr>
      <w:keepNext/>
      <w:widowControl w:val="0"/>
      <w:spacing w:line="312" w:lineRule="auto"/>
      <w:jc w:val="both"/>
      <w:outlineLvl w:val="2"/>
    </w:pPr>
    <w:rPr>
      <w:b/>
      <w:bCs/>
      <w:sz w:val="38"/>
      <w:szCs w:val="36"/>
      <w:lang w:eastAsia="he-IL"/>
    </w:rPr>
  </w:style>
  <w:style w:type="paragraph" w:styleId="Heading4">
    <w:name w:val="heading 4"/>
    <w:basedOn w:val="Normal"/>
    <w:next w:val="Normal"/>
    <w:link w:val="Heading4Char"/>
    <w:uiPriority w:val="1"/>
    <w:qFormat/>
    <w:locked/>
    <w:pPr>
      <w:widowControl w:val="0"/>
      <w:spacing w:before="100" w:beforeAutospacing="1" w:line="264" w:lineRule="auto"/>
      <w:outlineLvl w:val="3"/>
    </w:pPr>
    <w:rPr>
      <w:b/>
      <w:bCs/>
      <w:sz w:val="22"/>
      <w:szCs w:val="26"/>
      <w:lang w:eastAsia="he-IL"/>
    </w:rPr>
  </w:style>
  <w:style w:type="paragraph" w:styleId="Heading5">
    <w:name w:val="heading 5"/>
    <w:basedOn w:val="Normal"/>
    <w:next w:val="Normal"/>
    <w:link w:val="Heading5Char"/>
    <w:uiPriority w:val="1"/>
    <w:qFormat/>
    <w:locked/>
    <w:pPr>
      <w:keepNext/>
      <w:spacing w:after="120" w:line="360" w:lineRule="exact"/>
      <w:ind w:left="3649"/>
      <w:outlineLvl w:val="4"/>
    </w:pPr>
    <w:rPr>
      <w:b/>
      <w:bCs/>
      <w:sz w:val="32"/>
      <w:szCs w:val="32"/>
      <w:lang w:eastAsia="he-IL"/>
    </w:rPr>
  </w:style>
  <w:style w:type="paragraph" w:styleId="Heading6">
    <w:name w:val="heading 6"/>
    <w:basedOn w:val="Normal"/>
    <w:next w:val="Normal"/>
    <w:link w:val="Heading6Char"/>
    <w:uiPriority w:val="1"/>
    <w:qFormat/>
    <w:locked/>
    <w:pPr>
      <w:keepNext/>
      <w:spacing w:before="60" w:after="60" w:line="220" w:lineRule="exact"/>
      <w:jc w:val="right"/>
      <w:outlineLvl w:val="5"/>
    </w:pPr>
    <w:rPr>
      <w:rFonts w:cs="FrankRuehl"/>
      <w:b/>
      <w:bCs/>
      <w:sz w:val="22"/>
      <w:szCs w:val="22"/>
    </w:rPr>
  </w:style>
  <w:style w:type="paragraph" w:styleId="Heading7">
    <w:name w:val="heading 7"/>
    <w:basedOn w:val="Normal"/>
    <w:next w:val="Normal"/>
    <w:link w:val="Heading7Char"/>
    <w:uiPriority w:val="1"/>
    <w:qFormat/>
    <w:locked/>
    <w:pPr>
      <w:keepNext/>
      <w:widowControl w:val="0"/>
      <w:spacing w:before="120" w:after="120" w:line="312" w:lineRule="auto"/>
      <w:jc w:val="center"/>
      <w:outlineLvl w:val="6"/>
    </w:pPr>
    <w:rPr>
      <w:sz w:val="36"/>
      <w:szCs w:val="36"/>
      <w:lang w:eastAsia="he-IL"/>
    </w:rPr>
  </w:style>
  <w:style w:type="paragraph" w:styleId="Heading8">
    <w:name w:val="heading 8"/>
    <w:basedOn w:val="Normal"/>
    <w:next w:val="Normal"/>
    <w:link w:val="Heading8Char"/>
    <w:uiPriority w:val="1"/>
    <w:qFormat/>
    <w:locked/>
    <w:pPr>
      <w:keepNext/>
      <w:snapToGrid w:val="0"/>
      <w:spacing w:after="120" w:line="240" w:lineRule="auto"/>
      <w:ind w:left="153" w:firstLine="567"/>
      <w:jc w:val="both"/>
      <w:outlineLvl w:val="7"/>
    </w:pPr>
    <w:rPr>
      <w:b/>
      <w:bCs/>
      <w:sz w:val="36"/>
      <w:szCs w:val="36"/>
      <w:lang w:eastAsia="he-IL"/>
    </w:rPr>
  </w:style>
  <w:style w:type="paragraph" w:styleId="Heading9">
    <w:name w:val="heading 9"/>
    <w:basedOn w:val="Normal"/>
    <w:next w:val="Normal"/>
    <w:qFormat/>
    <w:locked/>
    <w:pPr>
      <w:keepNext/>
      <w:spacing w:before="40" w:after="40" w:line="240" w:lineRule="auto"/>
      <w:jc w:val="center"/>
      <w:outlineLvl w:val="8"/>
    </w:pPr>
    <w:rPr>
      <w:noProof/>
      <w:sz w:val="48"/>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locked/>
    <w:rPr>
      <w:rFonts w:ascii="Cambria" w:hAnsi="Cambria" w:cs="Times New Roman"/>
      <w:b/>
      <w:bCs/>
      <w:kern w:val="32"/>
      <w:sz w:val="32"/>
      <w:szCs w:val="32"/>
    </w:rPr>
  </w:style>
  <w:style w:type="character" w:customStyle="1" w:styleId="2">
    <w:name w:val="כותרת 2 תו"/>
    <w:locked/>
    <w:rPr>
      <w:rFonts w:ascii="Cambria" w:hAnsi="Cambria" w:cs="Times New Roman"/>
      <w:b/>
      <w:bCs/>
      <w:i/>
      <w:iCs/>
      <w:sz w:val="28"/>
      <w:szCs w:val="28"/>
    </w:rPr>
  </w:style>
  <w:style w:type="character" w:customStyle="1" w:styleId="3">
    <w:name w:val="כותרת 3 תו"/>
    <w:locked/>
    <w:rPr>
      <w:rFonts w:ascii="Cambria" w:hAnsi="Cambria" w:cs="Times New Roman"/>
      <w:b/>
      <w:bCs/>
      <w:sz w:val="26"/>
      <w:szCs w:val="26"/>
    </w:rPr>
  </w:style>
  <w:style w:type="character" w:customStyle="1" w:styleId="4">
    <w:name w:val="כותרת 4 תו"/>
    <w:locked/>
    <w:rPr>
      <w:rFonts w:ascii="Calibri" w:hAnsi="Calibri" w:cs="Arial"/>
      <w:b/>
      <w:bCs/>
      <w:sz w:val="28"/>
      <w:szCs w:val="28"/>
    </w:rPr>
  </w:style>
  <w:style w:type="character" w:customStyle="1" w:styleId="5">
    <w:name w:val="כותרת 5 תו"/>
    <w:locked/>
    <w:rPr>
      <w:rFonts w:ascii="Calibri" w:hAnsi="Calibri" w:cs="Arial"/>
      <w:b/>
      <w:bCs/>
      <w:i/>
      <w:iCs/>
      <w:sz w:val="26"/>
      <w:szCs w:val="26"/>
    </w:rPr>
  </w:style>
  <w:style w:type="character" w:customStyle="1" w:styleId="6">
    <w:name w:val="כותרת 6 תו"/>
    <w:locked/>
    <w:rPr>
      <w:rFonts w:ascii="Calibri" w:hAnsi="Calibri" w:cs="Arial"/>
      <w:b/>
      <w:bCs/>
    </w:rPr>
  </w:style>
  <w:style w:type="character" w:customStyle="1" w:styleId="7">
    <w:name w:val="כותרת 7 תו"/>
    <w:locked/>
    <w:rPr>
      <w:rFonts w:ascii="Calibri" w:hAnsi="Calibri" w:cs="Arial"/>
      <w:sz w:val="24"/>
      <w:szCs w:val="24"/>
    </w:rPr>
  </w:style>
  <w:style w:type="character" w:customStyle="1" w:styleId="8">
    <w:name w:val="כותרת 8 תו"/>
    <w:locked/>
    <w:rPr>
      <w:rFonts w:ascii="Calibri" w:hAnsi="Calibri" w:cs="Arial"/>
      <w:i/>
      <w:iCs/>
      <w:sz w:val="24"/>
      <w:szCs w:val="24"/>
    </w:rPr>
  </w:style>
  <w:style w:type="character" w:customStyle="1" w:styleId="9">
    <w:name w:val="כותרת 9 תו"/>
    <w:locked/>
    <w:rPr>
      <w:rFonts w:ascii="Cambria" w:hAnsi="Cambria" w:cs="Times New Roman"/>
    </w:rPr>
  </w:style>
  <w:style w:type="paragraph" w:styleId="Title">
    <w:name w:val="Title"/>
    <w:basedOn w:val="Normal"/>
    <w:qFormat/>
    <w:locked/>
    <w:pPr>
      <w:jc w:val="center"/>
    </w:pPr>
    <w:rPr>
      <w:b/>
      <w:bCs/>
      <w:u w:val="single"/>
    </w:rPr>
  </w:style>
  <w:style w:type="character" w:customStyle="1" w:styleId="a">
    <w:name w:val="כותרת טקסט תו"/>
    <w:locked/>
    <w:rPr>
      <w:rFonts w:ascii="Cambria" w:hAnsi="Cambria" w:cs="Times New Roman"/>
      <w:b/>
      <w:bCs/>
      <w:kern w:val="28"/>
      <w:sz w:val="32"/>
      <w:szCs w:val="32"/>
    </w:rPr>
  </w:style>
  <w:style w:type="paragraph" w:customStyle="1" w:styleId="KOT1">
    <w:name w:val="KOT1"/>
    <w:basedOn w:val="Normal"/>
    <w:pPr>
      <w:keepNext/>
      <w:spacing w:after="360" w:line="400" w:lineRule="exact"/>
      <w:jc w:val="center"/>
    </w:pPr>
    <w:rPr>
      <w:b/>
      <w:bCs/>
      <w:sz w:val="36"/>
      <w:szCs w:val="36"/>
      <w:lang w:eastAsia="he-IL"/>
    </w:rPr>
  </w:style>
  <w:style w:type="paragraph" w:customStyle="1" w:styleId="KOT2">
    <w:name w:val="KOT2"/>
    <w:basedOn w:val="Normal"/>
    <w:pPr>
      <w:keepNext/>
      <w:spacing w:after="360" w:line="360" w:lineRule="exact"/>
      <w:jc w:val="center"/>
    </w:pPr>
    <w:rPr>
      <w:b/>
      <w:bCs/>
      <w:sz w:val="32"/>
      <w:szCs w:val="32"/>
      <w:lang w:eastAsia="he-IL"/>
    </w:rPr>
  </w:style>
  <w:style w:type="paragraph" w:customStyle="1" w:styleId="30">
    <w:name w:val="כותרת 3_0"/>
    <w:basedOn w:val="Normal"/>
    <w:next w:val="Normal"/>
    <w:pPr>
      <w:spacing w:before="100" w:beforeAutospacing="1" w:line="288" w:lineRule="auto"/>
      <w:outlineLvl w:val="2"/>
    </w:pPr>
    <w:rPr>
      <w:b/>
      <w:bCs/>
      <w:szCs w:val="28"/>
      <w:u w:val="single"/>
    </w:rPr>
  </w:style>
  <w:style w:type="paragraph" w:customStyle="1" w:styleId="40">
    <w:name w:val="כותרת 4_0"/>
    <w:basedOn w:val="Normal"/>
    <w:next w:val="Normal"/>
    <w:pPr>
      <w:spacing w:before="100" w:beforeAutospacing="1" w:line="264" w:lineRule="auto"/>
      <w:outlineLvl w:val="3"/>
    </w:pPr>
    <w:rPr>
      <w:b/>
      <w:bCs/>
      <w:sz w:val="22"/>
      <w:szCs w:val="26"/>
    </w:rPr>
  </w:style>
  <w:style w:type="paragraph" w:customStyle="1" w:styleId="a0">
    <w:name w:val="נבנצלים"/>
    <w:basedOn w:val="Normal"/>
    <w:next w:val="Normal"/>
    <w:pPr>
      <w:widowControl w:val="0"/>
      <w:spacing w:line="269" w:lineRule="auto"/>
      <w:ind w:left="-567"/>
      <w:jc w:val="both"/>
    </w:pPr>
    <w:rPr>
      <w:sz w:val="20"/>
      <w:szCs w:val="20"/>
      <w:lang w:eastAsia="he-IL"/>
    </w:rPr>
  </w:style>
  <w:style w:type="paragraph" w:styleId="BodyText">
    <w:name w:val="Body Text"/>
    <w:basedOn w:val="Normal"/>
    <w:semiHidden/>
    <w:pPr>
      <w:spacing w:before="180" w:after="120" w:line="230" w:lineRule="exact"/>
      <w:jc w:val="both"/>
    </w:pPr>
    <w:rPr>
      <w:rFonts w:cs="FrankRuehl"/>
      <w:sz w:val="22"/>
      <w:szCs w:val="22"/>
    </w:rPr>
  </w:style>
  <w:style w:type="character" w:customStyle="1" w:styleId="a1">
    <w:name w:val="גוף טקסט תו"/>
    <w:semiHidden/>
    <w:locked/>
    <w:rPr>
      <w:rFonts w:cs="David"/>
      <w:sz w:val="24"/>
      <w:szCs w:val="24"/>
      <w:lang w:bidi="he-IL"/>
    </w:rPr>
  </w:style>
  <w:style w:type="paragraph" w:styleId="BodyText2">
    <w:name w:val="Body Text 2"/>
    <w:basedOn w:val="Normal"/>
    <w:semiHidden/>
    <w:pPr>
      <w:widowControl w:val="0"/>
      <w:spacing w:line="312" w:lineRule="auto"/>
      <w:ind w:right="567"/>
      <w:jc w:val="both"/>
    </w:pPr>
    <w:rPr>
      <w:rFonts w:cs="FrankRuehl"/>
      <w:lang w:eastAsia="he-IL"/>
    </w:rPr>
  </w:style>
  <w:style w:type="character" w:customStyle="1" w:styleId="20">
    <w:name w:val="גוף טקסט 2 תו"/>
    <w:semiHidden/>
    <w:locked/>
    <w:rPr>
      <w:rFonts w:cs="David"/>
      <w:sz w:val="24"/>
      <w:szCs w:val="24"/>
      <w:lang w:bidi="he-IL"/>
    </w:rPr>
  </w:style>
  <w:style w:type="paragraph" w:styleId="Header">
    <w:name w:val="header"/>
    <w:basedOn w:val="Normal"/>
    <w:link w:val="HeaderChar"/>
    <w:pPr>
      <w:tabs>
        <w:tab w:val="center" w:pos="4153"/>
        <w:tab w:val="right" w:pos="8306"/>
      </w:tabs>
    </w:pPr>
  </w:style>
  <w:style w:type="character" w:customStyle="1" w:styleId="a2">
    <w:name w:val="כותרת עליונה תו"/>
    <w:locked/>
    <w:rPr>
      <w:rFonts w:cs="David"/>
      <w:sz w:val="24"/>
      <w:szCs w:val="24"/>
      <w:lang w:bidi="he-IL"/>
    </w:rPr>
  </w:style>
  <w:style w:type="paragraph" w:styleId="Footer">
    <w:name w:val="footer"/>
    <w:basedOn w:val="Normal"/>
    <w:link w:val="FooterChar"/>
    <w:uiPriority w:val="99"/>
    <w:pPr>
      <w:tabs>
        <w:tab w:val="center" w:pos="4153"/>
        <w:tab w:val="right" w:pos="8306"/>
      </w:tabs>
    </w:pPr>
  </w:style>
  <w:style w:type="character" w:customStyle="1" w:styleId="a3">
    <w:name w:val="כותרת תחתונה תו"/>
    <w:locked/>
    <w:rPr>
      <w:rFonts w:cs="David"/>
      <w:sz w:val="24"/>
      <w:szCs w:val="24"/>
      <w:lang w:bidi="he-IL"/>
    </w:rPr>
  </w:style>
  <w:style w:type="character" w:styleId="PageNumber">
    <w:name w:val="page number"/>
    <w:semiHidden/>
    <w:rPr>
      <w:rFonts w:cs="Times New Roman"/>
    </w:rPr>
  </w:style>
  <w:style w:type="paragraph" w:styleId="FootnoteText">
    <w:name w:val="footnote text"/>
    <w:basedOn w:val="Normal"/>
    <w:link w:val="FootnoteTextChar"/>
    <w:uiPriority w:val="99"/>
    <w:rPr>
      <w:sz w:val="20"/>
      <w:szCs w:val="20"/>
    </w:rPr>
  </w:style>
  <w:style w:type="character" w:customStyle="1" w:styleId="10">
    <w:name w:val="טקסט הערת שוליים תו1"/>
    <w:semiHidden/>
    <w:locked/>
    <w:rPr>
      <w:rFonts w:cs="David"/>
      <w:sz w:val="20"/>
      <w:szCs w:val="20"/>
      <w:lang w:bidi="he-IL"/>
    </w:rPr>
  </w:style>
  <w:style w:type="character" w:styleId="FootnoteReference">
    <w:name w:val="footnote reference"/>
    <w:semiHidden/>
    <w:rPr>
      <w:rFonts w:cs="Times New Roman"/>
      <w:vertAlign w:val="superscript"/>
    </w:rPr>
  </w:style>
  <w:style w:type="paragraph" w:styleId="EndnoteText">
    <w:name w:val="endnote text"/>
    <w:basedOn w:val="Normal"/>
    <w:link w:val="EndnoteTextChar"/>
    <w:uiPriority w:val="99"/>
    <w:semiHidden/>
    <w:pPr>
      <w:jc w:val="both"/>
    </w:pPr>
    <w:rPr>
      <w:szCs w:val="20"/>
    </w:rPr>
  </w:style>
  <w:style w:type="character" w:customStyle="1" w:styleId="a4">
    <w:name w:val="טקסט הערת סיום תו"/>
    <w:semiHidden/>
    <w:locked/>
    <w:rPr>
      <w:rFonts w:cs="David"/>
      <w:sz w:val="20"/>
      <w:szCs w:val="20"/>
      <w:lang w:bidi="he-IL"/>
    </w:rPr>
  </w:style>
  <w:style w:type="character" w:styleId="EndnoteReference">
    <w:name w:val="endnote reference"/>
    <w:uiPriority w:val="99"/>
    <w:semiHidden/>
    <w:rPr>
      <w:rFonts w:cs="Times New Roman"/>
      <w:vertAlign w:val="superscript"/>
    </w:rPr>
  </w:style>
  <w:style w:type="paragraph" w:styleId="BodyText3">
    <w:name w:val="Body Text 3"/>
    <w:basedOn w:val="Normal"/>
    <w:semiHidden/>
    <w:pPr>
      <w:widowControl w:val="0"/>
      <w:jc w:val="both"/>
    </w:pPr>
  </w:style>
  <w:style w:type="character" w:customStyle="1" w:styleId="31">
    <w:name w:val="גוף טקסט 3 תו"/>
    <w:semiHidden/>
    <w:locked/>
    <w:rPr>
      <w:rFonts w:cs="David"/>
      <w:sz w:val="16"/>
      <w:szCs w:val="16"/>
      <w:lang w:bidi="he-IL"/>
    </w:rPr>
  </w:style>
  <w:style w:type="paragraph" w:customStyle="1" w:styleId="KOT3A">
    <w:name w:val="KOT3A"/>
    <w:basedOn w:val="Normal"/>
    <w:pPr>
      <w:spacing w:after="120" w:line="360" w:lineRule="exact"/>
    </w:pPr>
    <w:rPr>
      <w:b/>
      <w:bCs/>
      <w:spacing w:val="40"/>
      <w:szCs w:val="30"/>
    </w:rPr>
  </w:style>
  <w:style w:type="paragraph" w:customStyle="1" w:styleId="KOT3">
    <w:name w:val="KOT3"/>
    <w:basedOn w:val="KOT3A"/>
    <w:pPr>
      <w:keepNext/>
      <w:spacing w:after="360"/>
      <w:jc w:val="center"/>
    </w:pPr>
    <w:rPr>
      <w:spacing w:val="0"/>
      <w:szCs w:val="28"/>
    </w:rPr>
  </w:style>
  <w:style w:type="paragraph" w:customStyle="1" w:styleId="KOT4">
    <w:name w:val="KOT4"/>
    <w:basedOn w:val="KOT3"/>
    <w:pPr>
      <w:spacing w:after="240" w:line="300" w:lineRule="exact"/>
      <w:jc w:val="left"/>
      <w:outlineLvl w:val="1"/>
    </w:pPr>
    <w:rPr>
      <w:sz w:val="26"/>
      <w:szCs w:val="26"/>
    </w:rPr>
  </w:style>
  <w:style w:type="paragraph" w:customStyle="1" w:styleId="KOT5">
    <w:name w:val="KOT5"/>
    <w:basedOn w:val="KOT4"/>
    <w:pPr>
      <w:spacing w:after="120" w:line="260" w:lineRule="exact"/>
      <w:outlineLvl w:val="2"/>
    </w:pPr>
    <w:rPr>
      <w:sz w:val="22"/>
      <w:szCs w:val="22"/>
    </w:rPr>
  </w:style>
  <w:style w:type="character" w:customStyle="1" w:styleId="100">
    <w:name w:val="סגנון (עברית ושפות אחרות) ‏10 נק'"/>
    <w:rPr>
      <w:rFonts w:ascii="Times New Roman" w:hAnsi="Times New Roman"/>
      <w:sz w:val="24"/>
      <w:vertAlign w:val="baseline"/>
    </w:rPr>
  </w:style>
  <w:style w:type="paragraph" w:customStyle="1" w:styleId="NAME">
    <w:name w:val="NAME"/>
    <w:basedOn w:val="Normal"/>
    <w:pPr>
      <w:pBdr>
        <w:bottom w:val="single" w:sz="4" w:space="6" w:color="auto"/>
      </w:pBdr>
      <w:spacing w:after="120" w:line="312" w:lineRule="auto"/>
      <w:jc w:val="right"/>
      <w:outlineLvl w:val="0"/>
    </w:pPr>
    <w:rPr>
      <w:sz w:val="42"/>
      <w:szCs w:val="42"/>
      <w:lang w:eastAsia="he-IL"/>
    </w:rPr>
  </w:style>
  <w:style w:type="paragraph" w:customStyle="1" w:styleId="PATIAH">
    <w:name w:val="PATIAH"/>
    <w:basedOn w:val="Normal"/>
    <w:pPr>
      <w:spacing w:after="120" w:line="260" w:lineRule="exact"/>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 w:val="20"/>
      <w:szCs w:val="22"/>
      <w:lang w:eastAsia="he-IL"/>
    </w:rPr>
  </w:style>
  <w:style w:type="paragraph" w:customStyle="1" w:styleId="takzir">
    <w:name w:val="takzir"/>
    <w:basedOn w:val="Normal"/>
    <w:pPr>
      <w:spacing w:after="120"/>
      <w:jc w:val="both"/>
    </w:pPr>
    <w:rPr>
      <w:b/>
      <w:bCs/>
      <w:noProof/>
      <w:sz w:val="22"/>
      <w:szCs w:val="22"/>
      <w:lang w:eastAsia="he-IL"/>
    </w:rPr>
  </w:style>
  <w:style w:type="paragraph" w:styleId="PlainText">
    <w:name w:val="Plain Text"/>
    <w:basedOn w:val="Normal"/>
    <w:link w:val="PlainTextChar"/>
    <w:uiPriority w:val="99"/>
    <w:pPr>
      <w:widowControl w:val="0"/>
      <w:spacing w:line="312" w:lineRule="auto"/>
      <w:jc w:val="both"/>
    </w:pPr>
    <w:rPr>
      <w:rFonts w:ascii="Courier New" w:hAnsi="Courier New" w:cs="Courier New"/>
      <w:sz w:val="20"/>
      <w:szCs w:val="20"/>
      <w:lang w:eastAsia="he-IL"/>
    </w:rPr>
  </w:style>
  <w:style w:type="character" w:customStyle="1" w:styleId="a5">
    <w:name w:val="טקסט רגיל תו"/>
    <w:semiHidden/>
    <w:locked/>
    <w:rPr>
      <w:rFonts w:ascii="Courier New" w:hAnsi="Courier New" w:cs="Courier New"/>
      <w:sz w:val="20"/>
      <w:szCs w:val="20"/>
    </w:rPr>
  </w:style>
  <w:style w:type="paragraph" w:styleId="Caption">
    <w:name w:val="caption"/>
    <w:basedOn w:val="Normal"/>
    <w:next w:val="Normal"/>
    <w:qFormat/>
    <w:locked/>
    <w:pPr>
      <w:tabs>
        <w:tab w:val="left" w:pos="1021"/>
        <w:tab w:val="center" w:pos="5131"/>
      </w:tabs>
      <w:spacing w:line="280" w:lineRule="exact"/>
    </w:pPr>
    <w:rPr>
      <w:b/>
      <w:bCs/>
      <w:sz w:val="28"/>
      <w:szCs w:val="28"/>
    </w:rPr>
  </w:style>
  <w:style w:type="character" w:customStyle="1" w:styleId="51">
    <w:name w:val="כותרת 51"/>
    <w:rPr>
      <w:rFonts w:ascii="Times New Roman" w:hAnsi="Times New Roman"/>
      <w:b/>
      <w:color w:val="auto"/>
      <w:spacing w:val="40"/>
      <w:w w:val="100"/>
      <w:position w:val="0"/>
      <w:sz w:val="24"/>
      <w:u w:val="none"/>
      <w:vertAlign w:val="baseline"/>
    </w:rPr>
  </w:style>
  <w:style w:type="character" w:customStyle="1" w:styleId="61">
    <w:name w:val="כותרת 61"/>
    <w:rPr>
      <w:rFonts w:ascii="Times New Roman" w:hAnsi="Times New Roman"/>
      <w:color w:val="auto"/>
      <w:spacing w:val="40"/>
      <w:w w:val="100"/>
      <w:position w:val="0"/>
      <w:sz w:val="24"/>
      <w:u w:val="none"/>
    </w:rPr>
  </w:style>
  <w:style w:type="character" w:customStyle="1" w:styleId="PersonalComposeStyle">
    <w:name w:val="Personal Compose Style"/>
    <w:rPr>
      <w:rFonts w:ascii="Arial" w:hAnsi="Arial"/>
      <w:color w:val="auto"/>
      <w:sz w:val="20"/>
    </w:rPr>
  </w:style>
  <w:style w:type="character" w:customStyle="1" w:styleId="PersonalReplyStyle">
    <w:name w:val="Personal Reply Style"/>
    <w:rPr>
      <w:rFonts w:ascii="Arial" w:hAnsi="Arial"/>
      <w:color w:val="auto"/>
      <w:sz w:val="20"/>
    </w:rPr>
  </w:style>
  <w:style w:type="character" w:customStyle="1" w:styleId="52">
    <w:name w:val="כותרת 52"/>
    <w:rPr>
      <w:rFonts w:ascii="Times New Roman" w:hAnsi="Times New Roman"/>
      <w:b/>
      <w:color w:val="auto"/>
      <w:spacing w:val="40"/>
      <w:w w:val="100"/>
      <w:position w:val="0"/>
      <w:sz w:val="24"/>
      <w:u w:val="none"/>
      <w:vertAlign w:val="baseline"/>
    </w:rPr>
  </w:style>
  <w:style w:type="character" w:customStyle="1" w:styleId="520">
    <w:name w:val="כותרת 5 תו2"/>
    <w:rPr>
      <w:b/>
      <w:spacing w:val="40"/>
      <w:sz w:val="24"/>
      <w:lang w:val="en-US" w:eastAsia="he-IL" w:bidi="he-IL"/>
    </w:rPr>
  </w:style>
  <w:style w:type="character" w:customStyle="1" w:styleId="71">
    <w:name w:val="כותרת 7 תו1"/>
    <w:rPr>
      <w:b/>
      <w:spacing w:val="40"/>
      <w:sz w:val="24"/>
      <w:lang w:val="en-US" w:eastAsia="he-IL" w:bidi="he-IL"/>
    </w:rPr>
  </w:style>
  <w:style w:type="paragraph" w:customStyle="1" w:styleId="a6">
    <w:name w:val="ממוספר"/>
    <w:basedOn w:val="Normal"/>
    <w:pPr>
      <w:numPr>
        <w:numId w:val="1"/>
      </w:numPr>
      <w:spacing w:after="240" w:line="312" w:lineRule="auto"/>
      <w:ind w:right="397"/>
      <w:jc w:val="both"/>
    </w:pPr>
    <w:rPr>
      <w:rFonts w:cs="FrankRuehl"/>
      <w:lang w:eastAsia="he-IL"/>
    </w:rPr>
  </w:style>
  <w:style w:type="paragraph" w:customStyle="1" w:styleId="a7">
    <w:name w:val="טקסט מודגש"/>
    <w:basedOn w:val="Normal"/>
    <w:pPr>
      <w:spacing w:after="240" w:line="312" w:lineRule="auto"/>
      <w:jc w:val="both"/>
    </w:pPr>
    <w:rPr>
      <w:b/>
      <w:bCs/>
      <w:sz w:val="22"/>
      <w:szCs w:val="22"/>
      <w:lang w:eastAsia="he-IL"/>
    </w:rPr>
  </w:style>
  <w:style w:type="paragraph" w:customStyle="1" w:styleId="11">
    <w:name w:val="ציטוט1"/>
    <w:basedOn w:val="Normal"/>
    <w:pPr>
      <w:spacing w:after="240" w:line="240" w:lineRule="auto"/>
      <w:ind w:left="851" w:right="851"/>
      <w:jc w:val="both"/>
    </w:pPr>
    <w:rPr>
      <w:rFonts w:cs="FrankRuehl"/>
      <w:lang w:eastAsia="he-IL"/>
    </w:rPr>
  </w:style>
  <w:style w:type="paragraph" w:styleId="BodyTextIndent2">
    <w:name w:val="Body Text Indent 2"/>
    <w:basedOn w:val="Normal"/>
    <w:semiHidden/>
    <w:pPr>
      <w:spacing w:after="240" w:line="240" w:lineRule="auto"/>
      <w:ind w:left="540" w:hanging="540"/>
      <w:jc w:val="both"/>
    </w:pPr>
    <w:rPr>
      <w:rFonts w:cs="FrankRuehl"/>
      <w:lang w:eastAsia="he-IL"/>
    </w:rPr>
  </w:style>
  <w:style w:type="character" w:customStyle="1" w:styleId="21">
    <w:name w:val="כניסה בגוף טקסט 2 תו"/>
    <w:semiHidden/>
    <w:locked/>
    <w:rPr>
      <w:rFonts w:cs="David"/>
      <w:sz w:val="24"/>
      <w:szCs w:val="24"/>
      <w:lang w:bidi="he-IL"/>
    </w:rPr>
  </w:style>
  <w:style w:type="character" w:customStyle="1" w:styleId="notes">
    <w:name w:val="notes"/>
  </w:style>
  <w:style w:type="paragraph" w:styleId="BlockText">
    <w:name w:val="Block Text"/>
    <w:basedOn w:val="Normal"/>
    <w:semiHidden/>
    <w:pPr>
      <w:spacing w:line="240" w:lineRule="auto"/>
      <w:ind w:left="509"/>
    </w:pPr>
    <w:rPr>
      <w:sz w:val="20"/>
      <w:lang w:eastAsia="he-IL"/>
    </w:rPr>
  </w:style>
  <w:style w:type="character" w:customStyle="1" w:styleId="a8">
    <w:name w:val="טקסט הערות שוליים תו"/>
    <w:rPr>
      <w:lang w:val="en-US" w:eastAsia="en-US"/>
    </w:rPr>
  </w:style>
  <w:style w:type="character" w:customStyle="1" w:styleId="a9">
    <w:name w:val="טקסט הערת שוליים תו"/>
    <w:locked/>
    <w:rPr>
      <w:lang w:val="en-US" w:eastAsia="en-US"/>
    </w:rPr>
  </w:style>
  <w:style w:type="character" w:customStyle="1" w:styleId="a10">
    <w:name w:val="תו תו"/>
    <w:semiHidden/>
    <w:locked/>
    <w:rPr>
      <w:lang w:val="en-US" w:eastAsia="he-IL" w:bidi="he-IL"/>
    </w:rPr>
  </w:style>
  <w:style w:type="paragraph" w:styleId="BodyTextIndent3">
    <w:name w:val="Body Text Indent 3"/>
    <w:basedOn w:val="Normal"/>
    <w:semiHidden/>
    <w:pPr>
      <w:spacing w:after="120"/>
      <w:ind w:left="283"/>
    </w:pPr>
    <w:rPr>
      <w:sz w:val="16"/>
      <w:szCs w:val="16"/>
    </w:rPr>
  </w:style>
  <w:style w:type="character" w:customStyle="1" w:styleId="32">
    <w:name w:val="כניסה בגוף טקסט 3 תו"/>
    <w:semiHidden/>
    <w:locked/>
    <w:rPr>
      <w:rFonts w:cs="David"/>
      <w:sz w:val="16"/>
      <w:szCs w:val="16"/>
      <w:lang w:bidi="he-IL"/>
    </w:rPr>
  </w:style>
  <w:style w:type="paragraph" w:customStyle="1" w:styleId="12">
    <w:name w:val="פיסקת רשימה1"/>
    <w:basedOn w:val="Normal"/>
    <w:pPr>
      <w:ind w:left="7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a11">
    <w:name w:val="טקסט בלונים תו"/>
    <w:semiHidden/>
    <w:locked/>
    <w:rPr>
      <w:rFonts w:cs="Times New Roman"/>
      <w:sz w:val="2"/>
    </w:rPr>
  </w:style>
  <w:style w:type="paragraph" w:styleId="BodyTextIndent">
    <w:name w:val="Body Text Indent"/>
    <w:basedOn w:val="Normal"/>
    <w:semiHidden/>
    <w:pPr>
      <w:spacing w:after="120"/>
      <w:ind w:left="283"/>
    </w:pPr>
  </w:style>
  <w:style w:type="character" w:customStyle="1" w:styleId="a12">
    <w:name w:val="כניסה בגוף טקסט תו"/>
    <w:semiHidden/>
    <w:locked/>
    <w:rPr>
      <w:rFonts w:cs="David"/>
      <w:sz w:val="24"/>
      <w:szCs w:val="24"/>
      <w:lang w:bidi="he-IL"/>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rPr>
      <w:sz w:val="20"/>
      <w:szCs w:val="20"/>
    </w:rPr>
  </w:style>
  <w:style w:type="character" w:customStyle="1" w:styleId="a13">
    <w:name w:val="טקסט הערה תו"/>
    <w:semiHidden/>
    <w:locked/>
    <w:rPr>
      <w:rFonts w:cs="David"/>
      <w:sz w:val="20"/>
      <w:szCs w:val="20"/>
      <w:lang w:bidi="he-IL"/>
    </w:rPr>
  </w:style>
  <w:style w:type="paragraph" w:styleId="CommentSubject">
    <w:name w:val="annotation subject"/>
    <w:basedOn w:val="CommentText"/>
    <w:next w:val="CommentText"/>
    <w:link w:val="CommentSubjectChar"/>
    <w:uiPriority w:val="99"/>
    <w:semiHidden/>
    <w:rPr>
      <w:b/>
      <w:bCs/>
    </w:rPr>
  </w:style>
  <w:style w:type="character" w:customStyle="1" w:styleId="a14">
    <w:name w:val="נושא הערה תו"/>
    <w:semiHidden/>
    <w:locked/>
    <w:rPr>
      <w:rFonts w:cs="David"/>
      <w:b/>
      <w:bCs/>
      <w:sz w:val="20"/>
      <w:szCs w:val="20"/>
      <w:lang w:bidi="he-IL"/>
    </w:rPr>
  </w:style>
  <w:style w:type="paragraph" w:customStyle="1" w:styleId="310">
    <w:name w:val="כותרת 31"/>
    <w:basedOn w:val="Normal"/>
    <w:next w:val="Normal"/>
    <w:pPr>
      <w:spacing w:before="100" w:beforeAutospacing="1" w:line="288" w:lineRule="auto"/>
      <w:outlineLvl w:val="2"/>
    </w:pPr>
    <w:rPr>
      <w:b/>
      <w:bCs/>
      <w:szCs w:val="28"/>
      <w:u w:val="single"/>
    </w:rPr>
  </w:style>
  <w:style w:type="paragraph" w:customStyle="1" w:styleId="41">
    <w:name w:val="כותרת 41"/>
    <w:basedOn w:val="Normal"/>
    <w:next w:val="Normal"/>
    <w:pPr>
      <w:spacing w:before="100" w:beforeAutospacing="1" w:line="264" w:lineRule="auto"/>
      <w:outlineLvl w:val="3"/>
    </w:pPr>
    <w:rPr>
      <w:b/>
      <w:bCs/>
      <w:sz w:val="22"/>
      <w:szCs w:val="26"/>
    </w:rPr>
  </w:style>
  <w:style w:type="character" w:customStyle="1" w:styleId="default">
    <w:name w:val="default"/>
    <w:rPr>
      <w:rFonts w:ascii="Times New Roman" w:hAnsi="Times New Roman"/>
      <w:sz w:val="26"/>
    </w:rPr>
  </w:style>
  <w:style w:type="character" w:customStyle="1" w:styleId="510">
    <w:name w:val="כותרת 5 תו1"/>
    <w:locked/>
    <w:rPr>
      <w:rFonts w:cs="David"/>
      <w:b/>
      <w:bCs/>
      <w:sz w:val="32"/>
      <w:szCs w:val="32"/>
      <w:lang w:eastAsia="he-IL"/>
    </w:rPr>
  </w:style>
  <w:style w:type="character" w:customStyle="1" w:styleId="72">
    <w:name w:val="כותרת 7 תו2"/>
    <w:locked/>
    <w:rPr>
      <w:rFonts w:cs="David"/>
      <w:sz w:val="36"/>
      <w:szCs w:val="36"/>
      <w:lang w:eastAsia="he-IL"/>
    </w:rPr>
  </w:style>
  <w:style w:type="paragraph" w:customStyle="1" w:styleId="Arial10">
    <w:name w:val="סגנון (לטיני) Arial (עברית ושפות אחרות) ‏10 נק' שמאל מרווח בין ש..."/>
    <w:basedOn w:val="Normal"/>
    <w:pPr>
      <w:widowControl w:val="0"/>
      <w:spacing w:line="360" w:lineRule="auto"/>
      <w:jc w:val="right"/>
    </w:pPr>
    <w:rPr>
      <w:rFonts w:ascii="David" w:hAnsi="David"/>
      <w:sz w:val="20"/>
      <w:szCs w:val="20"/>
      <w:lang w:eastAsia="he-IL"/>
    </w:rPr>
  </w:style>
  <w:style w:type="character" w:customStyle="1" w:styleId="17">
    <w:name w:val="תו תו17"/>
    <w:semiHidden/>
    <w:locked/>
    <w:rPr>
      <w:b/>
      <w:spacing w:val="40"/>
      <w:sz w:val="24"/>
      <w:lang w:val="en-US" w:eastAsia="he-IL" w:bidi="he-IL"/>
    </w:rPr>
  </w:style>
  <w:style w:type="character" w:customStyle="1" w:styleId="22">
    <w:name w:val="תו תו2"/>
    <w:rPr>
      <w:b/>
      <w:spacing w:val="40"/>
      <w:sz w:val="24"/>
      <w:lang w:val="en-US" w:eastAsia="he-IL" w:bidi="he-IL"/>
    </w:rPr>
  </w:style>
  <w:style w:type="paragraph" w:customStyle="1" w:styleId="KOT6">
    <w:name w:val="KOT6"/>
    <w:basedOn w:val="KOT5"/>
    <w:locked/>
    <w:pPr>
      <w:outlineLvl w:val="3"/>
    </w:pPr>
    <w:rPr>
      <w:rFonts w:cs="FrankRuehl"/>
      <w:spacing w:val="40"/>
      <w:sz w:val="20"/>
    </w:rPr>
  </w:style>
  <w:style w:type="paragraph" w:customStyle="1" w:styleId="KOT7">
    <w:name w:val="KOT7"/>
    <w:basedOn w:val="KOT6"/>
    <w:locked/>
    <w:pPr>
      <w:outlineLvl w:val="4"/>
    </w:pPr>
    <w:rPr>
      <w:b w:val="0"/>
      <w:bCs w:val="0"/>
    </w:rPr>
  </w:style>
  <w:style w:type="character" w:customStyle="1" w:styleId="610">
    <w:name w:val="כותרת 6 תו1"/>
    <w:rPr>
      <w:rFonts w:cs="David"/>
      <w:spacing w:val="40"/>
      <w:szCs w:val="24"/>
      <w:lang w:val="en-US" w:eastAsia="he-IL" w:bidi="he-IL"/>
    </w:rPr>
  </w:style>
  <w:style w:type="paragraph" w:customStyle="1" w:styleId="320">
    <w:name w:val="כותרת 32"/>
    <w:basedOn w:val="Normal"/>
    <w:next w:val="Normal"/>
    <w:pPr>
      <w:widowControl w:val="0"/>
      <w:spacing w:before="100" w:beforeAutospacing="1" w:line="288" w:lineRule="auto"/>
      <w:outlineLvl w:val="2"/>
    </w:pPr>
    <w:rPr>
      <w:b/>
      <w:bCs/>
      <w:szCs w:val="28"/>
      <w:u w:val="single"/>
      <w:lang w:eastAsia="he-IL"/>
    </w:rPr>
  </w:style>
  <w:style w:type="paragraph" w:customStyle="1" w:styleId="42">
    <w:name w:val="כותרת 42"/>
    <w:basedOn w:val="Normal"/>
    <w:next w:val="Normal"/>
    <w:pPr>
      <w:widowControl w:val="0"/>
      <w:spacing w:before="100" w:beforeAutospacing="1" w:line="264" w:lineRule="auto"/>
      <w:outlineLvl w:val="3"/>
    </w:pPr>
    <w:rPr>
      <w:b/>
      <w:bCs/>
      <w:sz w:val="22"/>
      <w:szCs w:val="26"/>
      <w:lang w:eastAsia="he-IL"/>
    </w:rPr>
  </w:style>
  <w:style w:type="character" w:customStyle="1" w:styleId="410">
    <w:name w:val="כותרת 41 תו"/>
    <w:rPr>
      <w:rFonts w:cs="David"/>
      <w:b/>
      <w:bCs/>
      <w:sz w:val="22"/>
      <w:szCs w:val="26"/>
    </w:rPr>
  </w:style>
  <w:style w:type="character" w:styleId="Hyperlink">
    <w:name w:val="Hyperlink"/>
    <w:uiPriority w:val="99"/>
    <w:locked/>
    <w:rPr>
      <w:color w:val="0000FF"/>
      <w:u w:val="single"/>
    </w:rPr>
  </w:style>
  <w:style w:type="paragraph" w:styleId="DocumentMap">
    <w:name w:val="Document Map"/>
    <w:basedOn w:val="Normal"/>
    <w:semiHidden/>
    <w:locked/>
    <w:pPr>
      <w:widowControl w:val="0"/>
      <w:shd w:val="clear" w:color="auto" w:fill="000080"/>
      <w:spacing w:line="312" w:lineRule="auto"/>
      <w:jc w:val="both"/>
    </w:pPr>
    <w:rPr>
      <w:rFonts w:ascii="Tahoma" w:hAnsi="Tahoma" w:cs="Tahoma"/>
      <w:sz w:val="20"/>
      <w:szCs w:val="20"/>
      <w:lang w:eastAsia="he-IL"/>
    </w:rPr>
  </w:style>
  <w:style w:type="character" w:customStyle="1" w:styleId="a15">
    <w:name w:val="מפת מסמך תו"/>
    <w:semiHidden/>
    <w:rPr>
      <w:rFonts w:ascii="Tahoma" w:hAnsi="Tahoma" w:cs="Tahoma"/>
      <w:shd w:val="clear" w:color="auto" w:fill="000080"/>
      <w:lang w:eastAsia="he-IL"/>
    </w:rPr>
  </w:style>
  <w:style w:type="paragraph" w:styleId="ListParagraph">
    <w:name w:val="List Paragraph"/>
    <w:basedOn w:val="Normal"/>
    <w:uiPriority w:val="34"/>
    <w:qFormat/>
    <w:pPr>
      <w:spacing w:after="200" w:line="276" w:lineRule="auto"/>
      <w:ind w:left="720"/>
      <w:contextualSpacing/>
    </w:pPr>
    <w:rPr>
      <w:rFonts w:ascii="Rockwell" w:eastAsia="Rockwell" w:hAnsi="Rockwell"/>
      <w:sz w:val="22"/>
      <w:szCs w:val="22"/>
    </w:rPr>
  </w:style>
  <w:style w:type="paragraph" w:customStyle="1" w:styleId="a16">
    <w:name w:val="נבנצאל"/>
    <w:basedOn w:val="Normal"/>
    <w:next w:val="Normal"/>
    <w:uiPriority w:val="99"/>
    <w:pPr>
      <w:spacing w:after="200" w:line="276" w:lineRule="auto"/>
      <w:ind w:left="-567"/>
    </w:pPr>
    <w:rPr>
      <w:rFonts w:ascii="Rockwell" w:eastAsia="Rockwell" w:hAnsi="Rockwell"/>
      <w:sz w:val="22"/>
      <w:szCs w:val="20"/>
    </w:rPr>
  </w:style>
  <w:style w:type="character" w:customStyle="1" w:styleId="a17">
    <w:name w:val="נבנצאל תו"/>
    <w:uiPriority w:val="99"/>
    <w:locked/>
    <w:rPr>
      <w:rFonts w:ascii="Rockwell" w:eastAsia="Rockwell" w:hAnsi="Rockwell" w:cs="David"/>
      <w:sz w:val="22"/>
    </w:rPr>
  </w:style>
  <w:style w:type="paragraph" w:styleId="Date">
    <w:name w:val="Date"/>
    <w:basedOn w:val="Normal"/>
    <w:next w:val="Normal"/>
    <w:link w:val="DateChar"/>
    <w:uiPriority w:val="99"/>
    <w:locked/>
    <w:pPr>
      <w:spacing w:before="120" w:after="200" w:line="240" w:lineRule="auto"/>
    </w:pPr>
    <w:rPr>
      <w:rFonts w:ascii="Rockwell" w:eastAsia="Rockwell" w:hAnsi="Rockwell"/>
      <w:sz w:val="22"/>
      <w:szCs w:val="22"/>
    </w:rPr>
  </w:style>
  <w:style w:type="character" w:customStyle="1" w:styleId="a18">
    <w:name w:val="תאריך תו"/>
    <w:rPr>
      <w:rFonts w:ascii="Rockwell" w:eastAsia="Rockwell" w:hAnsi="Rockwell" w:cs="David"/>
      <w:sz w:val="22"/>
      <w:szCs w:val="22"/>
    </w:rPr>
  </w:style>
  <w:style w:type="paragraph" w:styleId="Revision">
    <w:name w:val="Revision"/>
    <w:hidden/>
    <w:uiPriority w:val="99"/>
    <w:semiHidden/>
    <w:rPr>
      <w:rFonts w:ascii="Rockwell" w:eastAsia="Rockwell" w:hAnsi="Rockwell" w:cs="David"/>
      <w:sz w:val="22"/>
      <w:szCs w:val="22"/>
    </w:rPr>
  </w:style>
  <w:style w:type="paragraph" w:customStyle="1" w:styleId="tab-name">
    <w:name w:val="tab-name"/>
    <w:basedOn w:val="KOT5"/>
    <w:qFormat/>
    <w:pPr>
      <w:jc w:val="center"/>
      <w:outlineLvl w:val="9"/>
    </w:pPr>
  </w:style>
  <w:style w:type="character" w:customStyle="1" w:styleId="Heading1Char">
    <w:name w:val="Heading 1 Char"/>
    <w:link w:val="Heading1"/>
    <w:uiPriority w:val="1"/>
    <w:rsid w:val="00E21817"/>
    <w:rPr>
      <w:rFonts w:cs="David"/>
      <w:b/>
      <w:bCs/>
      <w:sz w:val="56"/>
      <w:szCs w:val="56"/>
      <w:lang w:eastAsia="he-IL"/>
    </w:rPr>
  </w:style>
  <w:style w:type="character" w:customStyle="1" w:styleId="Heading2Char">
    <w:name w:val="Heading 2 Char"/>
    <w:link w:val="Heading2"/>
    <w:uiPriority w:val="1"/>
    <w:rsid w:val="00E21817"/>
    <w:rPr>
      <w:rFonts w:cs="David"/>
      <w:sz w:val="32"/>
      <w:szCs w:val="32"/>
    </w:rPr>
  </w:style>
  <w:style w:type="character" w:customStyle="1" w:styleId="Heading3Char">
    <w:name w:val="Heading 3 Char"/>
    <w:link w:val="Heading3"/>
    <w:uiPriority w:val="1"/>
    <w:rsid w:val="00E21817"/>
    <w:rPr>
      <w:rFonts w:cs="David"/>
      <w:b/>
      <w:bCs/>
      <w:sz w:val="38"/>
      <w:szCs w:val="36"/>
      <w:lang w:eastAsia="he-IL"/>
    </w:rPr>
  </w:style>
  <w:style w:type="character" w:customStyle="1" w:styleId="Heading4Char">
    <w:name w:val="Heading 4 Char"/>
    <w:link w:val="Heading4"/>
    <w:uiPriority w:val="1"/>
    <w:rsid w:val="00E21817"/>
    <w:rPr>
      <w:rFonts w:cs="David"/>
      <w:b/>
      <w:bCs/>
      <w:sz w:val="22"/>
      <w:szCs w:val="26"/>
      <w:lang w:eastAsia="he-IL"/>
    </w:rPr>
  </w:style>
  <w:style w:type="character" w:customStyle="1" w:styleId="Heading5Char">
    <w:name w:val="Heading 5 Char"/>
    <w:link w:val="Heading5"/>
    <w:uiPriority w:val="1"/>
    <w:rsid w:val="00E21817"/>
    <w:rPr>
      <w:rFonts w:cs="David"/>
      <w:b/>
      <w:bCs/>
      <w:sz w:val="32"/>
      <w:szCs w:val="32"/>
      <w:lang w:eastAsia="he-IL"/>
    </w:rPr>
  </w:style>
  <w:style w:type="character" w:customStyle="1" w:styleId="Heading6Char">
    <w:name w:val="Heading 6 Char"/>
    <w:link w:val="Heading6"/>
    <w:uiPriority w:val="1"/>
    <w:rsid w:val="00E21817"/>
    <w:rPr>
      <w:rFonts w:cs="FrankRuehl"/>
      <w:b/>
      <w:bCs/>
      <w:sz w:val="22"/>
      <w:szCs w:val="22"/>
    </w:rPr>
  </w:style>
  <w:style w:type="character" w:customStyle="1" w:styleId="Heading7Char">
    <w:name w:val="Heading 7 Char"/>
    <w:link w:val="Heading7"/>
    <w:uiPriority w:val="1"/>
    <w:rsid w:val="00E21817"/>
    <w:rPr>
      <w:rFonts w:cs="David"/>
      <w:sz w:val="36"/>
      <w:szCs w:val="36"/>
      <w:lang w:eastAsia="he-IL"/>
    </w:rPr>
  </w:style>
  <w:style w:type="character" w:customStyle="1" w:styleId="Heading8Char">
    <w:name w:val="Heading 8 Char"/>
    <w:link w:val="Heading8"/>
    <w:uiPriority w:val="1"/>
    <w:rsid w:val="00E21817"/>
    <w:rPr>
      <w:rFonts w:cs="David"/>
      <w:b/>
      <w:bCs/>
      <w:sz w:val="36"/>
      <w:szCs w:val="36"/>
      <w:lang w:eastAsia="he-IL"/>
    </w:rPr>
  </w:style>
  <w:style w:type="character" w:customStyle="1" w:styleId="HeaderChar">
    <w:name w:val="Header Char"/>
    <w:link w:val="Header"/>
    <w:rsid w:val="00E21817"/>
    <w:rPr>
      <w:rFonts w:cs="David"/>
      <w:sz w:val="24"/>
      <w:szCs w:val="24"/>
    </w:rPr>
  </w:style>
  <w:style w:type="character" w:customStyle="1" w:styleId="FooterChar">
    <w:name w:val="Footer Char"/>
    <w:link w:val="Footer"/>
    <w:uiPriority w:val="99"/>
    <w:rsid w:val="00E21817"/>
    <w:rPr>
      <w:rFonts w:cs="David"/>
      <w:sz w:val="24"/>
      <w:szCs w:val="24"/>
    </w:rPr>
  </w:style>
  <w:style w:type="character" w:customStyle="1" w:styleId="DateChar">
    <w:name w:val="Date Char"/>
    <w:link w:val="Date"/>
    <w:uiPriority w:val="99"/>
    <w:rsid w:val="00E21817"/>
    <w:rPr>
      <w:rFonts w:ascii="Rockwell" w:eastAsia="Rockwell" w:hAnsi="Rockwell" w:cs="David"/>
      <w:sz w:val="22"/>
      <w:szCs w:val="22"/>
    </w:rPr>
  </w:style>
  <w:style w:type="character" w:customStyle="1" w:styleId="FootnoteTextChar">
    <w:name w:val="Footnote Text Char"/>
    <w:link w:val="FootnoteText"/>
    <w:uiPriority w:val="99"/>
    <w:rsid w:val="00E21817"/>
    <w:rPr>
      <w:rFonts w:cs="David"/>
    </w:rPr>
  </w:style>
  <w:style w:type="character" w:customStyle="1" w:styleId="BalloonTextChar">
    <w:name w:val="Balloon Text Char"/>
    <w:link w:val="BalloonText"/>
    <w:uiPriority w:val="99"/>
    <w:semiHidden/>
    <w:rsid w:val="00E21817"/>
    <w:rPr>
      <w:rFonts w:ascii="Tahoma" w:hAnsi="Tahoma" w:cs="Tahoma"/>
      <w:sz w:val="16"/>
      <w:szCs w:val="16"/>
    </w:rPr>
  </w:style>
  <w:style w:type="table" w:styleId="TableGrid">
    <w:name w:val="Table Grid"/>
    <w:basedOn w:val="TableNormal"/>
    <w:uiPriority w:val="59"/>
    <w:rsid w:val="00E21817"/>
    <w:pPr>
      <w:jc w:val="both"/>
    </w:pPr>
    <w:rPr>
      <w:rFonts w:eastAsia="Calibri"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rsid w:val="00E21817"/>
    <w:rPr>
      <w:rFonts w:cs="David"/>
    </w:rPr>
  </w:style>
  <w:style w:type="table" w:styleId="LightShadingAccent5">
    <w:name w:val="Light Shading Accent 5"/>
    <w:basedOn w:val="TableNormal"/>
    <w:uiPriority w:val="60"/>
    <w:rsid w:val="00E21817"/>
    <w:pPr>
      <w:jc w:val="both"/>
    </w:pPr>
    <w:rPr>
      <w:rFonts w:eastAsia="Calibri" w:cs="David"/>
      <w:color w:val="31849B"/>
      <w:szCs w:val="24"/>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List2Accent1">
    <w:name w:val="Medium List 2 Accent 1"/>
    <w:basedOn w:val="TableNormal"/>
    <w:uiPriority w:val="66"/>
    <w:rsid w:val="00E21817"/>
    <w:pPr>
      <w:bidi/>
    </w:pPr>
    <w:rPr>
      <w:rFonts w:ascii="Cambria" w:hAnsi="Cambria" w:cs="Times New Roman"/>
      <w:color w:val="000000"/>
      <w:sz w:val="22"/>
      <w:szCs w:val="22"/>
      <w:rtl/>
      <w:c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CommentSubjectChar">
    <w:name w:val="Comment Subject Char"/>
    <w:link w:val="CommentSubject"/>
    <w:uiPriority w:val="99"/>
    <w:semiHidden/>
    <w:rsid w:val="00E21817"/>
    <w:rPr>
      <w:rFonts w:cs="David"/>
      <w:b/>
      <w:bCs/>
    </w:rPr>
  </w:style>
  <w:style w:type="character" w:styleId="FollowedHyperlink">
    <w:name w:val="FollowedHyperlink"/>
    <w:uiPriority w:val="99"/>
    <w:semiHidden/>
    <w:unhideWhenUsed/>
    <w:rsid w:val="00E21817"/>
    <w:rPr>
      <w:color w:val="800080"/>
      <w:u w:val="single"/>
    </w:rPr>
  </w:style>
  <w:style w:type="paragraph" w:customStyle="1" w:styleId="big-header">
    <w:name w:val="big-header"/>
    <w:basedOn w:val="Normal"/>
    <w:rsid w:val="00E21817"/>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Times New Roman"/>
      <w:noProof/>
      <w:sz w:val="20"/>
      <w:szCs w:val="32"/>
      <w:lang w:eastAsia="he-IL"/>
    </w:rPr>
  </w:style>
  <w:style w:type="paragraph" w:customStyle="1" w:styleId="footnote">
    <w:name w:val="footnote"/>
    <w:basedOn w:val="Normal"/>
    <w:rsid w:val="00E21817"/>
    <w:pPr>
      <w:widowControl w:val="0"/>
      <w:suppressAutoHyphens/>
      <w:autoSpaceDE w:val="0"/>
      <w:autoSpaceDN w:val="0"/>
      <w:spacing w:line="240" w:lineRule="auto"/>
      <w:ind w:left="2835"/>
      <w:jc w:val="both"/>
    </w:pPr>
    <w:rPr>
      <w:rFonts w:cs="Times New Roman"/>
      <w:noProof/>
      <w:sz w:val="22"/>
      <w:szCs w:val="22"/>
      <w:lang w:eastAsia="he-IL"/>
    </w:rPr>
  </w:style>
  <w:style w:type="character" w:customStyle="1" w:styleId="Bodytext0">
    <w:name w:val="Body text_"/>
    <w:link w:val="23"/>
    <w:rsid w:val="00E21817"/>
    <w:rPr>
      <w:rFonts w:ascii="FrankRuehl" w:eastAsia="FrankRuehl" w:hAnsi="FrankRuehl" w:cs="FrankRuehl"/>
      <w:shd w:val="clear" w:color="auto" w:fill="FFFFFF"/>
    </w:rPr>
  </w:style>
  <w:style w:type="paragraph" w:customStyle="1" w:styleId="23">
    <w:name w:val="גוף טקסט2"/>
    <w:basedOn w:val="Normal"/>
    <w:link w:val="Bodytext0"/>
    <w:rsid w:val="00E21817"/>
    <w:pPr>
      <w:widowControl w:val="0"/>
      <w:shd w:val="clear" w:color="auto" w:fill="FFFFFF"/>
      <w:spacing w:before="180" w:line="389" w:lineRule="exact"/>
      <w:jc w:val="both"/>
    </w:pPr>
    <w:rPr>
      <w:rFonts w:ascii="FrankRuehl" w:eastAsia="FrankRuehl" w:hAnsi="FrankRuehl" w:cs="FrankRuehl"/>
      <w:sz w:val="20"/>
      <w:szCs w:val="20"/>
    </w:rPr>
  </w:style>
  <w:style w:type="paragraph" w:customStyle="1" w:styleId="P00">
    <w:name w:val="P00"/>
    <w:rsid w:val="00E2181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EndnoteTextChar">
    <w:name w:val="Endnote Text Char"/>
    <w:link w:val="EndnoteText"/>
    <w:uiPriority w:val="99"/>
    <w:semiHidden/>
    <w:rsid w:val="00E21817"/>
    <w:rPr>
      <w:rFonts w:cs="David"/>
      <w:sz w:val="24"/>
    </w:rPr>
  </w:style>
  <w:style w:type="paragraph" w:customStyle="1" w:styleId="TableText">
    <w:name w:val="Table Text"/>
    <w:basedOn w:val="Normal"/>
    <w:rsid w:val="00E2181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 w:val="20"/>
      <w:szCs w:val="26"/>
      <w:lang w:eastAsia="ja-JP"/>
    </w:rPr>
  </w:style>
  <w:style w:type="paragraph" w:customStyle="1" w:styleId="TableBlock">
    <w:name w:val="Table Block"/>
    <w:basedOn w:val="TableText"/>
    <w:rsid w:val="00E21817"/>
    <w:pPr>
      <w:ind w:right="0"/>
      <w:jc w:val="both"/>
    </w:pPr>
  </w:style>
  <w:style w:type="character" w:customStyle="1" w:styleId="PlainTextChar">
    <w:name w:val="Plain Text Char"/>
    <w:link w:val="PlainText"/>
    <w:uiPriority w:val="99"/>
    <w:rsid w:val="00E21817"/>
    <w:rPr>
      <w:rFonts w:ascii="Courier New" w:hAnsi="Courier New" w:cs="Courier New"/>
      <w:lang w:eastAsia="he-IL"/>
    </w:rPr>
  </w:style>
  <w:style w:type="numbering" w:styleId="111111">
    <w:name w:val="Outline List 2"/>
    <w:basedOn w:val="NoList"/>
    <w:uiPriority w:val="99"/>
    <w:semiHidden/>
    <w:unhideWhenUsed/>
    <w:rsid w:val="00E21817"/>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8"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webSettings" Target="webSettings.xml"/><Relationship Id="rId12" Type="http://schemas.openxmlformats.org/officeDocument/2006/relationships/header" Target="header4.xml"/><Relationship Id="rId7" Type="http://schemas.openxmlformats.org/officeDocument/2006/relationships/header" Target="header2.xml"/><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otnotes" Target="footnotes.xml"/><Relationship Id="rId11" Type="http://schemas.openxmlformats.org/officeDocument/2006/relationships/footer" Target="footer3.xml"/><Relationship Id="rId6" Type="http://schemas.openxmlformats.org/officeDocument/2006/relationships/header" Target="header1.xml"/><Relationship Id="rId15" Type="http://schemas.openxmlformats.org/officeDocument/2006/relationships/numbering" Target="numbering.xml"/><Relationship Id="rId5" Type="http://schemas.openxmlformats.org/officeDocument/2006/relationships/customXml" Target="../customXml/item1.xml"/><Relationship Id="rId10" Type="http://schemas.openxmlformats.org/officeDocument/2006/relationships/header" Target="header3.xml"/><Relationship Id="rId19" Type="http://schemas.openxmlformats.org/officeDocument/2006/relationships/customXml" Target="../customXml/item4.xml"/><Relationship Id="rId14"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5085708-3CF0-4DB8-B2E3-D88501AE1E22}">
  <ds:schemaRefs>
    <ds:schemaRef ds:uri="http://schemas.openxmlformats.org/officeDocument/2006/bibliography"/>
  </ds:schemaRefs>
</ds:datastoreItem>
</file>

<file path=customXml/itemProps2.xml><?xml version="1.0" encoding="utf-8"?>
<ds:datastoreItem xmlns:ds="http://schemas.openxmlformats.org/officeDocument/2006/customXml" ds:itemID="{3AE19984-87D2-408F-B60D-F6E47B047046}"/>
</file>

<file path=customXml/itemProps3.xml><?xml version="1.0" encoding="utf-8"?>
<ds:datastoreItem xmlns:ds="http://schemas.openxmlformats.org/officeDocument/2006/customXml" ds:itemID="{FC440D22-7E1B-4FD4-82F4-212C7449171D}"/>
</file>

<file path=customXml/itemProps4.xml><?xml version="1.0" encoding="utf-8"?>
<ds:datastoreItem xmlns:ds="http://schemas.openxmlformats.org/officeDocument/2006/customXml" ds:itemID="{DEF072D3-6381-483E-9991-A4882808F323}"/>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y fmtid="{D5CDD505-2E9C-101B-9397-08002B2CF9AE}" pid="3" name="Order">
    <vt:r8>180100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