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6C5F46" w:rsidP="00E077B7">
      <w:pPr>
        <w:pStyle w:val="NAME"/>
      </w:pPr>
      <w:bookmarkStart w:id="0" w:name="_Toc349122061"/>
      <w:bookmarkStart w:id="1" w:name="_Toc349136480"/>
      <w:bookmarkStart w:id="2" w:name="_Toc352831083"/>
      <w:bookmarkStart w:id="3" w:name="_Toc354324568"/>
      <w:bookmarkStart w:id="4" w:name="_Toc354661923"/>
      <w:r>
        <w:rPr>
          <w:rFonts w:hint="cs"/>
          <w:rtl/>
        </w:rPr>
        <w:t>היבטים ב</w:t>
      </w:r>
      <w:r w:rsidRPr="00FA0244" w:rsidR="00FA0244">
        <w:rPr>
          <w:rFonts w:hint="eastAsia"/>
          <w:rtl/>
        </w:rPr>
        <w:t>היערכות</w:t>
      </w:r>
      <w:r w:rsidRPr="00FA0244" w:rsidR="00FA0244">
        <w:rPr>
          <w:rtl/>
        </w:rPr>
        <w:t xml:space="preserve"> </w:t>
      </w:r>
      <w:r w:rsidRPr="00FA0244" w:rsidR="00FA0244">
        <w:rPr>
          <w:rFonts w:hint="eastAsia"/>
          <w:rtl/>
        </w:rPr>
        <w:t>המדינה</w:t>
      </w:r>
      <w:r w:rsidRPr="00FA0244" w:rsidR="00FA0244">
        <w:rPr>
          <w:rtl/>
        </w:rPr>
        <w:t xml:space="preserve"> </w:t>
      </w:r>
      <w:r w:rsidR="00FA0244">
        <w:br/>
      </w:r>
      <w:r w:rsidRPr="00FA0244" w:rsidR="00FA0244">
        <w:rPr>
          <w:rFonts w:hint="eastAsia"/>
          <w:rtl/>
        </w:rPr>
        <w:t>להגנת</w:t>
      </w:r>
      <w:r w:rsidRPr="00FA0244" w:rsidR="00FA0244">
        <w:rPr>
          <w:rtl/>
        </w:rPr>
        <w:t xml:space="preserve"> </w:t>
      </w:r>
      <w:r w:rsidRPr="00FA0244" w:rsidR="00FA0244">
        <w:rPr>
          <w:rFonts w:hint="eastAsia"/>
          <w:rtl/>
        </w:rPr>
        <w:t>המרחב</w:t>
      </w:r>
      <w:r w:rsidRPr="00FA0244" w:rsidR="00FA0244">
        <w:rPr>
          <w:rtl/>
        </w:rPr>
        <w:t xml:space="preserve"> </w:t>
      </w:r>
      <w:r w:rsidRPr="00FA0244" w:rsidR="00FA0244">
        <w:rPr>
          <w:rFonts w:hint="eastAsia"/>
          <w:rtl/>
        </w:rPr>
        <w:t>הקיברנטי</w:t>
      </w:r>
    </w:p>
    <w:p w:rsidR="00E077B7" w:rsidRPr="00CF3645" w:rsidP="00E077B7">
      <w:pPr>
        <w:rPr>
          <w:rtl/>
        </w:rPr>
      </w:pPr>
    </w:p>
    <w:p w:rsidR="006C5F46" w:rsidRPr="00E077B7" w:rsidP="00E077B7">
      <w:pPr>
        <w:pStyle w:val="NAME"/>
        <w:rPr>
          <w:rtl/>
        </w:rPr>
        <w:sectPr w:rsidSect="00F6179B">
          <w:headerReference w:type="even" r:id="rId6"/>
          <w:headerReference w:type="default" r:id="rId7"/>
          <w:footnotePr>
            <w:numStart w:val="8"/>
          </w:footnotePr>
          <w:pgSz w:w="11906" w:h="16838" w:code="9"/>
          <w:pgMar w:top="3402" w:right="1701" w:bottom="2835" w:left="1701" w:header="1559" w:footer="709" w:gutter="0"/>
          <w:pgNumType w:start="3"/>
          <w:cols w:space="708"/>
          <w:titlePg/>
          <w:bidi/>
          <w:rtlGutter/>
          <w:docGrid w:linePitch="360"/>
        </w:sectPr>
      </w:pPr>
    </w:p>
    <w:p w:rsidR="006C5F46" w:rsidRPr="00CF3645" w:rsidP="006C5F46">
      <w:pPr>
        <w:pStyle w:val="Footer"/>
        <w:spacing w:after="120" w:line="230" w:lineRule="exact"/>
        <w:jc w:val="both"/>
        <w:rPr>
          <w:rFonts w:ascii="Tahoma" w:hAnsi="Tahoma" w:cs="Tahoma"/>
          <w:color w:val="2A2AA6"/>
          <w:szCs w:val="22"/>
          <w:rtl/>
        </w:rPr>
      </w:pPr>
    </w:p>
    <w:p w:rsidR="006C5F46" w:rsidP="003D09D3">
      <w:pPr>
        <w:pStyle w:val="KOT4"/>
        <w:rPr>
          <w:rtl/>
        </w:rPr>
        <w:sectPr w:rsidSect="00410B08">
          <w:footnotePr>
            <w:numStart w:val="8"/>
          </w:footnotePr>
          <w:pgSz w:w="11906" w:h="16838" w:code="9"/>
          <w:pgMar w:top="3402" w:right="1701" w:bottom="2835" w:left="1701" w:header="1559" w:footer="709" w:gutter="0"/>
          <w:cols w:space="708"/>
          <w:titlePg/>
          <w:bidi/>
          <w:rtlGutter/>
          <w:docGrid w:linePitch="360"/>
        </w:sectPr>
      </w:pPr>
    </w:p>
    <w:p w:rsidR="003D09D3" w:rsidRPr="00D94BA9" w:rsidP="005F620B">
      <w:pPr>
        <w:pStyle w:val="KOT3T"/>
        <w:keepLines/>
        <w:rPr>
          <w:rtl/>
        </w:rPr>
      </w:pPr>
      <w:r w:rsidRPr="00D94BA9">
        <w:rPr>
          <w:rtl/>
        </w:rPr>
        <w:t>תקציר</w:t>
      </w:r>
    </w:p>
    <w:p w:rsidR="006C5F46" w:rsidRPr="003D09D3" w:rsidP="00B4762B">
      <w:pPr>
        <w:pStyle w:val="KOT4T"/>
        <w:keepLines/>
        <w:rPr>
          <w:rtl/>
        </w:rPr>
      </w:pPr>
      <w:r w:rsidRPr="003D09D3">
        <w:rPr>
          <w:rtl/>
        </w:rPr>
        <w:t>רקע כללי</w:t>
      </w:r>
    </w:p>
    <w:p w:rsidR="005914D3" w:rsidRPr="00E13F73" w:rsidP="005914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13F73">
        <w:rPr>
          <w:rFonts w:ascii="Tahoma" w:hAnsi="Tahoma" w:cs="Tahoma"/>
          <w:sz w:val="17"/>
          <w:szCs w:val="17"/>
          <w:rtl/>
        </w:rPr>
        <w:t xml:space="preserve">המרחב </w:t>
      </w:r>
      <w:r w:rsidRPr="00E13F73">
        <w:rPr>
          <w:rFonts w:ascii="Tahoma" w:hAnsi="Tahoma" w:cs="Tahoma"/>
          <w:sz w:val="17"/>
          <w:szCs w:val="17"/>
          <w:rtl/>
        </w:rPr>
        <w:t>הקיברנטי</w:t>
      </w:r>
      <w:r w:rsidRPr="00E13F73">
        <w:rPr>
          <w:rFonts w:ascii="Tahoma" w:hAnsi="Tahoma" w:cs="Tahoma"/>
          <w:sz w:val="17"/>
          <w:szCs w:val="17"/>
          <w:rtl/>
        </w:rPr>
        <w:t xml:space="preserve"> (להלן גם - מרחב הסייבר) מורכב מהגורמים האלה: מערכות ממוכנות ממוחשבות, רשתות מחשבים ותקשורת, תכנות, מידע ממוחשב, תוכן שהועבר באופן ממוחשב, נתוני תעבורה ובקרה והמשתמשים של כל אלה. בשנת 2011 החליטה הממשלה להקים מטה </w:t>
      </w:r>
      <w:r w:rsidRPr="00E13F73">
        <w:rPr>
          <w:rFonts w:ascii="Tahoma" w:hAnsi="Tahoma" w:cs="Tahoma"/>
          <w:sz w:val="17"/>
          <w:szCs w:val="17"/>
          <w:rtl/>
        </w:rPr>
        <w:t>קיברנטי</w:t>
      </w:r>
      <w:r w:rsidRPr="00E13F73">
        <w:rPr>
          <w:rFonts w:ascii="Tahoma" w:hAnsi="Tahoma" w:cs="Tahoma"/>
          <w:sz w:val="17"/>
          <w:szCs w:val="17"/>
          <w:rtl/>
        </w:rPr>
        <w:t xml:space="preserve"> לאומי במשרד ראש הממשלה (להלן -</w:t>
      </w:r>
      <w:r w:rsidRPr="00E13F73">
        <w:rPr>
          <w:rFonts w:ascii="Tahoma" w:hAnsi="Tahoma" w:cs="Tahoma" w:hint="cs"/>
          <w:sz w:val="17"/>
          <w:szCs w:val="17"/>
          <w:rtl/>
        </w:rPr>
        <w:t xml:space="preserve"> </w:t>
      </w:r>
      <w:r w:rsidRPr="00E13F73">
        <w:rPr>
          <w:rFonts w:ascii="Tahoma" w:hAnsi="Tahoma" w:cs="Tahoma"/>
          <w:sz w:val="17"/>
          <w:szCs w:val="17"/>
          <w:rtl/>
        </w:rPr>
        <w:t xml:space="preserve">משרד רה"מ) שישמש גוף מטה לראש הממשלה (להלן - רה"מ) ולממשלה אשר ימליץ על מדיניות לאומית בתחום </w:t>
      </w:r>
      <w:r w:rsidRPr="00E13F73">
        <w:rPr>
          <w:rFonts w:ascii="Tahoma" w:hAnsi="Tahoma" w:cs="Tahoma"/>
          <w:sz w:val="17"/>
          <w:szCs w:val="17"/>
          <w:rtl/>
        </w:rPr>
        <w:t>הקיברנטי</w:t>
      </w:r>
      <w:r w:rsidRPr="00E13F73">
        <w:rPr>
          <w:rFonts w:ascii="Tahoma" w:hAnsi="Tahoma" w:cs="Tahoma"/>
          <w:sz w:val="17"/>
          <w:szCs w:val="17"/>
          <w:rtl/>
        </w:rPr>
        <w:t xml:space="preserve"> ויקדם את יישומה (להלן - ההחלטה מ-2011)</w:t>
      </w:r>
      <w:r>
        <w:rPr>
          <w:rFonts w:ascii="Tahoma" w:hAnsi="Tahoma" w:cs="Tahoma"/>
          <w:sz w:val="17"/>
          <w:szCs w:val="17"/>
          <w:vertAlign w:val="superscript"/>
          <w:rtl/>
        </w:rPr>
        <w:footnoteReference w:id="2"/>
      </w:r>
      <w:r w:rsidRPr="00E13F73">
        <w:rPr>
          <w:rFonts w:ascii="Tahoma" w:hAnsi="Tahoma" w:cs="Tahoma"/>
          <w:sz w:val="17"/>
          <w:szCs w:val="17"/>
          <w:rtl/>
        </w:rPr>
        <w:t xml:space="preserve">. עוד החליטה הממשלה להסדיר את האחריות לטיפול בתחום </w:t>
      </w:r>
      <w:r w:rsidRPr="00E13F73">
        <w:rPr>
          <w:rFonts w:ascii="Tahoma" w:hAnsi="Tahoma" w:cs="Tahoma"/>
          <w:sz w:val="17"/>
          <w:szCs w:val="17"/>
          <w:rtl/>
        </w:rPr>
        <w:t>הקיברנטי</w:t>
      </w:r>
      <w:r w:rsidRPr="00E13F73">
        <w:rPr>
          <w:rFonts w:ascii="Tahoma" w:hAnsi="Tahoma" w:cs="Tahoma"/>
          <w:sz w:val="17"/>
          <w:szCs w:val="17"/>
          <w:rtl/>
        </w:rPr>
        <w:t xml:space="preserve"> ולקדם את יכולת ההגנה על המרחב </w:t>
      </w:r>
      <w:r w:rsidRPr="00E13F73">
        <w:rPr>
          <w:rFonts w:ascii="Tahoma" w:hAnsi="Tahoma" w:cs="Tahoma"/>
          <w:sz w:val="17"/>
          <w:szCs w:val="17"/>
          <w:rtl/>
        </w:rPr>
        <w:t>הקיברנטי</w:t>
      </w:r>
      <w:r w:rsidRPr="00E13F73">
        <w:rPr>
          <w:rFonts w:ascii="Tahoma" w:hAnsi="Tahoma" w:cs="Tahoma"/>
          <w:sz w:val="17"/>
          <w:szCs w:val="17"/>
          <w:rtl/>
        </w:rPr>
        <w:t xml:space="preserve"> בישראל.</w:t>
      </w:r>
    </w:p>
    <w:p w:rsidR="005914D3" w:rsidRPr="00E13F73" w:rsidP="005914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13F73">
        <w:rPr>
          <w:rFonts w:ascii="Tahoma" w:hAnsi="Tahoma" w:cs="Tahoma"/>
          <w:sz w:val="17"/>
          <w:szCs w:val="17"/>
          <w:rtl/>
        </w:rPr>
        <w:t>בהמשך להחלטה מ-2011 קיבלה הממשלה בפברואר 2015 שתי החלטות: החלטה מספר 2443 - "קידום אסדרה</w:t>
      </w:r>
      <w:r w:rsidRPr="00E13F73">
        <w:rPr>
          <w:rFonts w:ascii="Tahoma" w:hAnsi="Tahoma" w:cs="Tahoma" w:hint="cs"/>
          <w:sz w:val="17"/>
          <w:szCs w:val="17"/>
          <w:rtl/>
        </w:rPr>
        <w:t xml:space="preserve"> </w:t>
      </w:r>
      <w:r w:rsidRPr="00E13F73">
        <w:rPr>
          <w:rFonts w:ascii="Tahoma" w:hAnsi="Tahoma" w:cs="Tahoma"/>
          <w:sz w:val="17"/>
          <w:szCs w:val="17"/>
          <w:rtl/>
        </w:rPr>
        <w:t>[רגולציה] לאומית והובלה ממשלתית בהגנת הסייבר" (להלן - ההחלטה בעניין האסדרה), והחלטה 2444 - "קידום ההיערכות הלאומית להגנת מרחב הסייבר" (להלן - ההחלטה בעניין ההיערכות). בהחלטות אלו הוחלט על הקמת רשות לאומית להגנת</w:t>
      </w:r>
      <w:r w:rsidRPr="00E13F73">
        <w:rPr>
          <w:rFonts w:ascii="Tahoma" w:hAnsi="Tahoma" w:cs="Tahoma" w:hint="cs"/>
          <w:sz w:val="17"/>
          <w:szCs w:val="17"/>
          <w:rtl/>
        </w:rPr>
        <w:t xml:space="preserve"> </w:t>
      </w:r>
      <w:r w:rsidRPr="00E13F73">
        <w:rPr>
          <w:rFonts w:ascii="Tahoma" w:hAnsi="Tahoma" w:cs="Tahoma"/>
          <w:sz w:val="17"/>
          <w:szCs w:val="17"/>
          <w:rtl/>
        </w:rPr>
        <w:t>הסייבר (להלן - הרשות) וגופים נוספים המיועדים לטיפול באסדרה של שוק הסייבר ושל הארגונים הפועלים במרחב הסייבר האזרחי.</w:t>
      </w:r>
    </w:p>
    <w:p w:rsidR="0054264F" w:rsidRPr="00492C38" w:rsidP="0054264F">
      <w:pPr>
        <w:pStyle w:val="takzir"/>
        <w:rPr>
          <w:rFonts w:ascii="Tahoma" w:hAnsi="Tahoma" w:cs="Tahoma"/>
          <w:noProof w:val="0"/>
          <w:sz w:val="28"/>
          <w:rtl/>
        </w:rPr>
      </w:pPr>
    </w:p>
    <w:p w:rsidR="00384065" w:rsidRPr="003D09D3" w:rsidP="009B0AF0">
      <w:pPr>
        <w:pStyle w:val="KOT4T"/>
        <w:rPr>
          <w:rtl/>
        </w:rPr>
      </w:pPr>
      <w:r w:rsidRPr="003D09D3">
        <w:rPr>
          <w:rtl/>
        </w:rPr>
        <w:t>פעולות הביקורת</w:t>
      </w:r>
    </w:p>
    <w:p w:rsidR="005914D3" w:rsidRPr="005914D3" w:rsidP="002776C9">
      <w:pPr>
        <w:pBdr>
          <w:top w:val="single" w:sz="8" w:space="4" w:color="2A2AA6"/>
          <w:left w:val="single" w:sz="8" w:space="4" w:color="2A2AA6"/>
          <w:right w:val="single" w:sz="8" w:space="4" w:color="2A2AA6"/>
        </w:pBdr>
        <w:spacing w:line="240" w:lineRule="exact"/>
        <w:ind w:left="170" w:right="2268"/>
        <w:jc w:val="both"/>
        <w:rPr>
          <w:rFonts w:ascii="Tahoma" w:hAnsi="Tahoma" w:cs="Tahoma"/>
          <w:sz w:val="17"/>
          <w:szCs w:val="17"/>
          <w:rtl/>
        </w:rPr>
      </w:pPr>
      <w:r w:rsidRPr="005914D3">
        <w:rPr>
          <w:rFonts w:ascii="Tahoma" w:hAnsi="Tahoma" w:cs="Tahoma"/>
          <w:sz w:val="17"/>
          <w:szCs w:val="17"/>
          <w:rtl/>
        </w:rPr>
        <w:t xml:space="preserve">מספטמבר 2013 עד יולי 2015, לסירוגין, עשה משרד מבקר המדינה ביקורת בנושא היערכות המדינה להגנת המרחב </w:t>
      </w:r>
      <w:r w:rsidRPr="005914D3">
        <w:rPr>
          <w:rFonts w:ascii="Tahoma" w:hAnsi="Tahoma" w:cs="Tahoma"/>
          <w:sz w:val="17"/>
          <w:szCs w:val="17"/>
          <w:rtl/>
        </w:rPr>
        <w:t>הקיברנטי</w:t>
      </w:r>
      <w:r w:rsidRPr="005914D3">
        <w:rPr>
          <w:rFonts w:ascii="Tahoma" w:hAnsi="Tahoma" w:cs="Tahoma"/>
          <w:sz w:val="17"/>
          <w:szCs w:val="17"/>
          <w:rtl/>
        </w:rPr>
        <w:t xml:space="preserve">. הנושאים שנבדקו הם כדלהלן: גיבוש תפיסת הגנה כוללת על המרחב </w:t>
      </w:r>
      <w:r w:rsidRPr="005914D3">
        <w:rPr>
          <w:rFonts w:ascii="Tahoma" w:hAnsi="Tahoma" w:cs="Tahoma"/>
          <w:sz w:val="17"/>
          <w:szCs w:val="17"/>
          <w:rtl/>
        </w:rPr>
        <w:t>הקיברנטי</w:t>
      </w:r>
      <w:r w:rsidRPr="005914D3">
        <w:rPr>
          <w:rFonts w:ascii="Tahoma" w:hAnsi="Tahoma" w:cs="Tahoma"/>
          <w:sz w:val="17"/>
          <w:szCs w:val="17"/>
          <w:rtl/>
        </w:rPr>
        <w:t xml:space="preserve">; הסדרת האחריות לטיפול בתחום </w:t>
      </w:r>
      <w:r w:rsidRPr="005914D3">
        <w:rPr>
          <w:rFonts w:ascii="Tahoma" w:hAnsi="Tahoma" w:cs="Tahoma"/>
          <w:sz w:val="17"/>
          <w:szCs w:val="17"/>
          <w:rtl/>
        </w:rPr>
        <w:t>הקיברנטי</w:t>
      </w:r>
      <w:r w:rsidRPr="005914D3">
        <w:rPr>
          <w:rFonts w:ascii="Tahoma" w:hAnsi="Tahoma" w:cs="Tahoma"/>
          <w:sz w:val="17"/>
          <w:szCs w:val="17"/>
          <w:rtl/>
        </w:rPr>
        <w:t xml:space="preserve"> ומימושה; האסדרה של שוק הסייבר; הגדרת הגופים והמערכות שיש להגן עליהם ורמת ההגנה הנדרשת; מצב ההגנה על מערכות המחשוב שאינן תשתיות מדינה קריטיות; מצב ההגנה על מערכות מחשוב שהן תשתיות מדינה קריטיות. הביקורת נעשתה במטה </w:t>
      </w:r>
      <w:r w:rsidRPr="005914D3">
        <w:rPr>
          <w:rFonts w:ascii="Tahoma" w:hAnsi="Tahoma" w:cs="Tahoma"/>
          <w:sz w:val="17"/>
          <w:szCs w:val="17"/>
          <w:rtl/>
        </w:rPr>
        <w:t>הקיברנטי</w:t>
      </w:r>
      <w:r w:rsidRPr="005914D3">
        <w:rPr>
          <w:rFonts w:ascii="Tahoma" w:hAnsi="Tahoma" w:cs="Tahoma"/>
          <w:sz w:val="17"/>
          <w:szCs w:val="17"/>
          <w:rtl/>
        </w:rPr>
        <w:t xml:space="preserve"> הלאומי שבמשרד רה"מ (להלן - מטה הסייבר או המטה); בשירות הביטחון הכללי (להלן</w:t>
      </w:r>
      <w:r w:rsidRPr="005914D3">
        <w:rPr>
          <w:rFonts w:ascii="Tahoma" w:hAnsi="Tahoma" w:cs="Tahoma" w:hint="cs"/>
          <w:sz w:val="17"/>
          <w:szCs w:val="17"/>
          <w:rtl/>
        </w:rPr>
        <w:t xml:space="preserve"> </w:t>
      </w:r>
      <w:r w:rsidRPr="005914D3">
        <w:rPr>
          <w:rFonts w:ascii="Tahoma" w:hAnsi="Tahoma" w:cs="Tahoma"/>
          <w:sz w:val="17"/>
          <w:szCs w:val="17"/>
          <w:rtl/>
        </w:rPr>
        <w:t>-</w:t>
      </w:r>
      <w:r w:rsidRPr="005914D3">
        <w:rPr>
          <w:rFonts w:ascii="Tahoma" w:hAnsi="Tahoma" w:cs="Tahoma" w:hint="cs"/>
          <w:sz w:val="17"/>
          <w:szCs w:val="17"/>
          <w:rtl/>
        </w:rPr>
        <w:t xml:space="preserve"> </w:t>
      </w:r>
      <w:r w:rsidRPr="005914D3">
        <w:rPr>
          <w:rFonts w:ascii="Tahoma" w:hAnsi="Tahoma" w:cs="Tahoma"/>
          <w:sz w:val="17"/>
          <w:szCs w:val="17"/>
          <w:rtl/>
        </w:rPr>
        <w:t>שב"כ); ובמספר משרדי ממשלה וגופים נוספים. בדיקות השלמה נעשו בספטמבר 2015.</w:t>
      </w:r>
    </w:p>
    <w:p w:rsidR="005914D3" w:rsidRPr="005914D3" w:rsidP="002776C9">
      <w:pPr>
        <w:pBdr>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12789B">
        <w:rPr>
          <w:noProof/>
          <w:sz w:val="17"/>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512000" cy="3531600"/>
                <wp:effectExtent l="0" t="0" r="0" b="0"/>
                <wp:wrapNone/>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3531600"/>
                        </a:xfrm>
                        <a:prstGeom prst="rect">
                          <a:avLst/>
                        </a:prstGeom>
                        <a:noFill/>
                        <a:ln w="9525">
                          <a:noFill/>
                          <a:miter lim="800000"/>
                          <a:headEnd/>
                          <a:tailEnd/>
                        </a:ln>
                      </wps:spPr>
                      <wps:txbx>
                        <w:txbxContent>
                          <w:p w:rsidR="00022325" w:rsidRPr="00373C5D" w:rsidP="0002232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8115560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9093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22325" w:rsidRPr="001762F4" w:rsidP="00022325">
                            <w:pPr>
                              <w:spacing w:after="0" w:line="240" w:lineRule="auto"/>
                              <w:rPr>
                                <w:rFonts w:cs="Tahoma"/>
                                <w:color w:val="0B5294"/>
                                <w:spacing w:val="-4"/>
                                <w:sz w:val="24"/>
                                <w:szCs w:val="24"/>
                                <w:rtl/>
                                <w:cs/>
                              </w:rPr>
                            </w:pPr>
                            <w:r w:rsidRPr="00022325">
                              <w:rPr>
                                <w:rFonts w:cs="Tahoma" w:hint="eastAsia"/>
                                <w:color w:val="0B5294"/>
                                <w:spacing w:val="-4"/>
                                <w:sz w:val="24"/>
                                <w:szCs w:val="24"/>
                                <w:rtl/>
                              </w:rPr>
                              <w:t>התמשכות</w:t>
                            </w:r>
                            <w:r w:rsidRPr="00022325">
                              <w:rPr>
                                <w:rFonts w:cs="Tahoma"/>
                                <w:color w:val="0B5294"/>
                                <w:spacing w:val="-4"/>
                                <w:sz w:val="24"/>
                                <w:szCs w:val="24"/>
                                <w:rtl/>
                              </w:rPr>
                              <w:t xml:space="preserve"> </w:t>
                            </w:r>
                            <w:r w:rsidRPr="00022325">
                              <w:rPr>
                                <w:rFonts w:cs="Tahoma" w:hint="eastAsia"/>
                                <w:color w:val="0B5294"/>
                                <w:spacing w:val="-4"/>
                                <w:sz w:val="24"/>
                                <w:szCs w:val="24"/>
                                <w:rtl/>
                              </w:rPr>
                              <w:t>ההליך</w:t>
                            </w:r>
                            <w:r w:rsidRPr="00022325">
                              <w:rPr>
                                <w:rFonts w:cs="Tahoma"/>
                                <w:color w:val="0B5294"/>
                                <w:spacing w:val="-4"/>
                                <w:sz w:val="24"/>
                                <w:szCs w:val="24"/>
                                <w:rtl/>
                              </w:rPr>
                              <w:t xml:space="preserve"> </w:t>
                            </w:r>
                            <w:r w:rsidRPr="00022325">
                              <w:rPr>
                                <w:rFonts w:cs="Tahoma" w:hint="eastAsia"/>
                                <w:color w:val="0B5294"/>
                                <w:spacing w:val="-4"/>
                                <w:sz w:val="24"/>
                                <w:szCs w:val="24"/>
                                <w:rtl/>
                              </w:rPr>
                              <w:t>של</w:t>
                            </w:r>
                            <w:r w:rsidRPr="00022325">
                              <w:rPr>
                                <w:rFonts w:cs="Tahoma"/>
                                <w:color w:val="0B5294"/>
                                <w:spacing w:val="-4"/>
                                <w:sz w:val="24"/>
                                <w:szCs w:val="24"/>
                                <w:rtl/>
                              </w:rPr>
                              <w:t xml:space="preserve"> </w:t>
                            </w:r>
                            <w:r w:rsidRPr="00022325">
                              <w:rPr>
                                <w:rFonts w:cs="Tahoma" w:hint="eastAsia"/>
                                <w:color w:val="0B5294"/>
                                <w:spacing w:val="-4"/>
                                <w:sz w:val="24"/>
                                <w:szCs w:val="24"/>
                                <w:rtl/>
                              </w:rPr>
                              <w:t>הסדרת</w:t>
                            </w:r>
                            <w:r w:rsidRPr="00022325">
                              <w:rPr>
                                <w:rFonts w:cs="Tahoma"/>
                                <w:color w:val="0B5294"/>
                                <w:spacing w:val="-4"/>
                                <w:sz w:val="24"/>
                                <w:szCs w:val="24"/>
                                <w:rtl/>
                              </w:rPr>
                              <w:t xml:space="preserve"> </w:t>
                            </w:r>
                            <w:r w:rsidRPr="00022325">
                              <w:rPr>
                                <w:rFonts w:cs="Tahoma" w:hint="eastAsia"/>
                                <w:color w:val="0B5294"/>
                                <w:spacing w:val="-4"/>
                                <w:sz w:val="24"/>
                                <w:szCs w:val="24"/>
                                <w:rtl/>
                              </w:rPr>
                              <w:t>האחריות</w:t>
                            </w:r>
                            <w:r w:rsidRPr="00022325">
                              <w:rPr>
                                <w:rFonts w:cs="Tahoma"/>
                                <w:color w:val="0B5294"/>
                                <w:spacing w:val="-4"/>
                                <w:sz w:val="24"/>
                                <w:szCs w:val="24"/>
                                <w:rtl/>
                              </w:rPr>
                              <w:t xml:space="preserve"> </w:t>
                            </w:r>
                            <w:r w:rsidRPr="00022325">
                              <w:rPr>
                                <w:rFonts w:cs="Tahoma" w:hint="eastAsia"/>
                                <w:color w:val="0B5294"/>
                                <w:spacing w:val="-4"/>
                                <w:sz w:val="24"/>
                                <w:szCs w:val="24"/>
                                <w:rtl/>
                              </w:rPr>
                              <w:t>לטיפול</w:t>
                            </w:r>
                            <w:r w:rsidRPr="00022325">
                              <w:rPr>
                                <w:rFonts w:cs="Tahoma"/>
                                <w:color w:val="0B5294"/>
                                <w:spacing w:val="-4"/>
                                <w:sz w:val="24"/>
                                <w:szCs w:val="24"/>
                                <w:rtl/>
                              </w:rPr>
                              <w:t xml:space="preserve"> </w:t>
                            </w:r>
                            <w:r w:rsidRPr="00022325">
                              <w:rPr>
                                <w:rFonts w:cs="Tahoma" w:hint="eastAsia"/>
                                <w:color w:val="0B5294"/>
                                <w:spacing w:val="-4"/>
                                <w:sz w:val="24"/>
                                <w:szCs w:val="24"/>
                                <w:rtl/>
                              </w:rPr>
                              <w:t>בתחום</w:t>
                            </w:r>
                            <w:r w:rsidRPr="00022325">
                              <w:rPr>
                                <w:rFonts w:cs="Tahoma"/>
                                <w:color w:val="0B5294"/>
                                <w:spacing w:val="-4"/>
                                <w:sz w:val="24"/>
                                <w:szCs w:val="24"/>
                                <w:rtl/>
                              </w:rPr>
                              <w:t xml:space="preserve"> </w:t>
                            </w:r>
                            <w:r w:rsidRPr="00022325">
                              <w:rPr>
                                <w:rFonts w:cs="Tahoma" w:hint="eastAsia"/>
                                <w:color w:val="0B5294"/>
                                <w:spacing w:val="-4"/>
                                <w:sz w:val="24"/>
                                <w:szCs w:val="24"/>
                                <w:rtl/>
                              </w:rPr>
                              <w:t>הקיברנטי</w:t>
                            </w:r>
                            <w:r w:rsidRPr="00022325">
                              <w:rPr>
                                <w:rFonts w:cs="Tahoma"/>
                                <w:color w:val="0B5294"/>
                                <w:spacing w:val="-4"/>
                                <w:sz w:val="24"/>
                                <w:szCs w:val="24"/>
                                <w:rtl/>
                              </w:rPr>
                              <w:t xml:space="preserve"> </w:t>
                            </w:r>
                            <w:r w:rsidRPr="00022325">
                              <w:rPr>
                                <w:rFonts w:cs="Tahoma" w:hint="eastAsia"/>
                                <w:color w:val="0B5294"/>
                                <w:spacing w:val="-4"/>
                                <w:sz w:val="24"/>
                                <w:szCs w:val="24"/>
                                <w:rtl/>
                              </w:rPr>
                              <w:t>במשך</w:t>
                            </w:r>
                            <w:r w:rsidRPr="00022325">
                              <w:rPr>
                                <w:rFonts w:cs="Tahoma"/>
                                <w:color w:val="0B5294"/>
                                <w:spacing w:val="-4"/>
                                <w:sz w:val="24"/>
                                <w:szCs w:val="24"/>
                                <w:rtl/>
                              </w:rPr>
                              <w:t xml:space="preserve"> </w:t>
                            </w:r>
                            <w:r w:rsidRPr="00022325">
                              <w:rPr>
                                <w:rFonts w:cs="Tahoma" w:hint="eastAsia"/>
                                <w:color w:val="0B5294"/>
                                <w:spacing w:val="-4"/>
                                <w:sz w:val="24"/>
                                <w:szCs w:val="24"/>
                                <w:rtl/>
                              </w:rPr>
                              <w:t>שנים</w:t>
                            </w:r>
                            <w:r w:rsidRPr="00022325">
                              <w:rPr>
                                <w:rFonts w:cs="Tahoma"/>
                                <w:color w:val="0B5294"/>
                                <w:spacing w:val="-4"/>
                                <w:sz w:val="24"/>
                                <w:szCs w:val="24"/>
                                <w:rtl/>
                              </w:rPr>
                              <w:t xml:space="preserve"> </w:t>
                            </w:r>
                            <w:r w:rsidR="00CD3D58">
                              <w:rPr>
                                <w:rFonts w:cs="Tahoma" w:hint="cs"/>
                                <w:color w:val="0B5294"/>
                                <w:spacing w:val="-4"/>
                                <w:sz w:val="24"/>
                                <w:szCs w:val="24"/>
                                <w:rtl/>
                              </w:rPr>
                              <w:br/>
                            </w:r>
                            <w:r w:rsidRPr="00022325">
                              <w:rPr>
                                <w:rFonts w:cs="Tahoma" w:hint="eastAsia"/>
                                <w:color w:val="0B5294"/>
                                <w:spacing w:val="-4"/>
                                <w:sz w:val="24"/>
                                <w:szCs w:val="24"/>
                                <w:rtl/>
                              </w:rPr>
                              <w:t>ואי</w:t>
                            </w:r>
                            <w:r w:rsidRPr="00022325">
                              <w:rPr>
                                <w:rFonts w:cs="Tahoma"/>
                                <w:color w:val="0B5294"/>
                                <w:spacing w:val="-4"/>
                                <w:sz w:val="24"/>
                                <w:szCs w:val="24"/>
                                <w:rtl/>
                              </w:rPr>
                              <w:t>-</w:t>
                            </w:r>
                            <w:r w:rsidRPr="00022325">
                              <w:rPr>
                                <w:rFonts w:cs="Tahoma" w:hint="eastAsia"/>
                                <w:color w:val="0B5294"/>
                                <w:spacing w:val="-4"/>
                                <w:sz w:val="24"/>
                                <w:szCs w:val="24"/>
                                <w:rtl/>
                              </w:rPr>
                              <w:t>העמידה</w:t>
                            </w:r>
                            <w:r w:rsidRPr="00022325">
                              <w:rPr>
                                <w:rFonts w:cs="Tahoma"/>
                                <w:color w:val="0B5294"/>
                                <w:spacing w:val="-4"/>
                                <w:sz w:val="24"/>
                                <w:szCs w:val="24"/>
                                <w:rtl/>
                              </w:rPr>
                              <w:t xml:space="preserve"> </w:t>
                            </w:r>
                            <w:r w:rsidRPr="00022325">
                              <w:rPr>
                                <w:rFonts w:cs="Tahoma" w:hint="eastAsia"/>
                                <w:color w:val="0B5294"/>
                                <w:spacing w:val="-4"/>
                                <w:sz w:val="24"/>
                                <w:szCs w:val="24"/>
                                <w:rtl/>
                              </w:rPr>
                              <w:t>בלוח</w:t>
                            </w:r>
                            <w:r w:rsidRPr="00022325">
                              <w:rPr>
                                <w:rFonts w:cs="Tahoma"/>
                                <w:color w:val="0B5294"/>
                                <w:spacing w:val="-4"/>
                                <w:sz w:val="24"/>
                                <w:szCs w:val="24"/>
                                <w:rtl/>
                              </w:rPr>
                              <w:t xml:space="preserve"> </w:t>
                            </w:r>
                            <w:r w:rsidRPr="00022325">
                              <w:rPr>
                                <w:rFonts w:cs="Tahoma" w:hint="eastAsia"/>
                                <w:color w:val="0B5294"/>
                                <w:spacing w:val="-4"/>
                                <w:sz w:val="24"/>
                                <w:szCs w:val="24"/>
                                <w:rtl/>
                              </w:rPr>
                              <w:t>הזמנים</w:t>
                            </w:r>
                            <w:r w:rsidRPr="00022325">
                              <w:rPr>
                                <w:rFonts w:cs="Tahoma"/>
                                <w:color w:val="0B5294"/>
                                <w:spacing w:val="-4"/>
                                <w:sz w:val="24"/>
                                <w:szCs w:val="24"/>
                                <w:rtl/>
                              </w:rPr>
                              <w:t xml:space="preserve"> </w:t>
                            </w:r>
                            <w:r w:rsidRPr="00022325">
                              <w:rPr>
                                <w:rFonts w:cs="Tahoma" w:hint="eastAsia"/>
                                <w:color w:val="0B5294"/>
                                <w:spacing w:val="-4"/>
                                <w:sz w:val="24"/>
                                <w:szCs w:val="24"/>
                                <w:rtl/>
                              </w:rPr>
                              <w:t>שקבעה</w:t>
                            </w:r>
                            <w:r w:rsidRPr="00022325">
                              <w:rPr>
                                <w:rFonts w:cs="Tahoma"/>
                                <w:color w:val="0B5294"/>
                                <w:spacing w:val="-4"/>
                                <w:sz w:val="24"/>
                                <w:szCs w:val="24"/>
                                <w:rtl/>
                              </w:rPr>
                              <w:t xml:space="preserve"> </w:t>
                            </w:r>
                            <w:r w:rsidRPr="00022325">
                              <w:rPr>
                                <w:rFonts w:cs="Tahoma" w:hint="eastAsia"/>
                                <w:color w:val="0B5294"/>
                                <w:spacing w:val="-4"/>
                                <w:sz w:val="24"/>
                                <w:szCs w:val="24"/>
                                <w:rtl/>
                              </w:rPr>
                              <w:t>הממשלה</w:t>
                            </w:r>
                            <w:r w:rsidRPr="00022325">
                              <w:rPr>
                                <w:rFonts w:cs="Tahoma"/>
                                <w:color w:val="0B5294"/>
                                <w:spacing w:val="-4"/>
                                <w:sz w:val="24"/>
                                <w:szCs w:val="24"/>
                                <w:rtl/>
                              </w:rPr>
                              <w:t xml:space="preserve"> </w:t>
                            </w:r>
                            <w:r w:rsidRPr="00022325">
                              <w:rPr>
                                <w:rFonts w:cs="Tahoma" w:hint="eastAsia"/>
                                <w:color w:val="0B5294"/>
                                <w:spacing w:val="-4"/>
                                <w:sz w:val="24"/>
                                <w:szCs w:val="24"/>
                                <w:rtl/>
                              </w:rPr>
                              <w:t>בשנת</w:t>
                            </w:r>
                            <w:r w:rsidRPr="00022325">
                              <w:rPr>
                                <w:rFonts w:cs="Tahoma"/>
                                <w:color w:val="0B5294"/>
                                <w:spacing w:val="-4"/>
                                <w:sz w:val="24"/>
                                <w:szCs w:val="24"/>
                                <w:rtl/>
                              </w:rPr>
                              <w:t xml:space="preserve"> 2011 </w:t>
                            </w:r>
                            <w:r w:rsidRPr="00022325">
                              <w:rPr>
                                <w:rFonts w:cs="Tahoma" w:hint="eastAsia"/>
                                <w:color w:val="0B5294"/>
                                <w:spacing w:val="-4"/>
                                <w:sz w:val="24"/>
                                <w:szCs w:val="24"/>
                                <w:rtl/>
                              </w:rPr>
                              <w:t>לגיבוש</w:t>
                            </w:r>
                            <w:r w:rsidRPr="00022325">
                              <w:rPr>
                                <w:rFonts w:cs="Tahoma"/>
                                <w:color w:val="0B5294"/>
                                <w:spacing w:val="-4"/>
                                <w:sz w:val="24"/>
                                <w:szCs w:val="24"/>
                                <w:rtl/>
                              </w:rPr>
                              <w:t xml:space="preserve"> </w:t>
                            </w:r>
                            <w:r w:rsidRPr="00022325">
                              <w:rPr>
                                <w:rFonts w:cs="Tahoma" w:hint="eastAsia"/>
                                <w:color w:val="0B5294"/>
                                <w:spacing w:val="-4"/>
                                <w:sz w:val="24"/>
                                <w:szCs w:val="24"/>
                                <w:rtl/>
                              </w:rPr>
                              <w:t>תפיסת</w:t>
                            </w:r>
                            <w:r w:rsidRPr="00022325">
                              <w:rPr>
                                <w:rFonts w:cs="Tahoma"/>
                                <w:color w:val="0B5294"/>
                                <w:spacing w:val="-4"/>
                                <w:sz w:val="24"/>
                                <w:szCs w:val="24"/>
                                <w:rtl/>
                              </w:rPr>
                              <w:t xml:space="preserve"> </w:t>
                            </w:r>
                            <w:r w:rsidRPr="00022325">
                              <w:rPr>
                                <w:rFonts w:cs="Tahoma" w:hint="eastAsia"/>
                                <w:color w:val="0B5294"/>
                                <w:spacing w:val="-4"/>
                                <w:sz w:val="24"/>
                                <w:szCs w:val="24"/>
                                <w:rtl/>
                              </w:rPr>
                              <w:t>ההגנה</w:t>
                            </w:r>
                            <w:r w:rsidRPr="00022325">
                              <w:rPr>
                                <w:rFonts w:cs="Tahoma"/>
                                <w:color w:val="0B5294"/>
                                <w:spacing w:val="-4"/>
                                <w:sz w:val="24"/>
                                <w:szCs w:val="24"/>
                                <w:rtl/>
                              </w:rPr>
                              <w:t xml:space="preserve"> </w:t>
                            </w:r>
                            <w:r w:rsidRPr="00022325">
                              <w:rPr>
                                <w:rFonts w:cs="Tahoma" w:hint="eastAsia"/>
                                <w:color w:val="0B5294"/>
                                <w:spacing w:val="-4"/>
                                <w:sz w:val="24"/>
                                <w:szCs w:val="24"/>
                                <w:rtl/>
                              </w:rPr>
                              <w:t>הכוללת</w:t>
                            </w:r>
                            <w:r w:rsidRPr="00022325">
                              <w:rPr>
                                <w:rFonts w:cs="Tahoma"/>
                                <w:color w:val="0B5294"/>
                                <w:spacing w:val="-4"/>
                                <w:sz w:val="24"/>
                                <w:szCs w:val="24"/>
                                <w:rtl/>
                              </w:rPr>
                              <w:t xml:space="preserve"> </w:t>
                            </w:r>
                            <w:r w:rsidRPr="00022325">
                              <w:rPr>
                                <w:rFonts w:cs="Tahoma" w:hint="eastAsia"/>
                                <w:color w:val="0B5294"/>
                                <w:spacing w:val="-4"/>
                                <w:sz w:val="24"/>
                                <w:szCs w:val="24"/>
                                <w:rtl/>
                              </w:rPr>
                              <w:t>אינן</w:t>
                            </w:r>
                            <w:r w:rsidRPr="00022325">
                              <w:rPr>
                                <w:rFonts w:cs="Tahoma"/>
                                <w:color w:val="0B5294"/>
                                <w:spacing w:val="-4"/>
                                <w:sz w:val="24"/>
                                <w:szCs w:val="24"/>
                                <w:rtl/>
                              </w:rPr>
                              <w:t xml:space="preserve"> </w:t>
                            </w:r>
                            <w:r w:rsidRPr="00022325">
                              <w:rPr>
                                <w:rFonts w:cs="Tahoma" w:hint="eastAsia"/>
                                <w:color w:val="0B5294"/>
                                <w:spacing w:val="-4"/>
                                <w:sz w:val="24"/>
                                <w:szCs w:val="24"/>
                                <w:rtl/>
                              </w:rPr>
                              <w:t>עולות</w:t>
                            </w:r>
                            <w:r w:rsidRPr="00022325">
                              <w:rPr>
                                <w:rFonts w:cs="Tahoma"/>
                                <w:color w:val="0B5294"/>
                                <w:spacing w:val="-4"/>
                                <w:sz w:val="24"/>
                                <w:szCs w:val="24"/>
                                <w:rtl/>
                              </w:rPr>
                              <w:t xml:space="preserve"> </w:t>
                            </w:r>
                            <w:r w:rsidRPr="00022325">
                              <w:rPr>
                                <w:rFonts w:cs="Tahoma" w:hint="eastAsia"/>
                                <w:color w:val="0B5294"/>
                                <w:spacing w:val="-4"/>
                                <w:sz w:val="24"/>
                                <w:szCs w:val="24"/>
                                <w:rtl/>
                              </w:rPr>
                              <w:t>בקנה</w:t>
                            </w:r>
                            <w:r w:rsidRPr="00022325">
                              <w:rPr>
                                <w:rFonts w:cs="Tahoma"/>
                                <w:color w:val="0B5294"/>
                                <w:spacing w:val="-4"/>
                                <w:sz w:val="24"/>
                                <w:szCs w:val="24"/>
                                <w:rtl/>
                              </w:rPr>
                              <w:t xml:space="preserve"> </w:t>
                            </w:r>
                            <w:r w:rsidRPr="00022325">
                              <w:rPr>
                                <w:rFonts w:cs="Tahoma" w:hint="eastAsia"/>
                                <w:color w:val="0B5294"/>
                                <w:spacing w:val="-4"/>
                                <w:sz w:val="24"/>
                                <w:szCs w:val="24"/>
                                <w:rtl/>
                              </w:rPr>
                              <w:t>אחד</w:t>
                            </w:r>
                            <w:r w:rsidRPr="00022325">
                              <w:rPr>
                                <w:rFonts w:cs="Tahoma"/>
                                <w:color w:val="0B5294"/>
                                <w:spacing w:val="-4"/>
                                <w:sz w:val="24"/>
                                <w:szCs w:val="24"/>
                                <w:rtl/>
                              </w:rPr>
                              <w:t xml:space="preserve"> </w:t>
                            </w:r>
                            <w:r w:rsidRPr="00022325">
                              <w:rPr>
                                <w:rFonts w:cs="Tahoma" w:hint="eastAsia"/>
                                <w:color w:val="0B5294"/>
                                <w:spacing w:val="-4"/>
                                <w:sz w:val="24"/>
                                <w:szCs w:val="24"/>
                                <w:rtl/>
                              </w:rPr>
                              <w:t>עם</w:t>
                            </w:r>
                            <w:r w:rsidRPr="00022325">
                              <w:rPr>
                                <w:rFonts w:cs="Tahoma"/>
                                <w:color w:val="0B5294"/>
                                <w:spacing w:val="-4"/>
                                <w:sz w:val="24"/>
                                <w:szCs w:val="24"/>
                                <w:rtl/>
                              </w:rPr>
                              <w:t xml:space="preserve"> </w:t>
                            </w:r>
                            <w:r w:rsidRPr="00022325">
                              <w:rPr>
                                <w:rFonts w:cs="Tahoma" w:hint="eastAsia"/>
                                <w:color w:val="0B5294"/>
                                <w:spacing w:val="-4"/>
                                <w:sz w:val="24"/>
                                <w:szCs w:val="24"/>
                                <w:rtl/>
                              </w:rPr>
                              <w:t>התגברות</w:t>
                            </w:r>
                            <w:r w:rsidRPr="00022325">
                              <w:rPr>
                                <w:rFonts w:cs="Tahoma"/>
                                <w:color w:val="0B5294"/>
                                <w:spacing w:val="-4"/>
                                <w:sz w:val="24"/>
                                <w:szCs w:val="24"/>
                                <w:rtl/>
                              </w:rPr>
                              <w:t xml:space="preserve"> </w:t>
                            </w:r>
                            <w:r w:rsidRPr="00022325">
                              <w:rPr>
                                <w:rFonts w:cs="Tahoma" w:hint="eastAsia"/>
                                <w:color w:val="0B5294"/>
                                <w:spacing w:val="-4"/>
                                <w:sz w:val="24"/>
                                <w:szCs w:val="24"/>
                                <w:rtl/>
                              </w:rPr>
                              <w:t>האיום</w:t>
                            </w:r>
                            <w:r w:rsidRPr="00022325">
                              <w:rPr>
                                <w:rFonts w:cs="Tahoma"/>
                                <w:color w:val="0B5294"/>
                                <w:spacing w:val="-4"/>
                                <w:sz w:val="24"/>
                                <w:szCs w:val="24"/>
                                <w:rtl/>
                              </w:rPr>
                              <w:t xml:space="preserve"> </w:t>
                            </w:r>
                            <w:r w:rsidRPr="00022325">
                              <w:rPr>
                                <w:rFonts w:cs="Tahoma" w:hint="eastAsia"/>
                                <w:color w:val="0B5294"/>
                                <w:spacing w:val="-4"/>
                                <w:sz w:val="24"/>
                                <w:szCs w:val="24"/>
                                <w:rtl/>
                              </w:rPr>
                              <w:t>על</w:t>
                            </w:r>
                            <w:r w:rsidRPr="00022325">
                              <w:rPr>
                                <w:rFonts w:cs="Tahoma"/>
                                <w:color w:val="0B5294"/>
                                <w:spacing w:val="-4"/>
                                <w:sz w:val="24"/>
                                <w:szCs w:val="24"/>
                                <w:rtl/>
                              </w:rPr>
                              <w:t xml:space="preserve"> </w:t>
                            </w:r>
                            <w:r w:rsidRPr="00022325">
                              <w:rPr>
                                <w:rFonts w:cs="Tahoma" w:hint="eastAsia"/>
                                <w:color w:val="0B5294"/>
                                <w:spacing w:val="-4"/>
                                <w:sz w:val="24"/>
                                <w:szCs w:val="24"/>
                                <w:rtl/>
                              </w:rPr>
                              <w:t>מדינת</w:t>
                            </w:r>
                            <w:r w:rsidRPr="00022325">
                              <w:rPr>
                                <w:rFonts w:cs="Tahoma"/>
                                <w:color w:val="0B5294"/>
                                <w:spacing w:val="-4"/>
                                <w:sz w:val="24"/>
                                <w:szCs w:val="24"/>
                                <w:rtl/>
                              </w:rPr>
                              <w:t xml:space="preserve"> </w:t>
                            </w:r>
                            <w:r w:rsidRPr="00022325">
                              <w:rPr>
                                <w:rFonts w:cs="Tahoma" w:hint="eastAsia"/>
                                <w:color w:val="0B5294"/>
                                <w:spacing w:val="-4"/>
                                <w:sz w:val="24"/>
                                <w:szCs w:val="24"/>
                                <w:rtl/>
                              </w:rPr>
                              <w:t>ישראל</w:t>
                            </w:r>
                          </w:p>
                          <w:p w:rsidR="00022325" w:rsidRPr="00373C5D" w:rsidP="0002232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322817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3887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278.1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022325" w:rsidRPr="00373C5D" w:rsidP="00022325">
                      <w:pPr>
                        <w:spacing w:line="240" w:lineRule="atLeast"/>
                        <w:rPr>
                          <w:rFonts w:cs="Tahoma"/>
                          <w:b/>
                          <w:bCs/>
                          <w:color w:val="0B5294"/>
                          <w:sz w:val="48"/>
                          <w:szCs w:val="48"/>
                          <w:rtl/>
                        </w:rPr>
                      </w:pPr>
                      <w:drawing>
                        <wp:inline distT="0" distB="0" distL="0" distR="0">
                          <wp:extent cx="311150" cy="256800"/>
                          <wp:effectExtent l="0" t="0" r="0" b="0"/>
                          <wp:docPr id="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89347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22325" w:rsidRPr="001762F4" w:rsidP="00022325">
                      <w:pPr>
                        <w:spacing w:after="0" w:line="240" w:lineRule="auto"/>
                        <w:rPr>
                          <w:rFonts w:cs="Tahoma"/>
                          <w:color w:val="0B5294"/>
                          <w:spacing w:val="-4"/>
                          <w:sz w:val="24"/>
                          <w:szCs w:val="24"/>
                          <w:rtl/>
                          <w:cs/>
                        </w:rPr>
                      </w:pPr>
                      <w:r w:rsidRPr="00022325">
                        <w:rPr>
                          <w:rFonts w:cs="Tahoma" w:hint="eastAsia"/>
                          <w:color w:val="0B5294"/>
                          <w:spacing w:val="-4"/>
                          <w:sz w:val="24"/>
                          <w:szCs w:val="24"/>
                          <w:rtl/>
                        </w:rPr>
                        <w:t>התמשכות</w:t>
                      </w:r>
                      <w:r w:rsidRPr="00022325">
                        <w:rPr>
                          <w:rFonts w:cs="Tahoma"/>
                          <w:color w:val="0B5294"/>
                          <w:spacing w:val="-4"/>
                          <w:sz w:val="24"/>
                          <w:szCs w:val="24"/>
                          <w:rtl/>
                        </w:rPr>
                        <w:t xml:space="preserve"> </w:t>
                      </w:r>
                      <w:r w:rsidRPr="00022325">
                        <w:rPr>
                          <w:rFonts w:cs="Tahoma" w:hint="eastAsia"/>
                          <w:color w:val="0B5294"/>
                          <w:spacing w:val="-4"/>
                          <w:sz w:val="24"/>
                          <w:szCs w:val="24"/>
                          <w:rtl/>
                        </w:rPr>
                        <w:t>ההליך</w:t>
                      </w:r>
                      <w:r w:rsidRPr="00022325">
                        <w:rPr>
                          <w:rFonts w:cs="Tahoma"/>
                          <w:color w:val="0B5294"/>
                          <w:spacing w:val="-4"/>
                          <w:sz w:val="24"/>
                          <w:szCs w:val="24"/>
                          <w:rtl/>
                        </w:rPr>
                        <w:t xml:space="preserve"> </w:t>
                      </w:r>
                      <w:r w:rsidRPr="00022325">
                        <w:rPr>
                          <w:rFonts w:cs="Tahoma" w:hint="eastAsia"/>
                          <w:color w:val="0B5294"/>
                          <w:spacing w:val="-4"/>
                          <w:sz w:val="24"/>
                          <w:szCs w:val="24"/>
                          <w:rtl/>
                        </w:rPr>
                        <w:t>של</w:t>
                      </w:r>
                      <w:r w:rsidRPr="00022325">
                        <w:rPr>
                          <w:rFonts w:cs="Tahoma"/>
                          <w:color w:val="0B5294"/>
                          <w:spacing w:val="-4"/>
                          <w:sz w:val="24"/>
                          <w:szCs w:val="24"/>
                          <w:rtl/>
                        </w:rPr>
                        <w:t xml:space="preserve"> </w:t>
                      </w:r>
                      <w:r w:rsidRPr="00022325">
                        <w:rPr>
                          <w:rFonts w:cs="Tahoma" w:hint="eastAsia"/>
                          <w:color w:val="0B5294"/>
                          <w:spacing w:val="-4"/>
                          <w:sz w:val="24"/>
                          <w:szCs w:val="24"/>
                          <w:rtl/>
                        </w:rPr>
                        <w:t>הסדרת</w:t>
                      </w:r>
                      <w:r w:rsidRPr="00022325">
                        <w:rPr>
                          <w:rFonts w:cs="Tahoma"/>
                          <w:color w:val="0B5294"/>
                          <w:spacing w:val="-4"/>
                          <w:sz w:val="24"/>
                          <w:szCs w:val="24"/>
                          <w:rtl/>
                        </w:rPr>
                        <w:t xml:space="preserve"> </w:t>
                      </w:r>
                      <w:r w:rsidRPr="00022325">
                        <w:rPr>
                          <w:rFonts w:cs="Tahoma" w:hint="eastAsia"/>
                          <w:color w:val="0B5294"/>
                          <w:spacing w:val="-4"/>
                          <w:sz w:val="24"/>
                          <w:szCs w:val="24"/>
                          <w:rtl/>
                        </w:rPr>
                        <w:t>האחריות</w:t>
                      </w:r>
                      <w:r w:rsidRPr="00022325">
                        <w:rPr>
                          <w:rFonts w:cs="Tahoma"/>
                          <w:color w:val="0B5294"/>
                          <w:spacing w:val="-4"/>
                          <w:sz w:val="24"/>
                          <w:szCs w:val="24"/>
                          <w:rtl/>
                        </w:rPr>
                        <w:t xml:space="preserve"> </w:t>
                      </w:r>
                      <w:r w:rsidRPr="00022325">
                        <w:rPr>
                          <w:rFonts w:cs="Tahoma" w:hint="eastAsia"/>
                          <w:color w:val="0B5294"/>
                          <w:spacing w:val="-4"/>
                          <w:sz w:val="24"/>
                          <w:szCs w:val="24"/>
                          <w:rtl/>
                        </w:rPr>
                        <w:t>לטיפול</w:t>
                      </w:r>
                      <w:r w:rsidRPr="00022325">
                        <w:rPr>
                          <w:rFonts w:cs="Tahoma"/>
                          <w:color w:val="0B5294"/>
                          <w:spacing w:val="-4"/>
                          <w:sz w:val="24"/>
                          <w:szCs w:val="24"/>
                          <w:rtl/>
                        </w:rPr>
                        <w:t xml:space="preserve"> </w:t>
                      </w:r>
                      <w:r w:rsidRPr="00022325">
                        <w:rPr>
                          <w:rFonts w:cs="Tahoma" w:hint="eastAsia"/>
                          <w:color w:val="0B5294"/>
                          <w:spacing w:val="-4"/>
                          <w:sz w:val="24"/>
                          <w:szCs w:val="24"/>
                          <w:rtl/>
                        </w:rPr>
                        <w:t>בתחום</w:t>
                      </w:r>
                      <w:r w:rsidRPr="00022325">
                        <w:rPr>
                          <w:rFonts w:cs="Tahoma"/>
                          <w:color w:val="0B5294"/>
                          <w:spacing w:val="-4"/>
                          <w:sz w:val="24"/>
                          <w:szCs w:val="24"/>
                          <w:rtl/>
                        </w:rPr>
                        <w:t xml:space="preserve"> </w:t>
                      </w:r>
                      <w:r w:rsidRPr="00022325">
                        <w:rPr>
                          <w:rFonts w:cs="Tahoma" w:hint="eastAsia"/>
                          <w:color w:val="0B5294"/>
                          <w:spacing w:val="-4"/>
                          <w:sz w:val="24"/>
                          <w:szCs w:val="24"/>
                          <w:rtl/>
                        </w:rPr>
                        <w:t>הקיברנטי</w:t>
                      </w:r>
                      <w:r w:rsidRPr="00022325">
                        <w:rPr>
                          <w:rFonts w:cs="Tahoma"/>
                          <w:color w:val="0B5294"/>
                          <w:spacing w:val="-4"/>
                          <w:sz w:val="24"/>
                          <w:szCs w:val="24"/>
                          <w:rtl/>
                        </w:rPr>
                        <w:t xml:space="preserve"> </w:t>
                      </w:r>
                      <w:r w:rsidRPr="00022325">
                        <w:rPr>
                          <w:rFonts w:cs="Tahoma" w:hint="eastAsia"/>
                          <w:color w:val="0B5294"/>
                          <w:spacing w:val="-4"/>
                          <w:sz w:val="24"/>
                          <w:szCs w:val="24"/>
                          <w:rtl/>
                        </w:rPr>
                        <w:t>במשך</w:t>
                      </w:r>
                      <w:r w:rsidRPr="00022325">
                        <w:rPr>
                          <w:rFonts w:cs="Tahoma"/>
                          <w:color w:val="0B5294"/>
                          <w:spacing w:val="-4"/>
                          <w:sz w:val="24"/>
                          <w:szCs w:val="24"/>
                          <w:rtl/>
                        </w:rPr>
                        <w:t xml:space="preserve"> </w:t>
                      </w:r>
                      <w:r w:rsidRPr="00022325">
                        <w:rPr>
                          <w:rFonts w:cs="Tahoma" w:hint="eastAsia"/>
                          <w:color w:val="0B5294"/>
                          <w:spacing w:val="-4"/>
                          <w:sz w:val="24"/>
                          <w:szCs w:val="24"/>
                          <w:rtl/>
                        </w:rPr>
                        <w:t>שנים</w:t>
                      </w:r>
                      <w:r w:rsidRPr="00022325">
                        <w:rPr>
                          <w:rFonts w:cs="Tahoma"/>
                          <w:color w:val="0B5294"/>
                          <w:spacing w:val="-4"/>
                          <w:sz w:val="24"/>
                          <w:szCs w:val="24"/>
                          <w:rtl/>
                        </w:rPr>
                        <w:t xml:space="preserve"> </w:t>
                      </w:r>
                      <w:r w:rsidR="00CD3D58">
                        <w:rPr>
                          <w:rFonts w:cs="Tahoma" w:hint="cs"/>
                          <w:color w:val="0B5294"/>
                          <w:spacing w:val="-4"/>
                          <w:sz w:val="24"/>
                          <w:szCs w:val="24"/>
                          <w:rtl/>
                        </w:rPr>
                        <w:br/>
                      </w:r>
                      <w:r w:rsidRPr="00022325">
                        <w:rPr>
                          <w:rFonts w:cs="Tahoma" w:hint="eastAsia"/>
                          <w:color w:val="0B5294"/>
                          <w:spacing w:val="-4"/>
                          <w:sz w:val="24"/>
                          <w:szCs w:val="24"/>
                          <w:rtl/>
                        </w:rPr>
                        <w:t>ואי</w:t>
                      </w:r>
                      <w:r w:rsidRPr="00022325">
                        <w:rPr>
                          <w:rFonts w:cs="Tahoma"/>
                          <w:color w:val="0B5294"/>
                          <w:spacing w:val="-4"/>
                          <w:sz w:val="24"/>
                          <w:szCs w:val="24"/>
                          <w:rtl/>
                        </w:rPr>
                        <w:t>-</w:t>
                      </w:r>
                      <w:r w:rsidRPr="00022325">
                        <w:rPr>
                          <w:rFonts w:cs="Tahoma" w:hint="eastAsia"/>
                          <w:color w:val="0B5294"/>
                          <w:spacing w:val="-4"/>
                          <w:sz w:val="24"/>
                          <w:szCs w:val="24"/>
                          <w:rtl/>
                        </w:rPr>
                        <w:t>העמידה</w:t>
                      </w:r>
                      <w:r w:rsidRPr="00022325">
                        <w:rPr>
                          <w:rFonts w:cs="Tahoma"/>
                          <w:color w:val="0B5294"/>
                          <w:spacing w:val="-4"/>
                          <w:sz w:val="24"/>
                          <w:szCs w:val="24"/>
                          <w:rtl/>
                        </w:rPr>
                        <w:t xml:space="preserve"> </w:t>
                      </w:r>
                      <w:r w:rsidRPr="00022325">
                        <w:rPr>
                          <w:rFonts w:cs="Tahoma" w:hint="eastAsia"/>
                          <w:color w:val="0B5294"/>
                          <w:spacing w:val="-4"/>
                          <w:sz w:val="24"/>
                          <w:szCs w:val="24"/>
                          <w:rtl/>
                        </w:rPr>
                        <w:t>בלוח</w:t>
                      </w:r>
                      <w:r w:rsidRPr="00022325">
                        <w:rPr>
                          <w:rFonts w:cs="Tahoma"/>
                          <w:color w:val="0B5294"/>
                          <w:spacing w:val="-4"/>
                          <w:sz w:val="24"/>
                          <w:szCs w:val="24"/>
                          <w:rtl/>
                        </w:rPr>
                        <w:t xml:space="preserve"> </w:t>
                      </w:r>
                      <w:r w:rsidRPr="00022325">
                        <w:rPr>
                          <w:rFonts w:cs="Tahoma" w:hint="eastAsia"/>
                          <w:color w:val="0B5294"/>
                          <w:spacing w:val="-4"/>
                          <w:sz w:val="24"/>
                          <w:szCs w:val="24"/>
                          <w:rtl/>
                        </w:rPr>
                        <w:t>הזמנים</w:t>
                      </w:r>
                      <w:r w:rsidRPr="00022325">
                        <w:rPr>
                          <w:rFonts w:cs="Tahoma"/>
                          <w:color w:val="0B5294"/>
                          <w:spacing w:val="-4"/>
                          <w:sz w:val="24"/>
                          <w:szCs w:val="24"/>
                          <w:rtl/>
                        </w:rPr>
                        <w:t xml:space="preserve"> </w:t>
                      </w:r>
                      <w:r w:rsidRPr="00022325">
                        <w:rPr>
                          <w:rFonts w:cs="Tahoma" w:hint="eastAsia"/>
                          <w:color w:val="0B5294"/>
                          <w:spacing w:val="-4"/>
                          <w:sz w:val="24"/>
                          <w:szCs w:val="24"/>
                          <w:rtl/>
                        </w:rPr>
                        <w:t>שקבעה</w:t>
                      </w:r>
                      <w:r w:rsidRPr="00022325">
                        <w:rPr>
                          <w:rFonts w:cs="Tahoma"/>
                          <w:color w:val="0B5294"/>
                          <w:spacing w:val="-4"/>
                          <w:sz w:val="24"/>
                          <w:szCs w:val="24"/>
                          <w:rtl/>
                        </w:rPr>
                        <w:t xml:space="preserve"> </w:t>
                      </w:r>
                      <w:r w:rsidRPr="00022325">
                        <w:rPr>
                          <w:rFonts w:cs="Tahoma" w:hint="eastAsia"/>
                          <w:color w:val="0B5294"/>
                          <w:spacing w:val="-4"/>
                          <w:sz w:val="24"/>
                          <w:szCs w:val="24"/>
                          <w:rtl/>
                        </w:rPr>
                        <w:t>הממשלה</w:t>
                      </w:r>
                      <w:r w:rsidRPr="00022325">
                        <w:rPr>
                          <w:rFonts w:cs="Tahoma"/>
                          <w:color w:val="0B5294"/>
                          <w:spacing w:val="-4"/>
                          <w:sz w:val="24"/>
                          <w:szCs w:val="24"/>
                          <w:rtl/>
                        </w:rPr>
                        <w:t xml:space="preserve"> </w:t>
                      </w:r>
                      <w:r w:rsidRPr="00022325">
                        <w:rPr>
                          <w:rFonts w:cs="Tahoma" w:hint="eastAsia"/>
                          <w:color w:val="0B5294"/>
                          <w:spacing w:val="-4"/>
                          <w:sz w:val="24"/>
                          <w:szCs w:val="24"/>
                          <w:rtl/>
                        </w:rPr>
                        <w:t>בשנת</w:t>
                      </w:r>
                      <w:r w:rsidRPr="00022325">
                        <w:rPr>
                          <w:rFonts w:cs="Tahoma"/>
                          <w:color w:val="0B5294"/>
                          <w:spacing w:val="-4"/>
                          <w:sz w:val="24"/>
                          <w:szCs w:val="24"/>
                          <w:rtl/>
                        </w:rPr>
                        <w:t xml:space="preserve"> 2011 </w:t>
                      </w:r>
                      <w:r w:rsidRPr="00022325">
                        <w:rPr>
                          <w:rFonts w:cs="Tahoma" w:hint="eastAsia"/>
                          <w:color w:val="0B5294"/>
                          <w:spacing w:val="-4"/>
                          <w:sz w:val="24"/>
                          <w:szCs w:val="24"/>
                          <w:rtl/>
                        </w:rPr>
                        <w:t>לגיבוש</w:t>
                      </w:r>
                      <w:r w:rsidRPr="00022325">
                        <w:rPr>
                          <w:rFonts w:cs="Tahoma"/>
                          <w:color w:val="0B5294"/>
                          <w:spacing w:val="-4"/>
                          <w:sz w:val="24"/>
                          <w:szCs w:val="24"/>
                          <w:rtl/>
                        </w:rPr>
                        <w:t xml:space="preserve"> </w:t>
                      </w:r>
                      <w:r w:rsidRPr="00022325">
                        <w:rPr>
                          <w:rFonts w:cs="Tahoma" w:hint="eastAsia"/>
                          <w:color w:val="0B5294"/>
                          <w:spacing w:val="-4"/>
                          <w:sz w:val="24"/>
                          <w:szCs w:val="24"/>
                          <w:rtl/>
                        </w:rPr>
                        <w:t>תפיסת</w:t>
                      </w:r>
                      <w:r w:rsidRPr="00022325">
                        <w:rPr>
                          <w:rFonts w:cs="Tahoma"/>
                          <w:color w:val="0B5294"/>
                          <w:spacing w:val="-4"/>
                          <w:sz w:val="24"/>
                          <w:szCs w:val="24"/>
                          <w:rtl/>
                        </w:rPr>
                        <w:t xml:space="preserve"> </w:t>
                      </w:r>
                      <w:r w:rsidRPr="00022325">
                        <w:rPr>
                          <w:rFonts w:cs="Tahoma" w:hint="eastAsia"/>
                          <w:color w:val="0B5294"/>
                          <w:spacing w:val="-4"/>
                          <w:sz w:val="24"/>
                          <w:szCs w:val="24"/>
                          <w:rtl/>
                        </w:rPr>
                        <w:t>ההגנה</w:t>
                      </w:r>
                      <w:r w:rsidRPr="00022325">
                        <w:rPr>
                          <w:rFonts w:cs="Tahoma"/>
                          <w:color w:val="0B5294"/>
                          <w:spacing w:val="-4"/>
                          <w:sz w:val="24"/>
                          <w:szCs w:val="24"/>
                          <w:rtl/>
                        </w:rPr>
                        <w:t xml:space="preserve"> </w:t>
                      </w:r>
                      <w:r w:rsidRPr="00022325">
                        <w:rPr>
                          <w:rFonts w:cs="Tahoma" w:hint="eastAsia"/>
                          <w:color w:val="0B5294"/>
                          <w:spacing w:val="-4"/>
                          <w:sz w:val="24"/>
                          <w:szCs w:val="24"/>
                          <w:rtl/>
                        </w:rPr>
                        <w:t>הכוללת</w:t>
                      </w:r>
                      <w:r w:rsidRPr="00022325">
                        <w:rPr>
                          <w:rFonts w:cs="Tahoma"/>
                          <w:color w:val="0B5294"/>
                          <w:spacing w:val="-4"/>
                          <w:sz w:val="24"/>
                          <w:szCs w:val="24"/>
                          <w:rtl/>
                        </w:rPr>
                        <w:t xml:space="preserve"> </w:t>
                      </w:r>
                      <w:r w:rsidRPr="00022325">
                        <w:rPr>
                          <w:rFonts w:cs="Tahoma" w:hint="eastAsia"/>
                          <w:color w:val="0B5294"/>
                          <w:spacing w:val="-4"/>
                          <w:sz w:val="24"/>
                          <w:szCs w:val="24"/>
                          <w:rtl/>
                        </w:rPr>
                        <w:t>אינן</w:t>
                      </w:r>
                      <w:r w:rsidRPr="00022325">
                        <w:rPr>
                          <w:rFonts w:cs="Tahoma"/>
                          <w:color w:val="0B5294"/>
                          <w:spacing w:val="-4"/>
                          <w:sz w:val="24"/>
                          <w:szCs w:val="24"/>
                          <w:rtl/>
                        </w:rPr>
                        <w:t xml:space="preserve"> </w:t>
                      </w:r>
                      <w:r w:rsidRPr="00022325">
                        <w:rPr>
                          <w:rFonts w:cs="Tahoma" w:hint="eastAsia"/>
                          <w:color w:val="0B5294"/>
                          <w:spacing w:val="-4"/>
                          <w:sz w:val="24"/>
                          <w:szCs w:val="24"/>
                          <w:rtl/>
                        </w:rPr>
                        <w:t>עולות</w:t>
                      </w:r>
                      <w:r w:rsidRPr="00022325">
                        <w:rPr>
                          <w:rFonts w:cs="Tahoma"/>
                          <w:color w:val="0B5294"/>
                          <w:spacing w:val="-4"/>
                          <w:sz w:val="24"/>
                          <w:szCs w:val="24"/>
                          <w:rtl/>
                        </w:rPr>
                        <w:t xml:space="preserve"> </w:t>
                      </w:r>
                      <w:r w:rsidRPr="00022325">
                        <w:rPr>
                          <w:rFonts w:cs="Tahoma" w:hint="eastAsia"/>
                          <w:color w:val="0B5294"/>
                          <w:spacing w:val="-4"/>
                          <w:sz w:val="24"/>
                          <w:szCs w:val="24"/>
                          <w:rtl/>
                        </w:rPr>
                        <w:t>בקנה</w:t>
                      </w:r>
                      <w:r w:rsidRPr="00022325">
                        <w:rPr>
                          <w:rFonts w:cs="Tahoma"/>
                          <w:color w:val="0B5294"/>
                          <w:spacing w:val="-4"/>
                          <w:sz w:val="24"/>
                          <w:szCs w:val="24"/>
                          <w:rtl/>
                        </w:rPr>
                        <w:t xml:space="preserve"> </w:t>
                      </w:r>
                      <w:r w:rsidRPr="00022325">
                        <w:rPr>
                          <w:rFonts w:cs="Tahoma" w:hint="eastAsia"/>
                          <w:color w:val="0B5294"/>
                          <w:spacing w:val="-4"/>
                          <w:sz w:val="24"/>
                          <w:szCs w:val="24"/>
                          <w:rtl/>
                        </w:rPr>
                        <w:t>אחד</w:t>
                      </w:r>
                      <w:r w:rsidRPr="00022325">
                        <w:rPr>
                          <w:rFonts w:cs="Tahoma"/>
                          <w:color w:val="0B5294"/>
                          <w:spacing w:val="-4"/>
                          <w:sz w:val="24"/>
                          <w:szCs w:val="24"/>
                          <w:rtl/>
                        </w:rPr>
                        <w:t xml:space="preserve"> </w:t>
                      </w:r>
                      <w:r w:rsidRPr="00022325">
                        <w:rPr>
                          <w:rFonts w:cs="Tahoma" w:hint="eastAsia"/>
                          <w:color w:val="0B5294"/>
                          <w:spacing w:val="-4"/>
                          <w:sz w:val="24"/>
                          <w:szCs w:val="24"/>
                          <w:rtl/>
                        </w:rPr>
                        <w:t>עם</w:t>
                      </w:r>
                      <w:r w:rsidRPr="00022325">
                        <w:rPr>
                          <w:rFonts w:cs="Tahoma"/>
                          <w:color w:val="0B5294"/>
                          <w:spacing w:val="-4"/>
                          <w:sz w:val="24"/>
                          <w:szCs w:val="24"/>
                          <w:rtl/>
                        </w:rPr>
                        <w:t xml:space="preserve"> </w:t>
                      </w:r>
                      <w:r w:rsidRPr="00022325">
                        <w:rPr>
                          <w:rFonts w:cs="Tahoma" w:hint="eastAsia"/>
                          <w:color w:val="0B5294"/>
                          <w:spacing w:val="-4"/>
                          <w:sz w:val="24"/>
                          <w:szCs w:val="24"/>
                          <w:rtl/>
                        </w:rPr>
                        <w:t>התגברות</w:t>
                      </w:r>
                      <w:r w:rsidRPr="00022325">
                        <w:rPr>
                          <w:rFonts w:cs="Tahoma"/>
                          <w:color w:val="0B5294"/>
                          <w:spacing w:val="-4"/>
                          <w:sz w:val="24"/>
                          <w:szCs w:val="24"/>
                          <w:rtl/>
                        </w:rPr>
                        <w:t xml:space="preserve"> </w:t>
                      </w:r>
                      <w:r w:rsidRPr="00022325">
                        <w:rPr>
                          <w:rFonts w:cs="Tahoma" w:hint="eastAsia"/>
                          <w:color w:val="0B5294"/>
                          <w:spacing w:val="-4"/>
                          <w:sz w:val="24"/>
                          <w:szCs w:val="24"/>
                          <w:rtl/>
                        </w:rPr>
                        <w:t>האיום</w:t>
                      </w:r>
                      <w:r w:rsidRPr="00022325">
                        <w:rPr>
                          <w:rFonts w:cs="Tahoma"/>
                          <w:color w:val="0B5294"/>
                          <w:spacing w:val="-4"/>
                          <w:sz w:val="24"/>
                          <w:szCs w:val="24"/>
                          <w:rtl/>
                        </w:rPr>
                        <w:t xml:space="preserve"> </w:t>
                      </w:r>
                      <w:r w:rsidRPr="00022325">
                        <w:rPr>
                          <w:rFonts w:cs="Tahoma" w:hint="eastAsia"/>
                          <w:color w:val="0B5294"/>
                          <w:spacing w:val="-4"/>
                          <w:sz w:val="24"/>
                          <w:szCs w:val="24"/>
                          <w:rtl/>
                        </w:rPr>
                        <w:t>על</w:t>
                      </w:r>
                      <w:r w:rsidRPr="00022325">
                        <w:rPr>
                          <w:rFonts w:cs="Tahoma"/>
                          <w:color w:val="0B5294"/>
                          <w:spacing w:val="-4"/>
                          <w:sz w:val="24"/>
                          <w:szCs w:val="24"/>
                          <w:rtl/>
                        </w:rPr>
                        <w:t xml:space="preserve"> </w:t>
                      </w:r>
                      <w:r w:rsidRPr="00022325">
                        <w:rPr>
                          <w:rFonts w:cs="Tahoma" w:hint="eastAsia"/>
                          <w:color w:val="0B5294"/>
                          <w:spacing w:val="-4"/>
                          <w:sz w:val="24"/>
                          <w:szCs w:val="24"/>
                          <w:rtl/>
                        </w:rPr>
                        <w:t>מדינת</w:t>
                      </w:r>
                      <w:r w:rsidRPr="00022325">
                        <w:rPr>
                          <w:rFonts w:cs="Tahoma"/>
                          <w:color w:val="0B5294"/>
                          <w:spacing w:val="-4"/>
                          <w:sz w:val="24"/>
                          <w:szCs w:val="24"/>
                          <w:rtl/>
                        </w:rPr>
                        <w:t xml:space="preserve"> </w:t>
                      </w:r>
                      <w:r w:rsidRPr="00022325">
                        <w:rPr>
                          <w:rFonts w:cs="Tahoma" w:hint="eastAsia"/>
                          <w:color w:val="0B5294"/>
                          <w:spacing w:val="-4"/>
                          <w:sz w:val="24"/>
                          <w:szCs w:val="24"/>
                          <w:rtl/>
                        </w:rPr>
                        <w:t>ישראל</w:t>
                      </w:r>
                    </w:p>
                    <w:p w:rsidR="00022325" w:rsidRPr="00373C5D" w:rsidP="00022325">
                      <w:pPr>
                        <w:spacing w:before="120" w:after="0" w:line="240" w:lineRule="atLeast"/>
                        <w:rPr>
                          <w:rFonts w:cs="Tahoma"/>
                          <w:b/>
                          <w:bCs/>
                          <w:color w:val="0B5294"/>
                          <w:sz w:val="48"/>
                          <w:szCs w:val="48"/>
                          <w:rtl/>
                        </w:rPr>
                      </w:pPr>
                      <w:drawing>
                        <wp:inline distT="0" distB="0" distL="0" distR="0">
                          <wp:extent cx="288000" cy="31337"/>
                          <wp:effectExtent l="0" t="0" r="0" b="6985"/>
                          <wp:docPr id="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19744"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5914D3" w:rsidR="005914D3">
        <w:rPr>
          <w:rFonts w:ascii="Tahoma" w:hAnsi="Tahoma" w:cs="Tahoma"/>
          <w:sz w:val="17"/>
          <w:szCs w:val="17"/>
          <w:rtl/>
        </w:rPr>
        <w:t>ועדת המשנה של הוועדה לענייני ביקורת המדינה של הכנסת, בהתייעצות עם מבקר המדינה, החליטה להטיל חיסיון על חלקים מפרק ביקורת זה לשם שמירה על ביטחון המדינה, בהתאם לסעיף 17 לחוק מבקר המדינה, התשי"ח-1958 [נוסח משולב].</w:t>
      </w:r>
    </w:p>
    <w:p w:rsidR="00F1368B" w:rsidRPr="00492C38" w:rsidP="009B0AF0">
      <w:pPr>
        <w:pStyle w:val="takzir"/>
        <w:rPr>
          <w:rFonts w:ascii="Tahoma" w:hAnsi="Tahoma" w:cs="Tahoma"/>
          <w:noProof w:val="0"/>
          <w:sz w:val="28"/>
          <w:rtl/>
        </w:rPr>
      </w:pPr>
    </w:p>
    <w:p w:rsidR="00E20FA0" w:rsidRPr="0010381E" w:rsidP="00E20FA0">
      <w:pPr>
        <w:pStyle w:val="KOT4T"/>
        <w:rPr>
          <w:rtl/>
        </w:rPr>
      </w:pPr>
      <w:r w:rsidRPr="0010381E">
        <w:rPr>
          <w:rtl/>
        </w:rPr>
        <w:t>הליקויים העיקריים</w:t>
      </w:r>
    </w:p>
    <w:p w:rsidR="00E20FA0" w:rsidRPr="005914D3" w:rsidP="00E20FA0">
      <w:pPr>
        <w:pStyle w:val="KOT5T"/>
        <w:rPr>
          <w:b/>
          <w:bCs/>
          <w:rtl/>
        </w:rPr>
      </w:pPr>
      <w:r w:rsidRPr="005914D3">
        <w:rPr>
          <w:b/>
          <w:bCs/>
          <w:rtl/>
        </w:rPr>
        <w:t xml:space="preserve">הסדרת האחריות לטיפול בתחום </w:t>
      </w:r>
      <w:r w:rsidRPr="005914D3">
        <w:rPr>
          <w:b/>
          <w:bCs/>
          <w:rtl/>
        </w:rPr>
        <w:t>הקיברנטי</w:t>
      </w:r>
    </w:p>
    <w:p w:rsidR="00E20FA0" w:rsidRPr="005914D3" w:rsidP="002776C9">
      <w:pPr>
        <w:pBdr>
          <w:top w:val="single" w:sz="8" w:space="4" w:color="2A2AA6"/>
          <w:left w:val="single" w:sz="8" w:space="4" w:color="2A2AA6"/>
          <w:right w:val="single" w:sz="8" w:space="4" w:color="2A2AA6"/>
        </w:pBdr>
        <w:spacing w:line="240" w:lineRule="exact"/>
        <w:ind w:left="170" w:right="2268"/>
        <w:jc w:val="both"/>
        <w:rPr>
          <w:rFonts w:ascii="Tahoma" w:hAnsi="Tahoma" w:cs="Tahoma"/>
          <w:sz w:val="17"/>
          <w:szCs w:val="17"/>
          <w:rtl/>
        </w:rPr>
      </w:pPr>
      <w:r w:rsidRPr="005914D3">
        <w:rPr>
          <w:rFonts w:ascii="Tahoma" w:hAnsi="Tahoma" w:cs="Tahoma"/>
          <w:sz w:val="17"/>
          <w:szCs w:val="17"/>
          <w:rtl/>
        </w:rPr>
        <w:t xml:space="preserve">הממשלה אישרה את הסדרת האחריות לטיפול בתחום </w:t>
      </w:r>
      <w:r w:rsidRPr="005914D3">
        <w:rPr>
          <w:rFonts w:ascii="Tahoma" w:hAnsi="Tahoma" w:cs="Tahoma"/>
          <w:sz w:val="17"/>
          <w:szCs w:val="17"/>
          <w:rtl/>
        </w:rPr>
        <w:t>הקיברנטי</w:t>
      </w:r>
      <w:r w:rsidRPr="005914D3">
        <w:rPr>
          <w:rFonts w:ascii="Tahoma" w:hAnsi="Tahoma" w:cs="Tahoma" w:hint="cs"/>
          <w:sz w:val="17"/>
          <w:szCs w:val="17"/>
          <w:rtl/>
        </w:rPr>
        <w:t xml:space="preserve"> </w:t>
      </w:r>
      <w:r w:rsidRPr="005914D3">
        <w:rPr>
          <w:rFonts w:ascii="Tahoma" w:hAnsi="Tahoma" w:cs="Tahoma"/>
          <w:sz w:val="17"/>
          <w:szCs w:val="17"/>
          <w:rtl/>
        </w:rPr>
        <w:t>בחלוף כשלוש שנים ממועד קבלת</w:t>
      </w:r>
      <w:r w:rsidRPr="005914D3">
        <w:rPr>
          <w:rFonts w:ascii="Tahoma" w:hAnsi="Tahoma" w:cs="Tahoma" w:hint="cs"/>
          <w:sz w:val="17"/>
          <w:szCs w:val="17"/>
          <w:rtl/>
        </w:rPr>
        <w:t xml:space="preserve"> </w:t>
      </w:r>
      <w:r w:rsidRPr="005914D3">
        <w:rPr>
          <w:rFonts w:ascii="Tahoma" w:hAnsi="Tahoma" w:cs="Tahoma"/>
          <w:sz w:val="17"/>
          <w:szCs w:val="17"/>
          <w:rtl/>
        </w:rPr>
        <w:t xml:space="preserve">ההחלטה מ-2011. עובדה זו עיכבה את קידום השינויים בחקיקה ומרבית השינויים הארגוניים האחרים החיוניים לצורך מתן הסמכות, האחריות והמשאבים הנחוצים להעמקת הפעילות בתחום הגנת הסייבר ולהרחבתה לחלקים נוספים במרחב </w:t>
      </w:r>
      <w:r w:rsidRPr="005914D3">
        <w:rPr>
          <w:rFonts w:ascii="Tahoma" w:hAnsi="Tahoma" w:cs="Tahoma"/>
          <w:sz w:val="17"/>
          <w:szCs w:val="17"/>
          <w:rtl/>
        </w:rPr>
        <w:t>הקיברנטי</w:t>
      </w:r>
      <w:r w:rsidRPr="005914D3">
        <w:rPr>
          <w:rFonts w:ascii="Tahoma" w:hAnsi="Tahoma" w:cs="Tahoma"/>
          <w:sz w:val="17"/>
          <w:szCs w:val="17"/>
          <w:rtl/>
        </w:rPr>
        <w:t xml:space="preserve"> האזרחי בישראל. התמשכות ההליך של הסדרת האחריות לטיפול בתחום </w:t>
      </w:r>
      <w:r w:rsidRPr="005914D3">
        <w:rPr>
          <w:rFonts w:ascii="Tahoma" w:hAnsi="Tahoma" w:cs="Tahoma"/>
          <w:sz w:val="17"/>
          <w:szCs w:val="17"/>
          <w:rtl/>
        </w:rPr>
        <w:t>הקיברנטי</w:t>
      </w:r>
      <w:r w:rsidRPr="005914D3">
        <w:rPr>
          <w:rFonts w:ascii="Tahoma" w:hAnsi="Tahoma" w:cs="Tahoma"/>
          <w:sz w:val="17"/>
          <w:szCs w:val="17"/>
          <w:rtl/>
        </w:rPr>
        <w:t xml:space="preserve"> במשך שנים ואי-העמידה בלוח הזמנים שקבעה הממשלה בשנת 2011 לגיבוש תפיסת ההגנה הכוללת אינן עולות בקנה אחד עם התגברות האיום על מדינת ישראל. </w:t>
      </w:r>
    </w:p>
    <w:p w:rsidR="00E20FA0" w:rsidRPr="005914D3" w:rsidP="002776C9">
      <w:pPr>
        <w:pBdr>
          <w:top w:val="single" w:sz="8" w:space="4" w:color="2A2AA6"/>
          <w:left w:val="single" w:sz="8" w:space="4" w:color="2A2AA6"/>
          <w:right w:val="single" w:sz="8" w:space="4" w:color="2A2AA6"/>
        </w:pBdr>
        <w:spacing w:line="240" w:lineRule="exact"/>
        <w:ind w:left="170" w:right="2268"/>
        <w:jc w:val="both"/>
        <w:rPr>
          <w:rFonts w:ascii="Tahoma" w:hAnsi="Tahoma" w:cs="Tahoma"/>
          <w:sz w:val="17"/>
          <w:szCs w:val="17"/>
          <w:rtl/>
        </w:rPr>
      </w:pPr>
      <w:r w:rsidRPr="005914D3">
        <w:rPr>
          <w:rFonts w:ascii="Tahoma" w:hAnsi="Tahoma" w:cs="Tahoma"/>
          <w:sz w:val="17"/>
          <w:szCs w:val="17"/>
          <w:rtl/>
        </w:rPr>
        <w:t>בעבודת המטה ובתהליך קבלת ההחלטות הנוגעים</w:t>
      </w:r>
      <w:r w:rsidRPr="005914D3">
        <w:rPr>
          <w:rFonts w:ascii="Tahoma" w:hAnsi="Tahoma" w:cs="Tahoma" w:hint="cs"/>
          <w:sz w:val="17"/>
          <w:szCs w:val="17"/>
          <w:rtl/>
        </w:rPr>
        <w:t xml:space="preserve"> </w:t>
      </w:r>
      <w:r w:rsidRPr="005914D3">
        <w:rPr>
          <w:rFonts w:ascii="Tahoma" w:hAnsi="Tahoma" w:cs="Tahoma"/>
          <w:sz w:val="17"/>
          <w:szCs w:val="17"/>
          <w:rtl/>
        </w:rPr>
        <w:t xml:space="preserve">להסדרת האחריות לטיפול בתחום </w:t>
      </w:r>
      <w:r w:rsidRPr="005914D3">
        <w:rPr>
          <w:rFonts w:ascii="Tahoma" w:hAnsi="Tahoma" w:cs="Tahoma"/>
          <w:sz w:val="17"/>
          <w:szCs w:val="17"/>
          <w:rtl/>
        </w:rPr>
        <w:t>הקיברנטי</w:t>
      </w:r>
      <w:r w:rsidRPr="005914D3">
        <w:rPr>
          <w:rFonts w:ascii="Tahoma" w:hAnsi="Tahoma" w:cs="Tahoma"/>
          <w:sz w:val="17"/>
          <w:szCs w:val="17"/>
          <w:rtl/>
        </w:rPr>
        <w:t xml:space="preserve"> במדינת ישראל נפלו כמה ליקויים, בין היתר בהליך גיבוש ואישור מסמך תפיסת ההגנה. כן נמצאו הליקויים הבאים:</w:t>
      </w:r>
      <w:r w:rsidRPr="005914D3">
        <w:rPr>
          <w:rFonts w:ascii="Tahoma" w:hAnsi="Tahoma" w:cs="Tahoma" w:hint="cs"/>
          <w:sz w:val="17"/>
          <w:szCs w:val="17"/>
          <w:rtl/>
        </w:rPr>
        <w:t xml:space="preserve"> </w:t>
      </w:r>
      <w:r w:rsidRPr="005914D3">
        <w:rPr>
          <w:rFonts w:ascii="Tahoma" w:hAnsi="Tahoma" w:cs="Tahoma"/>
          <w:sz w:val="17"/>
          <w:szCs w:val="17"/>
          <w:rtl/>
        </w:rPr>
        <w:t>(1)</w:t>
      </w:r>
      <w:r w:rsidRPr="005914D3">
        <w:rPr>
          <w:rFonts w:ascii="Tahoma" w:hAnsi="Tahoma" w:cs="Tahoma" w:hint="cs"/>
          <w:sz w:val="17"/>
          <w:szCs w:val="17"/>
          <w:rtl/>
        </w:rPr>
        <w:t xml:space="preserve"> </w:t>
      </w:r>
      <w:r w:rsidRPr="005914D3">
        <w:rPr>
          <w:rFonts w:ascii="Tahoma" w:hAnsi="Tahoma" w:cs="Tahoma"/>
          <w:sz w:val="17"/>
          <w:szCs w:val="17"/>
          <w:rtl/>
        </w:rPr>
        <w:t>במסמכים שהוגשו לשרי הממשלה, טרם ישיבת הממשלה, לא הוצגה חלופה נוספת. (2)</w:t>
      </w:r>
      <w:r w:rsidRPr="005914D3">
        <w:rPr>
          <w:rFonts w:ascii="Tahoma" w:hAnsi="Tahoma" w:cs="Tahoma" w:hint="cs"/>
          <w:sz w:val="17"/>
          <w:szCs w:val="17"/>
          <w:rtl/>
        </w:rPr>
        <w:t xml:space="preserve"> </w:t>
      </w:r>
      <w:r w:rsidRPr="005914D3">
        <w:rPr>
          <w:rFonts w:ascii="Tahoma" w:hAnsi="Tahoma" w:cs="Tahoma"/>
          <w:sz w:val="17"/>
          <w:szCs w:val="17"/>
          <w:rtl/>
        </w:rPr>
        <w:t xml:space="preserve">בעבודת המטה לא פורטה העלות של החלופות באשר לגורם שיישא באחריות להגנה על המרחב </w:t>
      </w:r>
      <w:r w:rsidRPr="005914D3">
        <w:rPr>
          <w:rFonts w:ascii="Tahoma" w:hAnsi="Tahoma" w:cs="Tahoma"/>
          <w:sz w:val="17"/>
          <w:szCs w:val="17"/>
          <w:rtl/>
        </w:rPr>
        <w:t>הקיברנטי</w:t>
      </w:r>
      <w:r w:rsidRPr="005914D3">
        <w:rPr>
          <w:rFonts w:ascii="Tahoma" w:hAnsi="Tahoma" w:cs="Tahoma"/>
          <w:sz w:val="17"/>
          <w:szCs w:val="17"/>
          <w:rtl/>
        </w:rPr>
        <w:t xml:space="preserve"> של מדינת ישראל. (3) בהצעות ההחלטה לממשלה ובדברי ההסבר להן לא פורטו מלוא ההוצאה התקציבית הכרוכה ביישומן והמשמעויות של היישום על משק המדינה.</w:t>
      </w:r>
    </w:p>
    <w:p w:rsidR="00E20FA0" w:rsidRPr="005914D3" w:rsidP="002776C9">
      <w:pPr>
        <w:pBdr>
          <w:top w:val="single" w:sz="8" w:space="4" w:color="2A2AA6"/>
          <w:left w:val="single" w:sz="8" w:space="4" w:color="2A2AA6"/>
          <w:right w:val="single" w:sz="8" w:space="4" w:color="2A2AA6"/>
        </w:pBdr>
        <w:spacing w:line="240" w:lineRule="exact"/>
        <w:ind w:left="170" w:right="2268"/>
        <w:jc w:val="both"/>
        <w:rPr>
          <w:rFonts w:ascii="Tahoma" w:hAnsi="Tahoma" w:cs="Tahoma"/>
          <w:sz w:val="17"/>
          <w:szCs w:val="17"/>
          <w:rtl/>
        </w:rPr>
      </w:pPr>
      <w:r w:rsidRPr="005914D3">
        <w:rPr>
          <w:rFonts w:ascii="Tahoma" w:hAnsi="Tahoma" w:cs="Tahoma"/>
          <w:sz w:val="17"/>
          <w:szCs w:val="17"/>
          <w:rtl/>
        </w:rPr>
        <w:t>המטה לא הציג לרה"מ, את המתווה להעברת שטח הפעולה בתחום הפעולות לאבטחת מערכות ממוחשבות חיוניות כהגדרתן בחוק להסדרת הביטחון בגופים ציבוריים, התשנ"ח-1998 (להלן - החוק להסדרת הביטחון), מהשב"כ לרשות, אף שהיה אמור לעשות זאת עד אוגוסט 2015.</w:t>
      </w:r>
    </w:p>
    <w:p w:rsidR="00E20FA0" w:rsidRPr="005914D3" w:rsidP="002776C9">
      <w:pPr>
        <w:pBdr>
          <w:top w:val="single" w:sz="8" w:space="4" w:color="2A2AA6"/>
          <w:left w:val="single" w:sz="8" w:space="4" w:color="2A2AA6"/>
          <w:right w:val="single" w:sz="8" w:space="4" w:color="2A2AA6"/>
        </w:pBdr>
        <w:spacing w:line="240" w:lineRule="exact"/>
        <w:ind w:left="170" w:right="2268"/>
        <w:jc w:val="both"/>
        <w:rPr>
          <w:rFonts w:ascii="Tahoma" w:hAnsi="Tahoma" w:cs="Tahoma"/>
          <w:sz w:val="17"/>
          <w:szCs w:val="17"/>
          <w:rtl/>
        </w:rPr>
      </w:pPr>
      <w:r w:rsidRPr="005914D3">
        <w:rPr>
          <w:rFonts w:ascii="Tahoma" w:hAnsi="Tahoma" w:cs="Tahoma"/>
          <w:sz w:val="17"/>
          <w:szCs w:val="17"/>
          <w:rtl/>
        </w:rPr>
        <w:t>עד תחילת 2016 לא הושלמה הכנת תזכיר חוק הגנת הסייבר, שלפי האמור בהחלטת הממשלה בעניין ההיערכות היה צריך להיות מוגש לרה"מ עד אוגוסט 2015.</w:t>
      </w:r>
    </w:p>
    <w:p w:rsidR="00E20FA0" w:rsidRPr="005914D3" w:rsidP="002776C9">
      <w:pPr>
        <w:pBdr>
          <w:top w:val="single" w:sz="8" w:space="4" w:color="2A2AA6"/>
          <w:left w:val="single" w:sz="8" w:space="4" w:color="2A2AA6"/>
          <w:right w:val="single" w:sz="8" w:space="4" w:color="2A2AA6"/>
        </w:pBdr>
        <w:spacing w:line="240" w:lineRule="exact"/>
        <w:ind w:left="170" w:right="2268"/>
        <w:jc w:val="both"/>
        <w:rPr>
          <w:rFonts w:ascii="Tahoma" w:hAnsi="Tahoma" w:cs="Tahoma"/>
          <w:sz w:val="17"/>
          <w:szCs w:val="17"/>
          <w:rtl/>
        </w:rPr>
      </w:pPr>
      <w:r w:rsidRPr="005914D3">
        <w:rPr>
          <w:rFonts w:ascii="Tahoma" w:hAnsi="Tahoma" w:cs="Tahoma"/>
          <w:sz w:val="17"/>
          <w:szCs w:val="17"/>
          <w:rtl/>
        </w:rPr>
        <w:t xml:space="preserve">המטה הציג דרישה למבנה </w:t>
      </w:r>
      <w:r w:rsidRPr="005914D3">
        <w:rPr>
          <w:rFonts w:ascii="Tahoma" w:hAnsi="Tahoma" w:cs="Tahoma"/>
          <w:sz w:val="17"/>
          <w:szCs w:val="17"/>
          <w:rtl/>
        </w:rPr>
        <w:t>מינהלת</w:t>
      </w:r>
      <w:r w:rsidRPr="005914D3">
        <w:rPr>
          <w:rFonts w:ascii="Tahoma" w:hAnsi="Tahoma" w:cs="Tahoma"/>
          <w:sz w:val="17"/>
          <w:szCs w:val="17"/>
          <w:rtl/>
        </w:rPr>
        <w:t xml:space="preserve"> ההקמה עוד בדצמבר 2014, אולם מבנה כזה טרם אושר סופית. נוסף על כך, עד ינואר 2016 לא הציג המטה הצעה למבנה ארגוני שלם של הרשות, אף שעל פי ההחלטה בעניין ההיערכות, מבנה זה היה אמור להיות מסוכם עם נציבות שירות המדינה</w:t>
      </w:r>
      <w:r w:rsidRPr="005914D3">
        <w:rPr>
          <w:rFonts w:ascii="Tahoma" w:hAnsi="Tahoma" w:cs="Tahoma" w:hint="cs"/>
          <w:sz w:val="17"/>
          <w:szCs w:val="17"/>
          <w:rtl/>
        </w:rPr>
        <w:t xml:space="preserve"> </w:t>
      </w:r>
      <w:r w:rsidRPr="005914D3">
        <w:rPr>
          <w:rFonts w:ascii="Tahoma" w:hAnsi="Tahoma" w:cs="Tahoma"/>
          <w:sz w:val="17"/>
          <w:szCs w:val="17"/>
          <w:rtl/>
        </w:rPr>
        <w:t>ואגף התקציבים</w:t>
      </w:r>
      <w:r w:rsidRPr="005914D3">
        <w:rPr>
          <w:rFonts w:ascii="Tahoma" w:hAnsi="Tahoma" w:cs="Tahoma" w:hint="cs"/>
          <w:sz w:val="17"/>
          <w:szCs w:val="17"/>
          <w:rtl/>
        </w:rPr>
        <w:t xml:space="preserve"> </w:t>
      </w:r>
      <w:r w:rsidRPr="005914D3">
        <w:rPr>
          <w:rFonts w:ascii="Tahoma" w:hAnsi="Tahoma" w:cs="Tahoma"/>
          <w:sz w:val="17"/>
          <w:szCs w:val="17"/>
          <w:rtl/>
        </w:rPr>
        <w:t>במשרד האוצר עד מרץ 2015. ראש הרשות מונה בחלוף כמעט שנה ממועד קבלת ההחלטה בעניין ההיערכות.</w:t>
      </w:r>
    </w:p>
    <w:p w:rsidR="00E20FA0" w:rsidRPr="005914D3" w:rsidP="002776C9">
      <w:pPr>
        <w:pBdr>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12789B">
        <w:rPr>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511935" cy="2711450"/>
                <wp:effectExtent l="0" t="0" r="0" b="0"/>
                <wp:wrapNone/>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1935" cy="2711450"/>
                        </a:xfrm>
                        <a:prstGeom prst="rect">
                          <a:avLst/>
                        </a:prstGeom>
                        <a:noFill/>
                        <a:ln w="9525">
                          <a:noFill/>
                          <a:miter lim="800000"/>
                          <a:headEnd/>
                          <a:tailEnd/>
                        </a:ln>
                      </wps:spPr>
                      <wps:txbx>
                        <w:txbxContent>
                          <w:p w:rsidR="00022325" w:rsidRPr="00373C5D" w:rsidP="0002232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2025237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1733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22325" w:rsidRPr="001762F4" w:rsidP="00022325">
                            <w:pPr>
                              <w:spacing w:after="0" w:line="240" w:lineRule="auto"/>
                              <w:rPr>
                                <w:rFonts w:cs="Tahoma"/>
                                <w:color w:val="0B5294"/>
                                <w:spacing w:val="-4"/>
                                <w:sz w:val="24"/>
                                <w:szCs w:val="24"/>
                                <w:rtl/>
                                <w:cs/>
                              </w:rPr>
                            </w:pPr>
                            <w:r w:rsidRPr="00022325">
                              <w:rPr>
                                <w:rFonts w:cs="Tahoma" w:hint="eastAsia"/>
                                <w:color w:val="0B5294"/>
                                <w:spacing w:val="-4"/>
                                <w:sz w:val="24"/>
                                <w:szCs w:val="24"/>
                                <w:rtl/>
                              </w:rPr>
                              <w:t>תהליך</w:t>
                            </w:r>
                            <w:r w:rsidRPr="00022325">
                              <w:rPr>
                                <w:rFonts w:cs="Tahoma"/>
                                <w:color w:val="0B5294"/>
                                <w:spacing w:val="-4"/>
                                <w:sz w:val="24"/>
                                <w:szCs w:val="24"/>
                                <w:rtl/>
                              </w:rPr>
                              <w:t xml:space="preserve"> </w:t>
                            </w:r>
                            <w:r w:rsidRPr="00022325">
                              <w:rPr>
                                <w:rFonts w:cs="Tahoma" w:hint="eastAsia"/>
                                <w:color w:val="0B5294"/>
                                <w:spacing w:val="-4"/>
                                <w:sz w:val="24"/>
                                <w:szCs w:val="24"/>
                                <w:rtl/>
                              </w:rPr>
                              <w:t>המיפוי</w:t>
                            </w:r>
                            <w:r w:rsidRPr="00022325">
                              <w:rPr>
                                <w:rFonts w:cs="Tahoma"/>
                                <w:color w:val="0B5294"/>
                                <w:spacing w:val="-4"/>
                                <w:sz w:val="24"/>
                                <w:szCs w:val="24"/>
                                <w:rtl/>
                              </w:rPr>
                              <w:t xml:space="preserve"> </w:t>
                            </w:r>
                            <w:r w:rsidRPr="00022325">
                              <w:rPr>
                                <w:rFonts w:cs="Tahoma" w:hint="eastAsia"/>
                                <w:color w:val="0B5294"/>
                                <w:spacing w:val="-4"/>
                                <w:sz w:val="24"/>
                                <w:szCs w:val="24"/>
                                <w:rtl/>
                              </w:rPr>
                              <w:t>של</w:t>
                            </w:r>
                            <w:r w:rsidRPr="00022325">
                              <w:rPr>
                                <w:rFonts w:cs="Tahoma"/>
                                <w:color w:val="0B5294"/>
                                <w:spacing w:val="-4"/>
                                <w:sz w:val="24"/>
                                <w:szCs w:val="24"/>
                                <w:rtl/>
                              </w:rPr>
                              <w:t xml:space="preserve"> </w:t>
                            </w:r>
                            <w:r w:rsidRPr="00022325">
                              <w:rPr>
                                <w:rFonts w:cs="Tahoma" w:hint="eastAsia"/>
                                <w:color w:val="0B5294"/>
                                <w:spacing w:val="-4"/>
                                <w:sz w:val="24"/>
                                <w:szCs w:val="24"/>
                                <w:rtl/>
                              </w:rPr>
                              <w:t>המרחב</w:t>
                            </w:r>
                            <w:r w:rsidRPr="00022325">
                              <w:rPr>
                                <w:rFonts w:cs="Tahoma"/>
                                <w:color w:val="0B5294"/>
                                <w:spacing w:val="-4"/>
                                <w:sz w:val="24"/>
                                <w:szCs w:val="24"/>
                                <w:rtl/>
                              </w:rPr>
                              <w:t xml:space="preserve"> </w:t>
                            </w:r>
                            <w:r w:rsidRPr="00022325">
                              <w:rPr>
                                <w:rFonts w:cs="Tahoma" w:hint="eastAsia"/>
                                <w:color w:val="0B5294"/>
                                <w:spacing w:val="-4"/>
                                <w:sz w:val="24"/>
                                <w:szCs w:val="24"/>
                                <w:rtl/>
                              </w:rPr>
                              <w:t>הקיברנטי</w:t>
                            </w:r>
                            <w:r w:rsidRPr="00022325">
                              <w:rPr>
                                <w:rFonts w:cs="Tahoma"/>
                                <w:color w:val="0B5294"/>
                                <w:spacing w:val="-4"/>
                                <w:sz w:val="24"/>
                                <w:szCs w:val="24"/>
                                <w:rtl/>
                              </w:rPr>
                              <w:t xml:space="preserve"> </w:t>
                            </w:r>
                            <w:r w:rsidRPr="00022325">
                              <w:rPr>
                                <w:rFonts w:cs="Tahoma" w:hint="eastAsia"/>
                                <w:color w:val="0B5294"/>
                                <w:spacing w:val="-4"/>
                                <w:sz w:val="24"/>
                                <w:szCs w:val="24"/>
                                <w:rtl/>
                              </w:rPr>
                              <w:t>הישראלי</w:t>
                            </w:r>
                            <w:r w:rsidRPr="00022325">
                              <w:rPr>
                                <w:rFonts w:cs="Tahoma"/>
                                <w:color w:val="0B5294"/>
                                <w:spacing w:val="-4"/>
                                <w:sz w:val="24"/>
                                <w:szCs w:val="24"/>
                                <w:rtl/>
                              </w:rPr>
                              <w:t xml:space="preserve"> </w:t>
                            </w:r>
                            <w:r w:rsidRPr="00022325">
                              <w:rPr>
                                <w:rFonts w:cs="Tahoma" w:hint="eastAsia"/>
                                <w:color w:val="0B5294"/>
                                <w:spacing w:val="-4"/>
                                <w:sz w:val="24"/>
                                <w:szCs w:val="24"/>
                                <w:rtl/>
                              </w:rPr>
                              <w:t>לא</w:t>
                            </w:r>
                            <w:r w:rsidRPr="00022325">
                              <w:rPr>
                                <w:rFonts w:cs="Tahoma"/>
                                <w:color w:val="0B5294"/>
                                <w:spacing w:val="-4"/>
                                <w:sz w:val="24"/>
                                <w:szCs w:val="24"/>
                                <w:rtl/>
                              </w:rPr>
                              <w:t xml:space="preserve"> </w:t>
                            </w:r>
                            <w:r w:rsidRPr="00022325">
                              <w:rPr>
                                <w:rFonts w:cs="Tahoma" w:hint="eastAsia"/>
                                <w:color w:val="0B5294"/>
                                <w:spacing w:val="-4"/>
                                <w:sz w:val="24"/>
                                <w:szCs w:val="24"/>
                                <w:rtl/>
                              </w:rPr>
                              <w:t>הסתיים</w:t>
                            </w:r>
                            <w:r w:rsidR="00A8118C">
                              <w:rPr>
                                <w:rFonts w:cs="Tahoma" w:hint="cs"/>
                                <w:color w:val="0B5294"/>
                                <w:spacing w:val="-4"/>
                                <w:sz w:val="24"/>
                                <w:szCs w:val="24"/>
                                <w:rtl/>
                              </w:rPr>
                              <w:t>...</w:t>
                            </w:r>
                            <w:r w:rsidRPr="00022325">
                              <w:rPr>
                                <w:rFonts w:cs="Tahoma"/>
                                <w:color w:val="0B5294"/>
                                <w:spacing w:val="-4"/>
                                <w:sz w:val="24"/>
                                <w:szCs w:val="24"/>
                                <w:rtl/>
                              </w:rPr>
                              <w:t xml:space="preserve"> </w:t>
                            </w:r>
                            <w:r w:rsidRPr="00022325">
                              <w:rPr>
                                <w:rFonts w:cs="Tahoma" w:hint="eastAsia"/>
                                <w:color w:val="0B5294"/>
                                <w:spacing w:val="-4"/>
                                <w:sz w:val="24"/>
                                <w:szCs w:val="24"/>
                                <w:rtl/>
                              </w:rPr>
                              <w:t>לפיכך</w:t>
                            </w:r>
                            <w:r w:rsidRPr="00022325">
                              <w:rPr>
                                <w:rFonts w:cs="Tahoma"/>
                                <w:color w:val="0B5294"/>
                                <w:spacing w:val="-4"/>
                                <w:sz w:val="24"/>
                                <w:szCs w:val="24"/>
                                <w:rtl/>
                              </w:rPr>
                              <w:t xml:space="preserve"> </w:t>
                            </w:r>
                            <w:r w:rsidRPr="00022325">
                              <w:rPr>
                                <w:rFonts w:cs="Tahoma" w:hint="eastAsia"/>
                                <w:color w:val="0B5294"/>
                                <w:spacing w:val="-4"/>
                                <w:sz w:val="24"/>
                                <w:szCs w:val="24"/>
                                <w:rtl/>
                              </w:rPr>
                              <w:t>לא</w:t>
                            </w:r>
                            <w:r w:rsidRPr="00022325">
                              <w:rPr>
                                <w:rFonts w:cs="Tahoma"/>
                                <w:color w:val="0B5294"/>
                                <w:spacing w:val="-4"/>
                                <w:sz w:val="24"/>
                                <w:szCs w:val="24"/>
                                <w:rtl/>
                              </w:rPr>
                              <w:t xml:space="preserve"> </w:t>
                            </w:r>
                            <w:r w:rsidRPr="00022325">
                              <w:rPr>
                                <w:rFonts w:cs="Tahoma" w:hint="eastAsia"/>
                                <w:color w:val="0B5294"/>
                                <w:spacing w:val="-4"/>
                                <w:sz w:val="24"/>
                                <w:szCs w:val="24"/>
                                <w:rtl/>
                              </w:rPr>
                              <w:t>היה</w:t>
                            </w:r>
                            <w:r w:rsidRPr="00022325">
                              <w:rPr>
                                <w:rFonts w:cs="Tahoma"/>
                                <w:color w:val="0B5294"/>
                                <w:spacing w:val="-4"/>
                                <w:sz w:val="24"/>
                                <w:szCs w:val="24"/>
                                <w:rtl/>
                              </w:rPr>
                              <w:t xml:space="preserve"> </w:t>
                            </w:r>
                            <w:r w:rsidRPr="00022325">
                              <w:rPr>
                                <w:rFonts w:cs="Tahoma" w:hint="eastAsia"/>
                                <w:color w:val="0B5294"/>
                                <w:spacing w:val="-4"/>
                                <w:sz w:val="24"/>
                                <w:szCs w:val="24"/>
                                <w:rtl/>
                              </w:rPr>
                              <w:t>בידי</w:t>
                            </w:r>
                            <w:r w:rsidRPr="00022325">
                              <w:rPr>
                                <w:rFonts w:cs="Tahoma"/>
                                <w:color w:val="0B5294"/>
                                <w:spacing w:val="-4"/>
                                <w:sz w:val="24"/>
                                <w:szCs w:val="24"/>
                                <w:rtl/>
                              </w:rPr>
                              <w:t xml:space="preserve"> </w:t>
                            </w:r>
                            <w:r w:rsidRPr="00022325">
                              <w:rPr>
                                <w:rFonts w:cs="Tahoma" w:hint="eastAsia"/>
                                <w:color w:val="0B5294"/>
                                <w:spacing w:val="-4"/>
                                <w:sz w:val="24"/>
                                <w:szCs w:val="24"/>
                                <w:rtl/>
                              </w:rPr>
                              <w:t>מטה</w:t>
                            </w:r>
                            <w:r w:rsidRPr="00022325">
                              <w:rPr>
                                <w:rFonts w:cs="Tahoma"/>
                                <w:color w:val="0B5294"/>
                                <w:spacing w:val="-4"/>
                                <w:sz w:val="24"/>
                                <w:szCs w:val="24"/>
                                <w:rtl/>
                              </w:rPr>
                              <w:t xml:space="preserve"> </w:t>
                            </w:r>
                            <w:r w:rsidRPr="00022325">
                              <w:rPr>
                                <w:rFonts w:cs="Tahoma" w:hint="eastAsia"/>
                                <w:color w:val="0B5294"/>
                                <w:spacing w:val="-4"/>
                                <w:sz w:val="24"/>
                                <w:szCs w:val="24"/>
                                <w:rtl/>
                              </w:rPr>
                              <w:t>הסייבר</w:t>
                            </w:r>
                            <w:r w:rsidRPr="00022325">
                              <w:rPr>
                                <w:rFonts w:cs="Tahoma"/>
                                <w:color w:val="0B5294"/>
                                <w:spacing w:val="-4"/>
                                <w:sz w:val="24"/>
                                <w:szCs w:val="24"/>
                                <w:rtl/>
                              </w:rPr>
                              <w:t xml:space="preserve"> </w:t>
                            </w:r>
                            <w:r w:rsidRPr="00022325">
                              <w:rPr>
                                <w:rFonts w:cs="Tahoma" w:hint="eastAsia"/>
                                <w:color w:val="0B5294"/>
                                <w:spacing w:val="-4"/>
                                <w:sz w:val="24"/>
                                <w:szCs w:val="24"/>
                                <w:rtl/>
                              </w:rPr>
                              <w:t>מיפוי</w:t>
                            </w:r>
                            <w:r w:rsidRPr="00022325">
                              <w:rPr>
                                <w:rFonts w:cs="Tahoma"/>
                                <w:color w:val="0B5294"/>
                                <w:spacing w:val="-4"/>
                                <w:sz w:val="24"/>
                                <w:szCs w:val="24"/>
                                <w:rtl/>
                              </w:rPr>
                              <w:t xml:space="preserve"> </w:t>
                            </w:r>
                            <w:r w:rsidRPr="00022325">
                              <w:rPr>
                                <w:rFonts w:cs="Tahoma" w:hint="eastAsia"/>
                                <w:color w:val="0B5294"/>
                                <w:spacing w:val="-4"/>
                                <w:sz w:val="24"/>
                                <w:szCs w:val="24"/>
                                <w:rtl/>
                              </w:rPr>
                              <w:t>שיאפשר</w:t>
                            </w:r>
                            <w:r w:rsidRPr="00022325">
                              <w:rPr>
                                <w:rFonts w:cs="Tahoma"/>
                                <w:color w:val="0B5294"/>
                                <w:spacing w:val="-4"/>
                                <w:sz w:val="24"/>
                                <w:szCs w:val="24"/>
                                <w:rtl/>
                              </w:rPr>
                              <w:t xml:space="preserve"> </w:t>
                            </w:r>
                            <w:r w:rsidRPr="00022325">
                              <w:rPr>
                                <w:rFonts w:cs="Tahoma" w:hint="eastAsia"/>
                                <w:color w:val="0B5294"/>
                                <w:spacing w:val="-4"/>
                                <w:sz w:val="24"/>
                                <w:szCs w:val="24"/>
                                <w:rtl/>
                              </w:rPr>
                              <w:t>לקבוע</w:t>
                            </w:r>
                            <w:r w:rsidRPr="00022325">
                              <w:rPr>
                                <w:rFonts w:cs="Tahoma"/>
                                <w:color w:val="0B5294"/>
                                <w:spacing w:val="-4"/>
                                <w:sz w:val="24"/>
                                <w:szCs w:val="24"/>
                                <w:rtl/>
                              </w:rPr>
                              <w:t xml:space="preserve"> </w:t>
                            </w:r>
                            <w:r w:rsidRPr="00022325">
                              <w:rPr>
                                <w:rFonts w:cs="Tahoma" w:hint="eastAsia"/>
                                <w:color w:val="0B5294"/>
                                <w:spacing w:val="-4"/>
                                <w:sz w:val="24"/>
                                <w:szCs w:val="24"/>
                                <w:rtl/>
                              </w:rPr>
                              <w:t>מי</w:t>
                            </w:r>
                            <w:r w:rsidRPr="00022325">
                              <w:rPr>
                                <w:rFonts w:cs="Tahoma"/>
                                <w:color w:val="0B5294"/>
                                <w:spacing w:val="-4"/>
                                <w:sz w:val="24"/>
                                <w:szCs w:val="24"/>
                                <w:rtl/>
                              </w:rPr>
                              <w:t xml:space="preserve"> </w:t>
                            </w:r>
                            <w:r w:rsidRPr="00022325">
                              <w:rPr>
                                <w:rFonts w:cs="Tahoma" w:hint="eastAsia"/>
                                <w:color w:val="0B5294"/>
                                <w:spacing w:val="-4"/>
                                <w:sz w:val="24"/>
                                <w:szCs w:val="24"/>
                                <w:rtl/>
                              </w:rPr>
                              <w:t>הם</w:t>
                            </w:r>
                            <w:r w:rsidRPr="00022325">
                              <w:rPr>
                                <w:rFonts w:cs="Tahoma"/>
                                <w:color w:val="0B5294"/>
                                <w:spacing w:val="-4"/>
                                <w:sz w:val="24"/>
                                <w:szCs w:val="24"/>
                                <w:rtl/>
                              </w:rPr>
                              <w:t xml:space="preserve"> </w:t>
                            </w:r>
                            <w:r w:rsidRPr="00022325">
                              <w:rPr>
                                <w:rFonts w:cs="Tahoma" w:hint="eastAsia"/>
                                <w:color w:val="0B5294"/>
                                <w:spacing w:val="-4"/>
                                <w:sz w:val="24"/>
                                <w:szCs w:val="24"/>
                                <w:rtl/>
                              </w:rPr>
                              <w:t>הגופים</w:t>
                            </w:r>
                            <w:r w:rsidRPr="00022325">
                              <w:rPr>
                                <w:rFonts w:cs="Tahoma"/>
                                <w:color w:val="0B5294"/>
                                <w:spacing w:val="-4"/>
                                <w:sz w:val="24"/>
                                <w:szCs w:val="24"/>
                                <w:rtl/>
                              </w:rPr>
                              <w:t xml:space="preserve"> </w:t>
                            </w:r>
                            <w:r w:rsidRPr="00022325">
                              <w:rPr>
                                <w:rFonts w:cs="Tahoma" w:hint="eastAsia"/>
                                <w:color w:val="0B5294"/>
                                <w:spacing w:val="-4"/>
                                <w:sz w:val="24"/>
                                <w:szCs w:val="24"/>
                                <w:rtl/>
                              </w:rPr>
                              <w:t>במרחב</w:t>
                            </w:r>
                            <w:r w:rsidRPr="00022325">
                              <w:rPr>
                                <w:rFonts w:cs="Tahoma"/>
                                <w:color w:val="0B5294"/>
                                <w:spacing w:val="-4"/>
                                <w:sz w:val="24"/>
                                <w:szCs w:val="24"/>
                                <w:rtl/>
                              </w:rPr>
                              <w:t xml:space="preserve"> </w:t>
                            </w:r>
                            <w:r w:rsidRPr="00022325">
                              <w:rPr>
                                <w:rFonts w:cs="Tahoma" w:hint="eastAsia"/>
                                <w:color w:val="0B5294"/>
                                <w:spacing w:val="-4"/>
                                <w:sz w:val="24"/>
                                <w:szCs w:val="24"/>
                                <w:rtl/>
                              </w:rPr>
                              <w:t>הקיברנטי</w:t>
                            </w:r>
                            <w:r w:rsidRPr="00022325">
                              <w:rPr>
                                <w:rFonts w:cs="Tahoma"/>
                                <w:color w:val="0B5294"/>
                                <w:spacing w:val="-4"/>
                                <w:sz w:val="24"/>
                                <w:szCs w:val="24"/>
                                <w:rtl/>
                              </w:rPr>
                              <w:t xml:space="preserve"> </w:t>
                            </w:r>
                            <w:r w:rsidRPr="00022325">
                              <w:rPr>
                                <w:rFonts w:cs="Tahoma" w:hint="eastAsia"/>
                                <w:color w:val="0B5294"/>
                                <w:spacing w:val="-4"/>
                                <w:sz w:val="24"/>
                                <w:szCs w:val="24"/>
                                <w:rtl/>
                              </w:rPr>
                              <w:t>האזרחי</w:t>
                            </w:r>
                            <w:r w:rsidRPr="00022325">
                              <w:rPr>
                                <w:rFonts w:cs="Tahoma"/>
                                <w:color w:val="0B5294"/>
                                <w:spacing w:val="-4"/>
                                <w:sz w:val="24"/>
                                <w:szCs w:val="24"/>
                                <w:rtl/>
                              </w:rPr>
                              <w:t xml:space="preserve"> </w:t>
                            </w:r>
                            <w:r w:rsidRPr="00022325">
                              <w:rPr>
                                <w:rFonts w:cs="Tahoma" w:hint="eastAsia"/>
                                <w:color w:val="0B5294"/>
                                <w:spacing w:val="-4"/>
                                <w:sz w:val="24"/>
                                <w:szCs w:val="24"/>
                                <w:rtl/>
                              </w:rPr>
                              <w:t>הטעונים</w:t>
                            </w:r>
                            <w:r w:rsidRPr="00022325">
                              <w:rPr>
                                <w:rFonts w:cs="Tahoma"/>
                                <w:color w:val="0B5294"/>
                                <w:spacing w:val="-4"/>
                                <w:sz w:val="24"/>
                                <w:szCs w:val="24"/>
                                <w:rtl/>
                              </w:rPr>
                              <w:t xml:space="preserve"> </w:t>
                            </w:r>
                            <w:r w:rsidRPr="00022325">
                              <w:rPr>
                                <w:rFonts w:cs="Tahoma" w:hint="eastAsia"/>
                                <w:color w:val="0B5294"/>
                                <w:spacing w:val="-4"/>
                                <w:sz w:val="24"/>
                                <w:szCs w:val="24"/>
                                <w:rtl/>
                              </w:rPr>
                              <w:t>הגנה</w:t>
                            </w:r>
                          </w:p>
                          <w:p w:rsidR="00022325" w:rsidRPr="00373C5D" w:rsidP="0002232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1978930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575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9.05pt;height:213.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022325" w:rsidRPr="00373C5D" w:rsidP="00022325">
                      <w:pPr>
                        <w:spacing w:line="240" w:lineRule="atLeast"/>
                        <w:rPr>
                          <w:rFonts w:cs="Tahoma"/>
                          <w:b/>
                          <w:bCs/>
                          <w:color w:val="0B5294"/>
                          <w:sz w:val="48"/>
                          <w:szCs w:val="48"/>
                          <w:rtl/>
                        </w:rPr>
                      </w:pPr>
                      <w:drawing>
                        <wp:inline distT="0" distB="0" distL="0" distR="0">
                          <wp:extent cx="311150" cy="256800"/>
                          <wp:effectExtent l="0" t="0" r="0" b="0"/>
                          <wp:docPr id="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4143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22325" w:rsidRPr="001762F4" w:rsidP="00022325">
                      <w:pPr>
                        <w:spacing w:after="0" w:line="240" w:lineRule="auto"/>
                        <w:rPr>
                          <w:rFonts w:cs="Tahoma"/>
                          <w:color w:val="0B5294"/>
                          <w:spacing w:val="-4"/>
                          <w:sz w:val="24"/>
                          <w:szCs w:val="24"/>
                          <w:rtl/>
                          <w:cs/>
                        </w:rPr>
                      </w:pPr>
                      <w:r w:rsidRPr="00022325">
                        <w:rPr>
                          <w:rFonts w:cs="Tahoma" w:hint="eastAsia"/>
                          <w:color w:val="0B5294"/>
                          <w:spacing w:val="-4"/>
                          <w:sz w:val="24"/>
                          <w:szCs w:val="24"/>
                          <w:rtl/>
                        </w:rPr>
                        <w:t>תהליך</w:t>
                      </w:r>
                      <w:r w:rsidRPr="00022325">
                        <w:rPr>
                          <w:rFonts w:cs="Tahoma"/>
                          <w:color w:val="0B5294"/>
                          <w:spacing w:val="-4"/>
                          <w:sz w:val="24"/>
                          <w:szCs w:val="24"/>
                          <w:rtl/>
                        </w:rPr>
                        <w:t xml:space="preserve"> </w:t>
                      </w:r>
                      <w:r w:rsidRPr="00022325">
                        <w:rPr>
                          <w:rFonts w:cs="Tahoma" w:hint="eastAsia"/>
                          <w:color w:val="0B5294"/>
                          <w:spacing w:val="-4"/>
                          <w:sz w:val="24"/>
                          <w:szCs w:val="24"/>
                          <w:rtl/>
                        </w:rPr>
                        <w:t>המיפוי</w:t>
                      </w:r>
                      <w:r w:rsidRPr="00022325">
                        <w:rPr>
                          <w:rFonts w:cs="Tahoma"/>
                          <w:color w:val="0B5294"/>
                          <w:spacing w:val="-4"/>
                          <w:sz w:val="24"/>
                          <w:szCs w:val="24"/>
                          <w:rtl/>
                        </w:rPr>
                        <w:t xml:space="preserve"> </w:t>
                      </w:r>
                      <w:r w:rsidRPr="00022325">
                        <w:rPr>
                          <w:rFonts w:cs="Tahoma" w:hint="eastAsia"/>
                          <w:color w:val="0B5294"/>
                          <w:spacing w:val="-4"/>
                          <w:sz w:val="24"/>
                          <w:szCs w:val="24"/>
                          <w:rtl/>
                        </w:rPr>
                        <w:t>של</w:t>
                      </w:r>
                      <w:r w:rsidRPr="00022325">
                        <w:rPr>
                          <w:rFonts w:cs="Tahoma"/>
                          <w:color w:val="0B5294"/>
                          <w:spacing w:val="-4"/>
                          <w:sz w:val="24"/>
                          <w:szCs w:val="24"/>
                          <w:rtl/>
                        </w:rPr>
                        <w:t xml:space="preserve"> </w:t>
                      </w:r>
                      <w:r w:rsidRPr="00022325">
                        <w:rPr>
                          <w:rFonts w:cs="Tahoma" w:hint="eastAsia"/>
                          <w:color w:val="0B5294"/>
                          <w:spacing w:val="-4"/>
                          <w:sz w:val="24"/>
                          <w:szCs w:val="24"/>
                          <w:rtl/>
                        </w:rPr>
                        <w:t>המרחב</w:t>
                      </w:r>
                      <w:r w:rsidRPr="00022325">
                        <w:rPr>
                          <w:rFonts w:cs="Tahoma"/>
                          <w:color w:val="0B5294"/>
                          <w:spacing w:val="-4"/>
                          <w:sz w:val="24"/>
                          <w:szCs w:val="24"/>
                          <w:rtl/>
                        </w:rPr>
                        <w:t xml:space="preserve"> </w:t>
                      </w:r>
                      <w:r w:rsidRPr="00022325">
                        <w:rPr>
                          <w:rFonts w:cs="Tahoma" w:hint="eastAsia"/>
                          <w:color w:val="0B5294"/>
                          <w:spacing w:val="-4"/>
                          <w:sz w:val="24"/>
                          <w:szCs w:val="24"/>
                          <w:rtl/>
                        </w:rPr>
                        <w:t>הקיברנטי</w:t>
                      </w:r>
                      <w:r w:rsidRPr="00022325">
                        <w:rPr>
                          <w:rFonts w:cs="Tahoma"/>
                          <w:color w:val="0B5294"/>
                          <w:spacing w:val="-4"/>
                          <w:sz w:val="24"/>
                          <w:szCs w:val="24"/>
                          <w:rtl/>
                        </w:rPr>
                        <w:t xml:space="preserve"> </w:t>
                      </w:r>
                      <w:r w:rsidRPr="00022325">
                        <w:rPr>
                          <w:rFonts w:cs="Tahoma" w:hint="eastAsia"/>
                          <w:color w:val="0B5294"/>
                          <w:spacing w:val="-4"/>
                          <w:sz w:val="24"/>
                          <w:szCs w:val="24"/>
                          <w:rtl/>
                        </w:rPr>
                        <w:t>הישראלי</w:t>
                      </w:r>
                      <w:r w:rsidRPr="00022325">
                        <w:rPr>
                          <w:rFonts w:cs="Tahoma"/>
                          <w:color w:val="0B5294"/>
                          <w:spacing w:val="-4"/>
                          <w:sz w:val="24"/>
                          <w:szCs w:val="24"/>
                          <w:rtl/>
                        </w:rPr>
                        <w:t xml:space="preserve"> </w:t>
                      </w:r>
                      <w:r w:rsidRPr="00022325">
                        <w:rPr>
                          <w:rFonts w:cs="Tahoma" w:hint="eastAsia"/>
                          <w:color w:val="0B5294"/>
                          <w:spacing w:val="-4"/>
                          <w:sz w:val="24"/>
                          <w:szCs w:val="24"/>
                          <w:rtl/>
                        </w:rPr>
                        <w:t>לא</w:t>
                      </w:r>
                      <w:r w:rsidRPr="00022325">
                        <w:rPr>
                          <w:rFonts w:cs="Tahoma"/>
                          <w:color w:val="0B5294"/>
                          <w:spacing w:val="-4"/>
                          <w:sz w:val="24"/>
                          <w:szCs w:val="24"/>
                          <w:rtl/>
                        </w:rPr>
                        <w:t xml:space="preserve"> </w:t>
                      </w:r>
                      <w:r w:rsidRPr="00022325">
                        <w:rPr>
                          <w:rFonts w:cs="Tahoma" w:hint="eastAsia"/>
                          <w:color w:val="0B5294"/>
                          <w:spacing w:val="-4"/>
                          <w:sz w:val="24"/>
                          <w:szCs w:val="24"/>
                          <w:rtl/>
                        </w:rPr>
                        <w:t>הסתיים</w:t>
                      </w:r>
                      <w:r w:rsidR="00A8118C">
                        <w:rPr>
                          <w:rFonts w:cs="Tahoma" w:hint="cs"/>
                          <w:color w:val="0B5294"/>
                          <w:spacing w:val="-4"/>
                          <w:sz w:val="24"/>
                          <w:szCs w:val="24"/>
                          <w:rtl/>
                        </w:rPr>
                        <w:t>...</w:t>
                      </w:r>
                      <w:r w:rsidRPr="00022325">
                        <w:rPr>
                          <w:rFonts w:cs="Tahoma"/>
                          <w:color w:val="0B5294"/>
                          <w:spacing w:val="-4"/>
                          <w:sz w:val="24"/>
                          <w:szCs w:val="24"/>
                          <w:rtl/>
                        </w:rPr>
                        <w:t xml:space="preserve"> </w:t>
                      </w:r>
                      <w:r w:rsidRPr="00022325">
                        <w:rPr>
                          <w:rFonts w:cs="Tahoma" w:hint="eastAsia"/>
                          <w:color w:val="0B5294"/>
                          <w:spacing w:val="-4"/>
                          <w:sz w:val="24"/>
                          <w:szCs w:val="24"/>
                          <w:rtl/>
                        </w:rPr>
                        <w:t>לפיכך</w:t>
                      </w:r>
                      <w:r w:rsidRPr="00022325">
                        <w:rPr>
                          <w:rFonts w:cs="Tahoma"/>
                          <w:color w:val="0B5294"/>
                          <w:spacing w:val="-4"/>
                          <w:sz w:val="24"/>
                          <w:szCs w:val="24"/>
                          <w:rtl/>
                        </w:rPr>
                        <w:t xml:space="preserve"> </w:t>
                      </w:r>
                      <w:r w:rsidRPr="00022325">
                        <w:rPr>
                          <w:rFonts w:cs="Tahoma" w:hint="eastAsia"/>
                          <w:color w:val="0B5294"/>
                          <w:spacing w:val="-4"/>
                          <w:sz w:val="24"/>
                          <w:szCs w:val="24"/>
                          <w:rtl/>
                        </w:rPr>
                        <w:t>לא</w:t>
                      </w:r>
                      <w:r w:rsidRPr="00022325">
                        <w:rPr>
                          <w:rFonts w:cs="Tahoma"/>
                          <w:color w:val="0B5294"/>
                          <w:spacing w:val="-4"/>
                          <w:sz w:val="24"/>
                          <w:szCs w:val="24"/>
                          <w:rtl/>
                        </w:rPr>
                        <w:t xml:space="preserve"> </w:t>
                      </w:r>
                      <w:r w:rsidRPr="00022325">
                        <w:rPr>
                          <w:rFonts w:cs="Tahoma" w:hint="eastAsia"/>
                          <w:color w:val="0B5294"/>
                          <w:spacing w:val="-4"/>
                          <w:sz w:val="24"/>
                          <w:szCs w:val="24"/>
                          <w:rtl/>
                        </w:rPr>
                        <w:t>היה</w:t>
                      </w:r>
                      <w:r w:rsidRPr="00022325">
                        <w:rPr>
                          <w:rFonts w:cs="Tahoma"/>
                          <w:color w:val="0B5294"/>
                          <w:spacing w:val="-4"/>
                          <w:sz w:val="24"/>
                          <w:szCs w:val="24"/>
                          <w:rtl/>
                        </w:rPr>
                        <w:t xml:space="preserve"> </w:t>
                      </w:r>
                      <w:r w:rsidRPr="00022325">
                        <w:rPr>
                          <w:rFonts w:cs="Tahoma" w:hint="eastAsia"/>
                          <w:color w:val="0B5294"/>
                          <w:spacing w:val="-4"/>
                          <w:sz w:val="24"/>
                          <w:szCs w:val="24"/>
                          <w:rtl/>
                        </w:rPr>
                        <w:t>בידי</w:t>
                      </w:r>
                      <w:r w:rsidRPr="00022325">
                        <w:rPr>
                          <w:rFonts w:cs="Tahoma"/>
                          <w:color w:val="0B5294"/>
                          <w:spacing w:val="-4"/>
                          <w:sz w:val="24"/>
                          <w:szCs w:val="24"/>
                          <w:rtl/>
                        </w:rPr>
                        <w:t xml:space="preserve"> </w:t>
                      </w:r>
                      <w:r w:rsidRPr="00022325">
                        <w:rPr>
                          <w:rFonts w:cs="Tahoma" w:hint="eastAsia"/>
                          <w:color w:val="0B5294"/>
                          <w:spacing w:val="-4"/>
                          <w:sz w:val="24"/>
                          <w:szCs w:val="24"/>
                          <w:rtl/>
                        </w:rPr>
                        <w:t>מטה</w:t>
                      </w:r>
                      <w:r w:rsidRPr="00022325">
                        <w:rPr>
                          <w:rFonts w:cs="Tahoma"/>
                          <w:color w:val="0B5294"/>
                          <w:spacing w:val="-4"/>
                          <w:sz w:val="24"/>
                          <w:szCs w:val="24"/>
                          <w:rtl/>
                        </w:rPr>
                        <w:t xml:space="preserve"> </w:t>
                      </w:r>
                      <w:r w:rsidRPr="00022325">
                        <w:rPr>
                          <w:rFonts w:cs="Tahoma" w:hint="eastAsia"/>
                          <w:color w:val="0B5294"/>
                          <w:spacing w:val="-4"/>
                          <w:sz w:val="24"/>
                          <w:szCs w:val="24"/>
                          <w:rtl/>
                        </w:rPr>
                        <w:t>הסייבר</w:t>
                      </w:r>
                      <w:r w:rsidRPr="00022325">
                        <w:rPr>
                          <w:rFonts w:cs="Tahoma"/>
                          <w:color w:val="0B5294"/>
                          <w:spacing w:val="-4"/>
                          <w:sz w:val="24"/>
                          <w:szCs w:val="24"/>
                          <w:rtl/>
                        </w:rPr>
                        <w:t xml:space="preserve"> </w:t>
                      </w:r>
                      <w:r w:rsidRPr="00022325">
                        <w:rPr>
                          <w:rFonts w:cs="Tahoma" w:hint="eastAsia"/>
                          <w:color w:val="0B5294"/>
                          <w:spacing w:val="-4"/>
                          <w:sz w:val="24"/>
                          <w:szCs w:val="24"/>
                          <w:rtl/>
                        </w:rPr>
                        <w:t>מיפוי</w:t>
                      </w:r>
                      <w:r w:rsidRPr="00022325">
                        <w:rPr>
                          <w:rFonts w:cs="Tahoma"/>
                          <w:color w:val="0B5294"/>
                          <w:spacing w:val="-4"/>
                          <w:sz w:val="24"/>
                          <w:szCs w:val="24"/>
                          <w:rtl/>
                        </w:rPr>
                        <w:t xml:space="preserve"> </w:t>
                      </w:r>
                      <w:r w:rsidRPr="00022325">
                        <w:rPr>
                          <w:rFonts w:cs="Tahoma" w:hint="eastAsia"/>
                          <w:color w:val="0B5294"/>
                          <w:spacing w:val="-4"/>
                          <w:sz w:val="24"/>
                          <w:szCs w:val="24"/>
                          <w:rtl/>
                        </w:rPr>
                        <w:t>שיאפשר</w:t>
                      </w:r>
                      <w:r w:rsidRPr="00022325">
                        <w:rPr>
                          <w:rFonts w:cs="Tahoma"/>
                          <w:color w:val="0B5294"/>
                          <w:spacing w:val="-4"/>
                          <w:sz w:val="24"/>
                          <w:szCs w:val="24"/>
                          <w:rtl/>
                        </w:rPr>
                        <w:t xml:space="preserve"> </w:t>
                      </w:r>
                      <w:r w:rsidRPr="00022325">
                        <w:rPr>
                          <w:rFonts w:cs="Tahoma" w:hint="eastAsia"/>
                          <w:color w:val="0B5294"/>
                          <w:spacing w:val="-4"/>
                          <w:sz w:val="24"/>
                          <w:szCs w:val="24"/>
                          <w:rtl/>
                        </w:rPr>
                        <w:t>לקבוע</w:t>
                      </w:r>
                      <w:r w:rsidRPr="00022325">
                        <w:rPr>
                          <w:rFonts w:cs="Tahoma"/>
                          <w:color w:val="0B5294"/>
                          <w:spacing w:val="-4"/>
                          <w:sz w:val="24"/>
                          <w:szCs w:val="24"/>
                          <w:rtl/>
                        </w:rPr>
                        <w:t xml:space="preserve"> </w:t>
                      </w:r>
                      <w:r w:rsidRPr="00022325">
                        <w:rPr>
                          <w:rFonts w:cs="Tahoma" w:hint="eastAsia"/>
                          <w:color w:val="0B5294"/>
                          <w:spacing w:val="-4"/>
                          <w:sz w:val="24"/>
                          <w:szCs w:val="24"/>
                          <w:rtl/>
                        </w:rPr>
                        <w:t>מי</w:t>
                      </w:r>
                      <w:r w:rsidRPr="00022325">
                        <w:rPr>
                          <w:rFonts w:cs="Tahoma"/>
                          <w:color w:val="0B5294"/>
                          <w:spacing w:val="-4"/>
                          <w:sz w:val="24"/>
                          <w:szCs w:val="24"/>
                          <w:rtl/>
                        </w:rPr>
                        <w:t xml:space="preserve"> </w:t>
                      </w:r>
                      <w:r w:rsidRPr="00022325">
                        <w:rPr>
                          <w:rFonts w:cs="Tahoma" w:hint="eastAsia"/>
                          <w:color w:val="0B5294"/>
                          <w:spacing w:val="-4"/>
                          <w:sz w:val="24"/>
                          <w:szCs w:val="24"/>
                          <w:rtl/>
                        </w:rPr>
                        <w:t>הם</w:t>
                      </w:r>
                      <w:r w:rsidRPr="00022325">
                        <w:rPr>
                          <w:rFonts w:cs="Tahoma"/>
                          <w:color w:val="0B5294"/>
                          <w:spacing w:val="-4"/>
                          <w:sz w:val="24"/>
                          <w:szCs w:val="24"/>
                          <w:rtl/>
                        </w:rPr>
                        <w:t xml:space="preserve"> </w:t>
                      </w:r>
                      <w:r w:rsidRPr="00022325">
                        <w:rPr>
                          <w:rFonts w:cs="Tahoma" w:hint="eastAsia"/>
                          <w:color w:val="0B5294"/>
                          <w:spacing w:val="-4"/>
                          <w:sz w:val="24"/>
                          <w:szCs w:val="24"/>
                          <w:rtl/>
                        </w:rPr>
                        <w:t>הגופים</w:t>
                      </w:r>
                      <w:r w:rsidRPr="00022325">
                        <w:rPr>
                          <w:rFonts w:cs="Tahoma"/>
                          <w:color w:val="0B5294"/>
                          <w:spacing w:val="-4"/>
                          <w:sz w:val="24"/>
                          <w:szCs w:val="24"/>
                          <w:rtl/>
                        </w:rPr>
                        <w:t xml:space="preserve"> </w:t>
                      </w:r>
                      <w:r w:rsidRPr="00022325">
                        <w:rPr>
                          <w:rFonts w:cs="Tahoma" w:hint="eastAsia"/>
                          <w:color w:val="0B5294"/>
                          <w:spacing w:val="-4"/>
                          <w:sz w:val="24"/>
                          <w:szCs w:val="24"/>
                          <w:rtl/>
                        </w:rPr>
                        <w:t>במרחב</w:t>
                      </w:r>
                      <w:r w:rsidRPr="00022325">
                        <w:rPr>
                          <w:rFonts w:cs="Tahoma"/>
                          <w:color w:val="0B5294"/>
                          <w:spacing w:val="-4"/>
                          <w:sz w:val="24"/>
                          <w:szCs w:val="24"/>
                          <w:rtl/>
                        </w:rPr>
                        <w:t xml:space="preserve"> </w:t>
                      </w:r>
                      <w:r w:rsidRPr="00022325">
                        <w:rPr>
                          <w:rFonts w:cs="Tahoma" w:hint="eastAsia"/>
                          <w:color w:val="0B5294"/>
                          <w:spacing w:val="-4"/>
                          <w:sz w:val="24"/>
                          <w:szCs w:val="24"/>
                          <w:rtl/>
                        </w:rPr>
                        <w:t>הקיברנטי</w:t>
                      </w:r>
                      <w:r w:rsidRPr="00022325">
                        <w:rPr>
                          <w:rFonts w:cs="Tahoma"/>
                          <w:color w:val="0B5294"/>
                          <w:spacing w:val="-4"/>
                          <w:sz w:val="24"/>
                          <w:szCs w:val="24"/>
                          <w:rtl/>
                        </w:rPr>
                        <w:t xml:space="preserve"> </w:t>
                      </w:r>
                      <w:r w:rsidRPr="00022325">
                        <w:rPr>
                          <w:rFonts w:cs="Tahoma" w:hint="eastAsia"/>
                          <w:color w:val="0B5294"/>
                          <w:spacing w:val="-4"/>
                          <w:sz w:val="24"/>
                          <w:szCs w:val="24"/>
                          <w:rtl/>
                        </w:rPr>
                        <w:t>האזרחי</w:t>
                      </w:r>
                      <w:r w:rsidRPr="00022325">
                        <w:rPr>
                          <w:rFonts w:cs="Tahoma"/>
                          <w:color w:val="0B5294"/>
                          <w:spacing w:val="-4"/>
                          <w:sz w:val="24"/>
                          <w:szCs w:val="24"/>
                          <w:rtl/>
                        </w:rPr>
                        <w:t xml:space="preserve"> </w:t>
                      </w:r>
                      <w:r w:rsidRPr="00022325">
                        <w:rPr>
                          <w:rFonts w:cs="Tahoma" w:hint="eastAsia"/>
                          <w:color w:val="0B5294"/>
                          <w:spacing w:val="-4"/>
                          <w:sz w:val="24"/>
                          <w:szCs w:val="24"/>
                          <w:rtl/>
                        </w:rPr>
                        <w:t>הטעונים</w:t>
                      </w:r>
                      <w:r w:rsidRPr="00022325">
                        <w:rPr>
                          <w:rFonts w:cs="Tahoma"/>
                          <w:color w:val="0B5294"/>
                          <w:spacing w:val="-4"/>
                          <w:sz w:val="24"/>
                          <w:szCs w:val="24"/>
                          <w:rtl/>
                        </w:rPr>
                        <w:t xml:space="preserve"> </w:t>
                      </w:r>
                      <w:r w:rsidRPr="00022325">
                        <w:rPr>
                          <w:rFonts w:cs="Tahoma" w:hint="eastAsia"/>
                          <w:color w:val="0B5294"/>
                          <w:spacing w:val="-4"/>
                          <w:sz w:val="24"/>
                          <w:szCs w:val="24"/>
                          <w:rtl/>
                        </w:rPr>
                        <w:t>הגנה</w:t>
                      </w:r>
                    </w:p>
                    <w:p w:rsidR="00022325" w:rsidRPr="00373C5D" w:rsidP="00022325">
                      <w:pPr>
                        <w:spacing w:before="120" w:after="0" w:line="240" w:lineRule="atLeast"/>
                        <w:rPr>
                          <w:rFonts w:cs="Tahoma"/>
                          <w:b/>
                          <w:bCs/>
                          <w:color w:val="0B5294"/>
                          <w:sz w:val="48"/>
                          <w:szCs w:val="48"/>
                          <w:rtl/>
                        </w:rPr>
                      </w:pPr>
                      <w:drawing>
                        <wp:inline distT="0" distB="0" distL="0" distR="0">
                          <wp:extent cx="288000" cy="31337"/>
                          <wp:effectExtent l="0" t="0" r="0" b="6985"/>
                          <wp:docPr id="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179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5914D3" w:rsidR="00E20FA0">
        <w:rPr>
          <w:rFonts w:ascii="Tahoma" w:hAnsi="Tahoma" w:cs="Tahoma"/>
          <w:sz w:val="17"/>
          <w:szCs w:val="17"/>
          <w:rtl/>
        </w:rPr>
        <w:t>ועדת השירות בנציבות שירות המדינה</w:t>
      </w:r>
      <w:r w:rsidRPr="005914D3" w:rsidR="00E20FA0">
        <w:rPr>
          <w:rFonts w:ascii="Tahoma" w:hAnsi="Tahoma" w:cs="Tahoma" w:hint="cs"/>
          <w:sz w:val="17"/>
          <w:szCs w:val="17"/>
          <w:rtl/>
        </w:rPr>
        <w:t xml:space="preserve"> </w:t>
      </w:r>
      <w:r w:rsidRPr="005914D3" w:rsidR="00E20FA0">
        <w:rPr>
          <w:rFonts w:ascii="Tahoma" w:hAnsi="Tahoma" w:cs="Tahoma"/>
          <w:sz w:val="17"/>
          <w:szCs w:val="17"/>
          <w:rtl/>
        </w:rPr>
        <w:t xml:space="preserve">המליצה על מתן פטור ממכרז פומבי למשרות מקצועיות ברשות, בשל דחיפות האיוש והסיווג הביטחוני של בעלי התפקידים המיועדים לעבודה ברשות, והממשלה אישרה מתן פטור זה. בהחלטתה זו לא נתנה ועדת השירות משקל ראוי למאפיינים האזרחיים של הרשות ולמשך הזמן הארוך שנקבע לאיוש רוב המשרות </w:t>
      </w:r>
      <w:bookmarkStart w:id="5" w:name="_GoBack"/>
      <w:bookmarkEnd w:id="5"/>
      <w:r w:rsidRPr="005914D3" w:rsidR="00E20FA0">
        <w:rPr>
          <w:rFonts w:ascii="Tahoma" w:hAnsi="Tahoma" w:cs="Tahoma"/>
          <w:sz w:val="17"/>
          <w:szCs w:val="17"/>
          <w:rtl/>
        </w:rPr>
        <w:t>ברשות.</w:t>
      </w:r>
    </w:p>
    <w:p w:rsidR="00E20FA0" w:rsidRPr="00492C38" w:rsidP="00E20FA0">
      <w:pPr>
        <w:pStyle w:val="takzir"/>
        <w:rPr>
          <w:rFonts w:ascii="Tahoma" w:hAnsi="Tahoma" w:cs="Tahoma"/>
          <w:noProof w:val="0"/>
          <w:sz w:val="28"/>
          <w:rtl/>
        </w:rPr>
      </w:pPr>
    </w:p>
    <w:p w:rsidR="00E20FA0" w:rsidRPr="005914D3" w:rsidP="00E20FA0">
      <w:pPr>
        <w:pStyle w:val="KOT5T"/>
        <w:rPr>
          <w:b/>
          <w:bCs/>
          <w:rtl/>
        </w:rPr>
      </w:pPr>
      <w:r w:rsidRPr="005914D3">
        <w:rPr>
          <w:b/>
          <w:bCs/>
          <w:rtl/>
        </w:rPr>
        <w:t xml:space="preserve">האסדרה של שוק הסייבר </w:t>
      </w:r>
    </w:p>
    <w:p w:rsidR="00E20FA0" w:rsidRPr="005914D3"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5914D3">
        <w:rPr>
          <w:rFonts w:ascii="Tahoma" w:hAnsi="Tahoma" w:cs="Tahoma"/>
          <w:sz w:val="17"/>
          <w:szCs w:val="17"/>
          <w:rtl/>
        </w:rPr>
        <w:t>סקר תקני אבטחת מידע וסייבר בחו"ל בוצע באיחור משמעותי מלוחות הזמנים שנקבעו לכך. גם בחינה וקידום של מיסוד מנגנונים לאישור ולהסמכה של מוצרי הגנת הסייבר בישראל בהתאם לתקינה בין-לאומית למוצרי אבטחת</w:t>
      </w:r>
      <w:r w:rsidRPr="005914D3">
        <w:rPr>
          <w:rFonts w:ascii="Tahoma" w:hAnsi="Tahoma" w:cs="Tahoma" w:hint="cs"/>
          <w:sz w:val="17"/>
          <w:szCs w:val="17"/>
          <w:rtl/>
        </w:rPr>
        <w:t xml:space="preserve"> </w:t>
      </w:r>
      <w:r w:rsidRPr="005914D3">
        <w:rPr>
          <w:rFonts w:ascii="Tahoma" w:hAnsi="Tahoma" w:cs="Tahoma"/>
          <w:sz w:val="17"/>
          <w:szCs w:val="17"/>
          <w:rtl/>
        </w:rPr>
        <w:t>מידע ומחשוב נמצאים בפיגור לעומת לוח הזמנים המקורי.</w:t>
      </w:r>
      <w:r w:rsidRPr="005914D3">
        <w:rPr>
          <w:rFonts w:ascii="Tahoma" w:hAnsi="Tahoma" w:cs="Tahoma" w:hint="cs"/>
          <w:sz w:val="17"/>
          <w:szCs w:val="17"/>
          <w:rtl/>
        </w:rPr>
        <w:t xml:space="preserve"> </w:t>
      </w:r>
      <w:r w:rsidRPr="005914D3">
        <w:rPr>
          <w:rFonts w:ascii="Tahoma" w:hAnsi="Tahoma" w:cs="Tahoma"/>
          <w:sz w:val="17"/>
          <w:szCs w:val="17"/>
          <w:rtl/>
        </w:rPr>
        <w:t xml:space="preserve">השירותים המקצועיים בתחום הגנת הסייבר כוללים, בין היתר, ביצוע של סקרי סיכונים, מבדקי חדירה, סיוע בניהול אבטחת המידע בארגון והכנה לקראת הסמכה לתקני אבטחת מידע (להלן - שירותי הגנת הסייבר). נמצא כי עד מועד סיום הביקורת לא עמד המטה במשימה של הגדרת מנגנון למדרוג שירותי הגנת הסייבר. במצב דברים זה, חל עיכוב </w:t>
      </w:r>
      <w:r w:rsidRPr="005914D3">
        <w:rPr>
          <w:rFonts w:ascii="Tahoma" w:hAnsi="Tahoma" w:cs="Tahoma"/>
          <w:sz w:val="17"/>
          <w:szCs w:val="17"/>
          <w:rtl/>
        </w:rPr>
        <w:t>באסדרת</w:t>
      </w:r>
      <w:r w:rsidRPr="005914D3">
        <w:rPr>
          <w:rFonts w:ascii="Tahoma" w:hAnsi="Tahoma" w:cs="Tahoma"/>
          <w:sz w:val="17"/>
          <w:szCs w:val="17"/>
          <w:rtl/>
        </w:rPr>
        <w:t xml:space="preserve"> מקצועות הסייבר והעוסקים בתחום זה.</w:t>
      </w:r>
    </w:p>
    <w:p w:rsidR="00E20FA0" w:rsidRPr="00492C38" w:rsidP="00E20FA0">
      <w:pPr>
        <w:pStyle w:val="takzir"/>
        <w:rPr>
          <w:rFonts w:ascii="Tahoma" w:hAnsi="Tahoma" w:cs="Tahoma"/>
          <w:noProof w:val="0"/>
          <w:sz w:val="28"/>
          <w:rtl/>
        </w:rPr>
      </w:pPr>
    </w:p>
    <w:p w:rsidR="00E20FA0" w:rsidRPr="005914D3" w:rsidP="00E20FA0">
      <w:pPr>
        <w:pStyle w:val="KOT5T"/>
        <w:rPr>
          <w:b/>
          <w:bCs/>
          <w:rtl/>
        </w:rPr>
      </w:pPr>
      <w:r w:rsidRPr="005914D3">
        <w:rPr>
          <w:b/>
          <w:bCs/>
          <w:rtl/>
        </w:rPr>
        <w:t>קביעת הגופים והמערכות שיש להגן עליהם</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נמצאו שני גופים,</w:t>
      </w:r>
      <w:r w:rsidRPr="00E20FA0">
        <w:rPr>
          <w:rFonts w:ascii="Tahoma" w:hAnsi="Tahoma" w:cs="Tahoma" w:hint="cs"/>
          <w:sz w:val="17"/>
          <w:szCs w:val="17"/>
          <w:rtl/>
        </w:rPr>
        <w:t xml:space="preserve"> </w:t>
      </w:r>
      <w:r w:rsidRPr="00E20FA0">
        <w:rPr>
          <w:rFonts w:ascii="Tahoma" w:hAnsi="Tahoma" w:cs="Tahoma"/>
          <w:sz w:val="17"/>
          <w:szCs w:val="17"/>
          <w:rtl/>
        </w:rPr>
        <w:t>שהיה מקום ליזום את בחינת הגדרתם כגוף ציבורי כהגדרתו בחוק להסדרת הביטחון</w:t>
      </w:r>
      <w:r w:rsidRPr="00E20FA0">
        <w:rPr>
          <w:rFonts w:ascii="Tahoma" w:hAnsi="Tahoma" w:cs="Tahoma" w:hint="cs"/>
          <w:sz w:val="17"/>
          <w:szCs w:val="17"/>
          <w:rtl/>
        </w:rPr>
        <w:t xml:space="preserve"> </w:t>
      </w:r>
      <w:r w:rsidRPr="00E20FA0">
        <w:rPr>
          <w:rFonts w:ascii="Tahoma" w:hAnsi="Tahoma" w:cs="Tahoma"/>
          <w:sz w:val="17"/>
          <w:szCs w:val="17"/>
          <w:rtl/>
        </w:rPr>
        <w:t>מבחינת מהות פעילותם וחשיבותה,</w:t>
      </w:r>
      <w:r w:rsidRPr="00E20FA0">
        <w:rPr>
          <w:rFonts w:ascii="Tahoma" w:hAnsi="Tahoma" w:cs="Tahoma" w:hint="cs"/>
          <w:sz w:val="17"/>
          <w:szCs w:val="17"/>
          <w:rtl/>
        </w:rPr>
        <w:t xml:space="preserve"> </w:t>
      </w:r>
      <w:r w:rsidRPr="00E20FA0">
        <w:rPr>
          <w:rFonts w:ascii="Tahoma" w:hAnsi="Tahoma" w:cs="Tahoma"/>
          <w:sz w:val="17"/>
          <w:szCs w:val="17"/>
          <w:rtl/>
        </w:rPr>
        <w:t>אולם בחינתם לא נעשתה או שנעשתה בשלב מאוחר יחסית.</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תהליך המיפוי של המרחב </w:t>
      </w:r>
      <w:r w:rsidRPr="00E20FA0">
        <w:rPr>
          <w:rFonts w:ascii="Tahoma" w:hAnsi="Tahoma" w:cs="Tahoma"/>
          <w:sz w:val="17"/>
          <w:szCs w:val="17"/>
          <w:rtl/>
        </w:rPr>
        <w:t>הקיברנטי</w:t>
      </w:r>
      <w:r w:rsidRPr="00E20FA0">
        <w:rPr>
          <w:rFonts w:ascii="Tahoma" w:hAnsi="Tahoma" w:cs="Tahoma"/>
          <w:sz w:val="17"/>
          <w:szCs w:val="17"/>
          <w:rtl/>
        </w:rPr>
        <w:t xml:space="preserve"> הישראלי לא הסתיים וגם לא נקבעה תכנית עבודה ולוח זמנים לסיומו. לפיכך לא היה בידי מטה הסייבר מיפוי שיאפשר לקבוע מי הם הגופים במרחב </w:t>
      </w:r>
      <w:r w:rsidRPr="00E20FA0">
        <w:rPr>
          <w:rFonts w:ascii="Tahoma" w:hAnsi="Tahoma" w:cs="Tahoma"/>
          <w:sz w:val="17"/>
          <w:szCs w:val="17"/>
          <w:rtl/>
        </w:rPr>
        <w:t>הקיברנטי</w:t>
      </w:r>
      <w:r w:rsidRPr="00E20FA0">
        <w:rPr>
          <w:rFonts w:ascii="Tahoma" w:hAnsi="Tahoma" w:cs="Tahoma"/>
          <w:sz w:val="17"/>
          <w:szCs w:val="17"/>
          <w:rtl/>
        </w:rPr>
        <w:t xml:space="preserve"> האזרחי הטעונים הגנה בהתאם להיררכיה פירמידלית של כלל הגופים במדינה ועל פי רמות הסיכון שלהם וסוגי המערכות הממוחשבות שבהם.</w:t>
      </w:r>
    </w:p>
    <w:p w:rsidR="00E20FA0" w:rsidRPr="00492C38" w:rsidP="00E20FA0">
      <w:pPr>
        <w:pStyle w:val="takzir"/>
        <w:rPr>
          <w:rFonts w:ascii="Tahoma" w:hAnsi="Tahoma" w:cs="Tahoma"/>
          <w:noProof w:val="0"/>
          <w:sz w:val="28"/>
          <w:rtl/>
        </w:rPr>
      </w:pPr>
    </w:p>
    <w:p w:rsidR="00E20FA0" w:rsidRPr="0010381E" w:rsidP="00E20FA0">
      <w:pPr>
        <w:pStyle w:val="KOT5T"/>
        <w:rPr>
          <w:b/>
          <w:bCs/>
          <w:rtl/>
        </w:rPr>
      </w:pPr>
      <w:r w:rsidRPr="00E20FA0">
        <w:rPr>
          <w:b/>
          <w:bCs/>
          <w:rtl/>
        </w:rPr>
        <w:t>ההיערכות להגנת מערכות מחשוב שאינן</w:t>
      </w:r>
      <w:r w:rsidRPr="00E20FA0">
        <w:rPr>
          <w:rFonts w:hint="cs"/>
          <w:b/>
          <w:bCs/>
          <w:rtl/>
        </w:rPr>
        <w:t xml:space="preserve"> </w:t>
      </w:r>
      <w:r w:rsidRPr="00E20FA0">
        <w:rPr>
          <w:b/>
          <w:bCs/>
          <w:rtl/>
        </w:rPr>
        <w:t>תמ"ק</w:t>
      </w:r>
      <w:r>
        <w:rPr>
          <w:vertAlign w:val="superscript"/>
          <w:rtl/>
        </w:rPr>
        <w:footnoteReference w:id="3"/>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אף שהמטה המליץ עוד באוגוסט 2012 להסתייע ביכולות ובסמכויות של משרדי הממשלה המשמשים </w:t>
      </w:r>
      <w:r w:rsidRPr="00E20FA0">
        <w:rPr>
          <w:rFonts w:ascii="Tahoma" w:hAnsi="Tahoma" w:cs="Tahoma"/>
          <w:sz w:val="17"/>
          <w:szCs w:val="17"/>
          <w:rtl/>
        </w:rPr>
        <w:t>מאסדרים</w:t>
      </w:r>
      <w:r w:rsidRPr="00E20FA0">
        <w:rPr>
          <w:rFonts w:ascii="Tahoma" w:hAnsi="Tahoma" w:cs="Tahoma"/>
          <w:sz w:val="17"/>
          <w:szCs w:val="17"/>
          <w:rtl/>
        </w:rPr>
        <w:t xml:space="preserve"> (רגולטורים) כלפי הגופים שבמגזרם לצורך קידום האסדרה בתחום ההגנה על הסייבר, לא הופעלו, עד מועד סיום הביקורת,</w:t>
      </w:r>
      <w:r w:rsidRPr="00E20FA0">
        <w:rPr>
          <w:rFonts w:ascii="Tahoma" w:hAnsi="Tahoma" w:cs="Tahoma" w:hint="cs"/>
          <w:sz w:val="17"/>
          <w:szCs w:val="17"/>
          <w:rtl/>
        </w:rPr>
        <w:t xml:space="preserve"> </w:t>
      </w:r>
      <w:r w:rsidRPr="00E20FA0">
        <w:rPr>
          <w:rFonts w:ascii="Tahoma" w:hAnsi="Tahoma" w:cs="Tahoma"/>
          <w:sz w:val="17"/>
          <w:szCs w:val="17"/>
          <w:rtl/>
        </w:rPr>
        <w:t xml:space="preserve">חלק </w:t>
      </w:r>
      <w:r w:rsidRPr="00E20FA0">
        <w:rPr>
          <w:rFonts w:ascii="Tahoma" w:hAnsi="Tahoma" w:cs="Tahoma"/>
          <w:sz w:val="17"/>
          <w:szCs w:val="17"/>
          <w:rtl/>
        </w:rPr>
        <w:t>מהמאסדרים</w:t>
      </w:r>
      <w:r w:rsidRPr="00E20FA0">
        <w:rPr>
          <w:rFonts w:ascii="Tahoma" w:hAnsi="Tahoma" w:cs="Tahoma"/>
          <w:sz w:val="17"/>
          <w:szCs w:val="17"/>
          <w:rtl/>
        </w:rPr>
        <w:t xml:space="preserve"> המגזריים בתחום הסייבר. כמו כן טרם אוישו משרות מנהלי היחידות </w:t>
      </w:r>
      <w:r w:rsidRPr="00E20FA0">
        <w:rPr>
          <w:rFonts w:ascii="Tahoma" w:hAnsi="Tahoma" w:cs="Tahoma"/>
          <w:sz w:val="17"/>
          <w:szCs w:val="17"/>
          <w:rtl/>
        </w:rPr>
        <w:t>להכוונה מקצועית מגזרית בתחום הגנת הסייבר, בניגוד למה שנקבע בהחלטת הממשלה בעניין האסדרה.</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המטה </w:t>
      </w:r>
      <w:r w:rsidRPr="00E20FA0">
        <w:rPr>
          <w:rFonts w:ascii="Tahoma" w:hAnsi="Tahoma" w:cs="Tahoma"/>
          <w:sz w:val="17"/>
          <w:szCs w:val="17"/>
          <w:rtl/>
        </w:rPr>
        <w:t>הקיברנטי</w:t>
      </w:r>
      <w:r w:rsidRPr="00E20FA0">
        <w:rPr>
          <w:rFonts w:ascii="Tahoma" w:hAnsi="Tahoma" w:cs="Tahoma"/>
          <w:sz w:val="17"/>
          <w:szCs w:val="17"/>
          <w:rtl/>
        </w:rPr>
        <w:t xml:space="preserve"> והשב"כ קיימו, כל גוף בנפרד, פעילות של סיוע וחיזוק </w:t>
      </w:r>
      <w:r w:rsidRPr="00E20FA0">
        <w:rPr>
          <w:rFonts w:ascii="Tahoma" w:hAnsi="Tahoma" w:cs="Tahoma"/>
          <w:sz w:val="17"/>
          <w:szCs w:val="17"/>
          <w:rtl/>
        </w:rPr>
        <w:t>המאסדרים</w:t>
      </w:r>
      <w:r w:rsidRPr="00E20FA0">
        <w:rPr>
          <w:rFonts w:ascii="Tahoma" w:hAnsi="Tahoma" w:cs="Tahoma"/>
          <w:sz w:val="17"/>
          <w:szCs w:val="17"/>
          <w:rtl/>
        </w:rPr>
        <w:t xml:space="preserve"> המגזריים. לא נמצא שהמטה תיאם עם השב"כ את הפעילות בתחום </w:t>
      </w:r>
      <w:r w:rsidRPr="00E20FA0">
        <w:rPr>
          <w:rFonts w:ascii="Tahoma" w:hAnsi="Tahoma" w:cs="Tahoma"/>
          <w:sz w:val="17"/>
          <w:szCs w:val="17"/>
          <w:rtl/>
        </w:rPr>
        <w:t>המאסדרים</w:t>
      </w:r>
      <w:r w:rsidRPr="00E20FA0">
        <w:rPr>
          <w:rFonts w:ascii="Tahoma" w:hAnsi="Tahoma" w:cs="Tahoma"/>
          <w:sz w:val="17"/>
          <w:szCs w:val="17"/>
          <w:rtl/>
        </w:rPr>
        <w:t xml:space="preserve"> המגזריים והסתייע בו לקידום פעילות זו. </w:t>
      </w:r>
    </w:p>
    <w:p w:rsidR="00E20FA0" w:rsidRPr="00492C38" w:rsidP="00E20FA0">
      <w:pPr>
        <w:pStyle w:val="takzir"/>
        <w:rPr>
          <w:rFonts w:ascii="Tahoma" w:hAnsi="Tahoma" w:cs="Tahoma"/>
          <w:noProof w:val="0"/>
          <w:sz w:val="28"/>
          <w:rtl/>
        </w:rPr>
      </w:pPr>
    </w:p>
    <w:p w:rsidR="00E20FA0" w:rsidRPr="00E20FA0" w:rsidP="00E20FA0">
      <w:pPr>
        <w:pStyle w:val="KOT5T"/>
        <w:rPr>
          <w:b/>
          <w:bCs/>
          <w:rtl/>
        </w:rPr>
      </w:pPr>
      <w:r w:rsidRPr="00E20FA0">
        <w:rPr>
          <w:b/>
          <w:bCs/>
          <w:rtl/>
        </w:rPr>
        <w:t>ההגנה על תשתיות מחשוב קריטיות</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כמה גופים מונחים אינם עומדים בקצב הראוי ביישום התכנית הרב-שנתית להטמעת דרישות האבטחה של השב"כ, ביניהם גם גופים הנמצאים זמן ממושך יחסית בהנחיית השב"כ.</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על אף האמור בהחלטה מ-2002</w:t>
      </w:r>
      <w:r>
        <w:rPr>
          <w:rFonts w:ascii="Tahoma" w:hAnsi="Tahoma" w:cs="Tahoma"/>
          <w:sz w:val="17"/>
          <w:szCs w:val="17"/>
          <w:vertAlign w:val="superscript"/>
          <w:rtl/>
        </w:rPr>
        <w:footnoteReference w:id="4"/>
      </w:r>
      <w:r w:rsidRPr="00E20FA0">
        <w:rPr>
          <w:rFonts w:ascii="Tahoma" w:hAnsi="Tahoma" w:cs="Tahoma"/>
          <w:sz w:val="17"/>
          <w:szCs w:val="17"/>
          <w:rtl/>
        </w:rPr>
        <w:t>, עד דצמבר 2014</w:t>
      </w:r>
      <w:r w:rsidRPr="00E20FA0">
        <w:rPr>
          <w:rFonts w:ascii="Tahoma" w:hAnsi="Tahoma" w:cs="Tahoma" w:hint="cs"/>
          <w:sz w:val="17"/>
          <w:szCs w:val="17"/>
          <w:rtl/>
        </w:rPr>
        <w:t xml:space="preserve"> </w:t>
      </w:r>
      <w:r w:rsidRPr="00E20FA0">
        <w:rPr>
          <w:rFonts w:ascii="Tahoma" w:hAnsi="Tahoma" w:cs="Tahoma"/>
          <w:sz w:val="17"/>
          <w:szCs w:val="17"/>
          <w:rtl/>
        </w:rPr>
        <w:t>לא דיווחו ראשי ועדת ההיגוי העליונה להגנה על מערכות ממוחשבות</w:t>
      </w:r>
      <w:r w:rsidRPr="00E20FA0">
        <w:rPr>
          <w:rFonts w:ascii="Tahoma" w:hAnsi="Tahoma" w:cs="Tahoma" w:hint="cs"/>
          <w:sz w:val="17"/>
          <w:szCs w:val="17"/>
          <w:rtl/>
        </w:rPr>
        <w:t xml:space="preserve"> חיוניות</w:t>
      </w:r>
      <w:r w:rsidRPr="00E20FA0">
        <w:rPr>
          <w:rFonts w:ascii="Tahoma" w:hAnsi="Tahoma" w:cs="Tahoma"/>
          <w:sz w:val="17"/>
          <w:szCs w:val="17"/>
          <w:rtl/>
        </w:rPr>
        <w:t xml:space="preserve"> לממשלה או לוועדת שרים על מצב ההגנה של המערכות הממוחשבות כנדרש בהחלטה.</w:t>
      </w:r>
    </w:p>
    <w:p w:rsidR="00E20FA0" w:rsidRPr="00492C38" w:rsidP="00E20FA0">
      <w:pPr>
        <w:pStyle w:val="takzir"/>
        <w:rPr>
          <w:rFonts w:ascii="Tahoma" w:hAnsi="Tahoma" w:cs="Tahoma"/>
          <w:noProof w:val="0"/>
          <w:sz w:val="28"/>
          <w:rtl/>
        </w:rPr>
      </w:pPr>
    </w:p>
    <w:p w:rsidR="00E20FA0" w:rsidRPr="00E20FA0" w:rsidP="00E20FA0">
      <w:pPr>
        <w:pStyle w:val="KOT4T"/>
        <w:rPr>
          <w:rtl/>
        </w:rPr>
      </w:pPr>
      <w:r w:rsidRPr="00E20FA0">
        <w:rPr>
          <w:rtl/>
        </w:rPr>
        <w:t>ההמלצות העיקריות</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הסדרת האחריות לטיפול במרחב הסייבר, הקמת הרשות והסדרת שיתוף הפעולה בינה ובין הגופים הפועלים במרחב הסייבר ובראשם השב"כ, היא תהליך מורכב</w:t>
      </w:r>
      <w:r w:rsidRPr="00BD121C">
        <w:rPr>
          <w:b/>
          <w:bCs/>
          <w:rtl/>
        </w:rPr>
        <w:t xml:space="preserve"> </w:t>
      </w:r>
      <w:r w:rsidRPr="00E20FA0">
        <w:rPr>
          <w:rFonts w:ascii="Tahoma" w:hAnsi="Tahoma" w:cs="Tahoma"/>
          <w:sz w:val="17"/>
          <w:szCs w:val="17"/>
          <w:rtl/>
        </w:rPr>
        <w:t xml:space="preserve">ורגיש הכולל היבטים מבצעיים, תקציביים, טכנולוגיים ומשפטיים. את התהליך שעליו החליטה הממשלה יש לתכנן בקפדנות כך שיובטח כי הרשות תקבל את כל הידע הנדרש למימוש אחריותה. אשר על כן, יש להחיש את סיום הפעולות שעליהן החליטה הממשלה. </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על המטה לסיים בהקדם את הכנת תזכיר חוק הגנת הסייבר בהתאם לנדרש בהחלטת הממשלה. </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מן הראוי שאיוש המשרות</w:t>
      </w:r>
      <w:r w:rsidRPr="00E20FA0">
        <w:rPr>
          <w:rFonts w:ascii="Tahoma" w:hAnsi="Tahoma" w:cs="Tahoma" w:hint="cs"/>
          <w:sz w:val="17"/>
          <w:szCs w:val="17"/>
          <w:rtl/>
        </w:rPr>
        <w:t xml:space="preserve"> </w:t>
      </w:r>
      <w:r w:rsidRPr="00E20FA0">
        <w:rPr>
          <w:rFonts w:ascii="Tahoma" w:hAnsi="Tahoma" w:cs="Tahoma"/>
          <w:sz w:val="17"/>
          <w:szCs w:val="17"/>
          <w:rtl/>
        </w:rPr>
        <w:t>ברשות ייעשה,</w:t>
      </w:r>
      <w:r w:rsidRPr="00E20FA0">
        <w:rPr>
          <w:rFonts w:ascii="Tahoma" w:hAnsi="Tahoma" w:cs="Tahoma" w:hint="cs"/>
          <w:sz w:val="17"/>
          <w:szCs w:val="17"/>
          <w:rtl/>
        </w:rPr>
        <w:t xml:space="preserve"> </w:t>
      </w:r>
      <w:r w:rsidRPr="00E20FA0">
        <w:rPr>
          <w:rFonts w:ascii="Tahoma" w:hAnsi="Tahoma" w:cs="Tahoma"/>
          <w:sz w:val="17"/>
          <w:szCs w:val="17"/>
          <w:rtl/>
        </w:rPr>
        <w:t>ככל הניתן, באמצעות תהליכים תחרותיים ושוויוניים אשר יגשימו את עקרון שוויון ההזדמנויות לכל הקבוע בחוק שירות המדינה (מינויים), התשי"ט-1959. תהליכים אלה, גם יגדילו את האוכלוסייה שממנה יהיה אפשר לגייס את המועמדים המתאימים ביותר.</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על המטה לבחון את האופן שבו הוא קובע מסגרת עבודה מפורטת ומחייבת למילוי מכלול משימותיו ברמה השנתית והרב-שנתית. נוסף על כך</w:t>
      </w:r>
      <w:r w:rsidRPr="00E20FA0">
        <w:rPr>
          <w:rFonts w:ascii="Tahoma" w:hAnsi="Tahoma" w:cs="Tahoma" w:hint="cs"/>
          <w:sz w:val="17"/>
          <w:szCs w:val="17"/>
          <w:rtl/>
        </w:rPr>
        <w:t>,</w:t>
      </w:r>
      <w:r w:rsidRPr="00E20FA0">
        <w:rPr>
          <w:rFonts w:ascii="Tahoma" w:hAnsi="Tahoma" w:cs="Tahoma"/>
          <w:sz w:val="17"/>
          <w:szCs w:val="17"/>
          <w:rtl/>
        </w:rPr>
        <w:t xml:space="preserve"> נוכח העיכוב שחל משך שנים בקידום הטיפול בתחום האסדרה של שוק הסייבר והדחיפות שיש להנחת הבסיס </w:t>
      </w:r>
      <w:r w:rsidRPr="00E20FA0">
        <w:rPr>
          <w:rFonts w:ascii="Tahoma" w:hAnsi="Tahoma" w:cs="Tahoma"/>
          <w:sz w:val="17"/>
          <w:szCs w:val="17"/>
          <w:rtl/>
        </w:rPr>
        <w:t>לאסדרת</w:t>
      </w:r>
      <w:r w:rsidRPr="00E20FA0">
        <w:rPr>
          <w:rFonts w:ascii="Tahoma" w:hAnsi="Tahoma" w:cs="Tahoma"/>
          <w:sz w:val="17"/>
          <w:szCs w:val="17"/>
          <w:rtl/>
        </w:rPr>
        <w:t xml:space="preserve"> הנושא, יש חשיבות רבה לכך שתכנית העבודה של </w:t>
      </w:r>
      <w:r w:rsidRPr="00E20FA0">
        <w:rPr>
          <w:rFonts w:ascii="Tahoma" w:hAnsi="Tahoma" w:cs="Tahoma"/>
          <w:sz w:val="17"/>
          <w:szCs w:val="17"/>
          <w:rtl/>
        </w:rPr>
        <w:t xml:space="preserve">המטה תגדיר אבני דרך וכן את המועד הסופי שבו אמורות להיות מושלמות כל המשימות שייקבעו בתחום זה. </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מן הראוי שוועדת ההיגוי העליונה תקבע מתכונת לאיתור גופים פוטנציאליים להגדרה כגופים מונחים ועל בסיסה תיזום תהליך בחינה של כלל המגזרים והגופים במשק כדי להמליץ על גופים נוספים הראויים להכרה כגופים מונחים או לחלופין על הוצאת גופים מסטטוס זה. כמו כן, מן הראוי ליצור מנגנון מסודר שיבטיח כי</w:t>
      </w:r>
      <w:r w:rsidRPr="00E20FA0">
        <w:rPr>
          <w:rFonts w:ascii="Tahoma" w:hAnsi="Tahoma" w:cs="Tahoma" w:hint="cs"/>
          <w:sz w:val="17"/>
          <w:szCs w:val="17"/>
          <w:rtl/>
        </w:rPr>
        <w:t xml:space="preserve"> </w:t>
      </w:r>
      <w:r w:rsidRPr="00E20FA0">
        <w:rPr>
          <w:rFonts w:ascii="Tahoma" w:hAnsi="Tahoma" w:cs="Tahoma"/>
          <w:sz w:val="17"/>
          <w:szCs w:val="17"/>
          <w:rtl/>
        </w:rPr>
        <w:t>ככל שמתעוררים קשיים בהגדרת גוף כגוף מונחה,</w:t>
      </w:r>
      <w:r w:rsidRPr="00E20FA0">
        <w:rPr>
          <w:rFonts w:ascii="Tahoma" w:hAnsi="Tahoma" w:cs="Tahoma" w:hint="cs"/>
          <w:sz w:val="17"/>
          <w:szCs w:val="17"/>
          <w:rtl/>
        </w:rPr>
        <w:t xml:space="preserve"> </w:t>
      </w:r>
      <w:r w:rsidRPr="00E20FA0">
        <w:rPr>
          <w:rFonts w:ascii="Tahoma" w:hAnsi="Tahoma" w:cs="Tahoma"/>
          <w:sz w:val="17"/>
          <w:szCs w:val="17"/>
          <w:rtl/>
        </w:rPr>
        <w:t xml:space="preserve">יובא הדבר לידיעת ועדת ההיגוי העליונה מבעוד מועד, ובמקרה שהבעיה אינה נפתרת על ועדת ההיגוי יהיה לדווח על כך לממשלה או לוועדת שרים. </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מתוקף אחריותו של המטה היה עליו לוודא כי יוגדר היקף הבעיה שעמה יש להתמודד בתחום ההגנה על מרחב הסייבר האזרחי, ייקבע מה הם התחומים והגופים במשק שיש להגן עליהם, מה המענה שצריך להינתן ואילו משאבים יושקעו בכך. לצורך כך על המטה להחיש את פעילותו בנושא</w:t>
      </w:r>
      <w:r w:rsidRPr="00E20FA0">
        <w:rPr>
          <w:rFonts w:ascii="Tahoma" w:hAnsi="Tahoma" w:cs="Tahoma" w:hint="cs"/>
          <w:sz w:val="17"/>
          <w:szCs w:val="17"/>
          <w:rtl/>
        </w:rPr>
        <w:t xml:space="preserve"> </w:t>
      </w:r>
      <w:r w:rsidRPr="00E20FA0">
        <w:rPr>
          <w:rFonts w:ascii="Tahoma" w:hAnsi="Tahoma" w:cs="Tahoma"/>
          <w:sz w:val="17"/>
          <w:szCs w:val="17"/>
          <w:rtl/>
        </w:rPr>
        <w:t>ולפעול, בעצמו או באמצעות אחרים, לקידום מיפוי מלא של המרחב.</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מן הראוי להחיש את הפעולות לשם הקמת היחידות להכוונה מקצועית מגזרית וחיזוק </w:t>
      </w:r>
      <w:r w:rsidRPr="00E20FA0">
        <w:rPr>
          <w:rFonts w:ascii="Tahoma" w:hAnsi="Tahoma" w:cs="Tahoma"/>
          <w:sz w:val="17"/>
          <w:szCs w:val="17"/>
          <w:rtl/>
        </w:rPr>
        <w:t>המאסדרים</w:t>
      </w:r>
      <w:r w:rsidRPr="00E20FA0">
        <w:rPr>
          <w:rFonts w:ascii="Tahoma" w:hAnsi="Tahoma" w:cs="Tahoma"/>
          <w:sz w:val="17"/>
          <w:szCs w:val="17"/>
          <w:rtl/>
        </w:rPr>
        <w:t xml:space="preserve"> המגזריים. על המטה גם להגדיר את הגורם ברשות שיפעל מול </w:t>
      </w:r>
      <w:r w:rsidRPr="00E20FA0">
        <w:rPr>
          <w:rFonts w:ascii="Tahoma" w:hAnsi="Tahoma" w:cs="Tahoma"/>
          <w:sz w:val="17"/>
          <w:szCs w:val="17"/>
          <w:rtl/>
        </w:rPr>
        <w:t>המאסדרים</w:t>
      </w:r>
      <w:r w:rsidRPr="00E20FA0">
        <w:rPr>
          <w:rFonts w:ascii="Tahoma" w:hAnsi="Tahoma" w:cs="Tahoma"/>
          <w:sz w:val="17"/>
          <w:szCs w:val="17"/>
          <w:rtl/>
        </w:rPr>
        <w:t xml:space="preserve"> המגזריים, ייעודו, תפקידיו, סמכויותיו ומבנהו הארגוני ולקדם את הקמתו ואיושו.</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על ועדת ההיגוי העליונה להמשיך ולעקוב אחר התקדמות יישום דרישות האבטחה של השב"כ</w:t>
      </w:r>
      <w:r w:rsidRPr="00E20FA0">
        <w:rPr>
          <w:rFonts w:ascii="Tahoma" w:hAnsi="Tahoma" w:cs="Tahoma" w:hint="cs"/>
          <w:sz w:val="17"/>
          <w:szCs w:val="17"/>
          <w:rtl/>
        </w:rPr>
        <w:t xml:space="preserve"> </w:t>
      </w:r>
      <w:r w:rsidRPr="00E20FA0">
        <w:rPr>
          <w:rFonts w:ascii="Tahoma" w:hAnsi="Tahoma" w:cs="Tahoma"/>
          <w:sz w:val="17"/>
          <w:szCs w:val="17"/>
          <w:rtl/>
        </w:rPr>
        <w:t>בגופים המוגדרים</w:t>
      </w:r>
      <w:r w:rsidRPr="00E20FA0">
        <w:rPr>
          <w:rFonts w:ascii="Tahoma" w:hAnsi="Tahoma" w:cs="Tahoma" w:hint="cs"/>
          <w:sz w:val="17"/>
          <w:szCs w:val="17"/>
          <w:rtl/>
        </w:rPr>
        <w:t xml:space="preserve"> </w:t>
      </w:r>
      <w:r w:rsidRPr="00E20FA0">
        <w:rPr>
          <w:rFonts w:ascii="Tahoma" w:hAnsi="Tahoma" w:cs="Tahoma"/>
          <w:sz w:val="17"/>
          <w:szCs w:val="17"/>
          <w:rtl/>
        </w:rPr>
        <w:t>כתשתיות מדינה קריטיות</w:t>
      </w:r>
      <w:r w:rsidRPr="00E20FA0">
        <w:rPr>
          <w:rFonts w:ascii="Tahoma" w:hAnsi="Tahoma" w:cs="Tahoma" w:hint="cs"/>
          <w:sz w:val="17"/>
          <w:szCs w:val="17"/>
          <w:rtl/>
        </w:rPr>
        <w:t xml:space="preserve"> </w:t>
      </w:r>
      <w:r w:rsidRPr="00E20FA0">
        <w:rPr>
          <w:rFonts w:ascii="Tahoma" w:hAnsi="Tahoma" w:cs="Tahoma"/>
          <w:sz w:val="17"/>
          <w:szCs w:val="17"/>
          <w:rtl/>
        </w:rPr>
        <w:t>ולבחון, בשיתוף</w:t>
      </w:r>
      <w:r w:rsidRPr="00E20FA0">
        <w:rPr>
          <w:rFonts w:ascii="Tahoma" w:hAnsi="Tahoma" w:cs="Tahoma" w:hint="cs"/>
          <w:sz w:val="17"/>
          <w:szCs w:val="17"/>
          <w:rtl/>
        </w:rPr>
        <w:t xml:space="preserve"> </w:t>
      </w:r>
      <w:r w:rsidRPr="00E20FA0">
        <w:rPr>
          <w:rFonts w:ascii="Tahoma" w:hAnsi="Tahoma" w:cs="Tahoma"/>
          <w:sz w:val="17"/>
          <w:szCs w:val="17"/>
          <w:rtl/>
        </w:rPr>
        <w:t xml:space="preserve">השב"כ, דרכי פעולה לשיפור מהיר של המצב בתחום. </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על ועדת ההיגוי העליונה לבחון מתכונת דיווח לממשלה על מצב ההגנה על המרחב </w:t>
      </w:r>
      <w:r w:rsidRPr="00E20FA0">
        <w:rPr>
          <w:rFonts w:ascii="Tahoma" w:hAnsi="Tahoma" w:cs="Tahoma"/>
          <w:sz w:val="17"/>
          <w:szCs w:val="17"/>
          <w:rtl/>
        </w:rPr>
        <w:t>הקיברנטי</w:t>
      </w:r>
      <w:r w:rsidRPr="00E20FA0">
        <w:rPr>
          <w:rFonts w:ascii="Tahoma" w:hAnsi="Tahoma" w:cs="Tahoma"/>
          <w:sz w:val="17"/>
          <w:szCs w:val="17"/>
          <w:rtl/>
        </w:rPr>
        <w:t xml:space="preserve"> הישראלי בכלל, ועל תשתיות קריטיות בפרט, ובכלל זה על תהליכי המיפוי וההגדרה של גופים במשק כתשתיות מידע קריטיות. רצוי כי דיווח כזה יכלול מדדים כמותיים כך שיתאפשר לממשלה לבחון את מצב ההגנה גם על בסיס מדדי תפוקה ותוצאה רלוונטיים. </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על השב"כ לבחון את הצורך בדיווח למועצות המנהלים של התאגידים שיש בהם תשתיות מחשוב קריטיות על אי-עמידה בהנחיותיו המציבה בסיכון תשתית מדינה חיונית או את הפעילות העסקית של אותו תאגיד. </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על המטה </w:t>
      </w:r>
      <w:r w:rsidRPr="00E20FA0">
        <w:rPr>
          <w:rFonts w:ascii="Tahoma" w:hAnsi="Tahoma" w:cs="Tahoma"/>
          <w:sz w:val="17"/>
          <w:szCs w:val="17"/>
          <w:rtl/>
        </w:rPr>
        <w:t>הקיברנטי</w:t>
      </w:r>
      <w:r w:rsidRPr="00E20FA0">
        <w:rPr>
          <w:rFonts w:ascii="Tahoma" w:hAnsi="Tahoma" w:cs="Tahoma"/>
          <w:sz w:val="17"/>
          <w:szCs w:val="17"/>
          <w:rtl/>
        </w:rPr>
        <w:t xml:space="preserve"> והשב"כ, בשיתוף משרד המשפטים וגורמים ממשלתיים נוספים הנוגעים בדבר, לבחון דרכים לאכוף על הגופים הציבוריים</w:t>
      </w:r>
      <w:r w:rsidRPr="00E20FA0">
        <w:rPr>
          <w:rFonts w:ascii="Tahoma" w:hAnsi="Tahoma" w:cs="Tahoma" w:hint="cs"/>
          <w:sz w:val="17"/>
          <w:szCs w:val="17"/>
          <w:rtl/>
        </w:rPr>
        <w:t xml:space="preserve"> </w:t>
      </w:r>
      <w:r w:rsidRPr="00E20FA0">
        <w:rPr>
          <w:rFonts w:ascii="Tahoma" w:hAnsi="Tahoma" w:cs="Tahoma"/>
          <w:sz w:val="17"/>
          <w:szCs w:val="17"/>
          <w:rtl/>
        </w:rPr>
        <w:t>כהגדרתם בחוק להסדרת הביטחון, המוגדרים תשתיות מדינה קריטיות, את מילוי הנחיות השב"כ, ולשקול את עיגונן של דרכי האכיפה בדין.</w:t>
      </w:r>
    </w:p>
    <w:p w:rsidR="00E20FA0" w:rsidRPr="00E20FA0" w:rsidP="00E20FA0">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E20FA0">
        <w:rPr>
          <w:rFonts w:ascii="Tahoma" w:hAnsi="Tahoma" w:cs="Tahoma"/>
          <w:sz w:val="17"/>
          <w:szCs w:val="17"/>
          <w:rtl/>
        </w:rPr>
        <w:t xml:space="preserve">נוכח הליקויים שהועלו בדוח זה בתחום הליך קבלת ההחלטות, על כל הגורמים הנוגעים בדבר להפיק לקחים ולמנוע הישנותם של פגמים כאלה בהחלטות עתידיות בכלל, ובתחום ההיערכות הלאומית להגנת המרחב </w:t>
      </w:r>
      <w:r w:rsidRPr="00E20FA0">
        <w:rPr>
          <w:rFonts w:ascii="Tahoma" w:hAnsi="Tahoma" w:cs="Tahoma"/>
          <w:sz w:val="17"/>
          <w:szCs w:val="17"/>
          <w:rtl/>
        </w:rPr>
        <w:t>הקיברנטי</w:t>
      </w:r>
      <w:r w:rsidRPr="00E20FA0">
        <w:rPr>
          <w:rFonts w:ascii="Tahoma" w:hAnsi="Tahoma" w:cs="Tahoma"/>
          <w:sz w:val="17"/>
          <w:szCs w:val="17"/>
          <w:rtl/>
        </w:rPr>
        <w:t xml:space="preserve"> בפרט. </w:t>
      </w:r>
    </w:p>
    <w:p w:rsidR="00E20FA0" w:rsidRPr="00492C38" w:rsidP="00E20FA0">
      <w:pPr>
        <w:pStyle w:val="takzir"/>
        <w:rPr>
          <w:rFonts w:ascii="Tahoma" w:hAnsi="Tahoma" w:cs="Tahoma"/>
          <w:noProof w:val="0"/>
          <w:sz w:val="28"/>
          <w:rtl/>
        </w:rPr>
      </w:pPr>
    </w:p>
    <w:p w:rsidR="00E20FA0" w:rsidRPr="00E20FA0" w:rsidP="00E20FA0">
      <w:pPr>
        <w:pStyle w:val="KOT4S"/>
        <w:rPr>
          <w:rtl/>
        </w:rPr>
      </w:pPr>
      <w:r w:rsidRPr="0012789B">
        <w:rPr>
          <w:noProof/>
          <w:sz w:val="17"/>
          <w:szCs w:val="17"/>
          <w:rtl/>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215265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2152650"/>
                        </a:xfrm>
                        <a:prstGeom prst="rect">
                          <a:avLst/>
                        </a:prstGeom>
                        <a:noFill/>
                        <a:ln w="9525">
                          <a:noFill/>
                          <a:miter lim="800000"/>
                          <a:headEnd/>
                          <a:tailEnd/>
                        </a:ln>
                      </wps:spPr>
                      <wps:txbx>
                        <w:txbxContent>
                          <w:p w:rsidR="00CD3D58" w:rsidRPr="00373C5D" w:rsidP="00CD3D58">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4851566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4617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CD3D58" w:rsidRPr="00881D99" w:rsidP="00CD3D58">
                            <w:pPr>
                              <w:spacing w:after="0" w:line="240" w:lineRule="auto"/>
                              <w:rPr>
                                <w:color w:val="0B5294"/>
                                <w:spacing w:val="-4"/>
                                <w:sz w:val="24"/>
                                <w:szCs w:val="24"/>
                                <w:rtl/>
                                <w:cs/>
                              </w:rPr>
                            </w:pPr>
                            <w:r w:rsidRPr="00CD3D58">
                              <w:rPr>
                                <w:rFonts w:cs="Tahoma" w:hint="eastAsia"/>
                                <w:color w:val="0B5294"/>
                                <w:spacing w:val="-4"/>
                                <w:sz w:val="24"/>
                                <w:szCs w:val="24"/>
                                <w:rtl/>
                              </w:rPr>
                              <w:t>קיימים</w:t>
                            </w:r>
                            <w:r w:rsidRPr="00CD3D58">
                              <w:rPr>
                                <w:rFonts w:cs="Tahoma"/>
                                <w:color w:val="0B5294"/>
                                <w:spacing w:val="-4"/>
                                <w:sz w:val="24"/>
                                <w:szCs w:val="24"/>
                                <w:rtl/>
                              </w:rPr>
                              <w:t xml:space="preserve"> </w:t>
                            </w:r>
                            <w:r w:rsidRPr="00CD3D58">
                              <w:rPr>
                                <w:rFonts w:cs="Tahoma" w:hint="eastAsia"/>
                                <w:color w:val="0B5294"/>
                                <w:spacing w:val="-4"/>
                                <w:sz w:val="24"/>
                                <w:szCs w:val="24"/>
                                <w:rtl/>
                              </w:rPr>
                              <w:t>פערים</w:t>
                            </w:r>
                            <w:r w:rsidRPr="00CD3D58">
                              <w:rPr>
                                <w:rFonts w:cs="Tahoma"/>
                                <w:color w:val="0B5294"/>
                                <w:spacing w:val="-4"/>
                                <w:sz w:val="24"/>
                                <w:szCs w:val="24"/>
                                <w:rtl/>
                              </w:rPr>
                              <w:t xml:space="preserve"> </w:t>
                            </w:r>
                            <w:r w:rsidRPr="00CD3D58">
                              <w:rPr>
                                <w:rFonts w:cs="Tahoma" w:hint="eastAsia"/>
                                <w:color w:val="0B5294"/>
                                <w:spacing w:val="-4"/>
                                <w:sz w:val="24"/>
                                <w:szCs w:val="24"/>
                                <w:rtl/>
                              </w:rPr>
                              <w:t>בין</w:t>
                            </w:r>
                            <w:r w:rsidRPr="00CD3D58">
                              <w:rPr>
                                <w:rFonts w:cs="Tahoma"/>
                                <w:color w:val="0B5294"/>
                                <w:spacing w:val="-4"/>
                                <w:sz w:val="24"/>
                                <w:szCs w:val="24"/>
                                <w:rtl/>
                              </w:rPr>
                              <w:t xml:space="preserve"> </w:t>
                            </w:r>
                            <w:r w:rsidRPr="00CD3D58">
                              <w:rPr>
                                <w:rFonts w:cs="Tahoma" w:hint="eastAsia"/>
                                <w:color w:val="0B5294"/>
                                <w:spacing w:val="-4"/>
                                <w:sz w:val="24"/>
                                <w:szCs w:val="24"/>
                                <w:rtl/>
                              </w:rPr>
                              <w:t>עצמת</w:t>
                            </w:r>
                            <w:r w:rsidRPr="00CD3D58">
                              <w:rPr>
                                <w:rFonts w:cs="Tahoma"/>
                                <w:color w:val="0B5294"/>
                                <w:spacing w:val="-4"/>
                                <w:sz w:val="24"/>
                                <w:szCs w:val="24"/>
                                <w:rtl/>
                              </w:rPr>
                              <w:t xml:space="preserve"> </w:t>
                            </w:r>
                            <w:r w:rsidRPr="00CD3D58">
                              <w:rPr>
                                <w:rFonts w:cs="Tahoma" w:hint="eastAsia"/>
                                <w:color w:val="0B5294"/>
                                <w:spacing w:val="-4"/>
                                <w:sz w:val="24"/>
                                <w:szCs w:val="24"/>
                                <w:rtl/>
                              </w:rPr>
                              <w:t>האיום</w:t>
                            </w:r>
                            <w:r w:rsidRPr="00CD3D58">
                              <w:rPr>
                                <w:rFonts w:cs="Tahoma"/>
                                <w:color w:val="0B5294"/>
                                <w:spacing w:val="-4"/>
                                <w:sz w:val="24"/>
                                <w:szCs w:val="24"/>
                                <w:rtl/>
                              </w:rPr>
                              <w:t xml:space="preserve"> </w:t>
                            </w:r>
                            <w:r w:rsidRPr="00CD3D58">
                              <w:rPr>
                                <w:rFonts w:cs="Tahoma" w:hint="eastAsia"/>
                                <w:color w:val="0B5294"/>
                                <w:spacing w:val="-4"/>
                                <w:sz w:val="24"/>
                                <w:szCs w:val="24"/>
                                <w:rtl/>
                              </w:rPr>
                              <w:t>על</w:t>
                            </w:r>
                            <w:r w:rsidRPr="00CD3D58">
                              <w:rPr>
                                <w:rFonts w:cs="Tahoma"/>
                                <w:color w:val="0B5294"/>
                                <w:spacing w:val="-4"/>
                                <w:sz w:val="24"/>
                                <w:szCs w:val="24"/>
                                <w:rtl/>
                              </w:rPr>
                              <w:t xml:space="preserve"> </w:t>
                            </w:r>
                            <w:r w:rsidRPr="00CD3D58">
                              <w:rPr>
                                <w:rFonts w:cs="Tahoma" w:hint="eastAsia"/>
                                <w:color w:val="0B5294"/>
                                <w:spacing w:val="-4"/>
                                <w:sz w:val="24"/>
                                <w:szCs w:val="24"/>
                                <w:rtl/>
                              </w:rPr>
                              <w:t>כלל</w:t>
                            </w:r>
                            <w:r w:rsidRPr="00CD3D58">
                              <w:rPr>
                                <w:rFonts w:cs="Tahoma"/>
                                <w:color w:val="0B5294"/>
                                <w:spacing w:val="-4"/>
                                <w:sz w:val="24"/>
                                <w:szCs w:val="24"/>
                                <w:rtl/>
                              </w:rPr>
                              <w:t xml:space="preserve"> </w:t>
                            </w:r>
                            <w:r w:rsidRPr="00CD3D58">
                              <w:rPr>
                                <w:rFonts w:cs="Tahoma" w:hint="eastAsia"/>
                                <w:color w:val="0B5294"/>
                                <w:spacing w:val="-4"/>
                                <w:sz w:val="24"/>
                                <w:szCs w:val="24"/>
                                <w:rtl/>
                              </w:rPr>
                              <w:t>המרחב</w:t>
                            </w:r>
                            <w:r w:rsidRPr="00CD3D58">
                              <w:rPr>
                                <w:rFonts w:cs="Tahoma"/>
                                <w:color w:val="0B5294"/>
                                <w:spacing w:val="-4"/>
                                <w:sz w:val="24"/>
                                <w:szCs w:val="24"/>
                                <w:rtl/>
                              </w:rPr>
                              <w:t xml:space="preserve"> </w:t>
                            </w:r>
                            <w:r w:rsidRPr="00CD3D58">
                              <w:rPr>
                                <w:rFonts w:cs="Tahoma" w:hint="eastAsia"/>
                                <w:color w:val="0B5294"/>
                                <w:spacing w:val="-4"/>
                                <w:sz w:val="24"/>
                                <w:szCs w:val="24"/>
                                <w:rtl/>
                              </w:rPr>
                              <w:t>הקיברנטי</w:t>
                            </w:r>
                            <w:r w:rsidRPr="00CD3D58">
                              <w:rPr>
                                <w:rFonts w:cs="Tahoma"/>
                                <w:color w:val="0B5294"/>
                                <w:spacing w:val="-4"/>
                                <w:sz w:val="24"/>
                                <w:szCs w:val="24"/>
                                <w:rtl/>
                              </w:rPr>
                              <w:t xml:space="preserve"> </w:t>
                            </w:r>
                            <w:r w:rsidRPr="00CD3D58">
                              <w:rPr>
                                <w:rFonts w:cs="Tahoma" w:hint="eastAsia"/>
                                <w:color w:val="0B5294"/>
                                <w:spacing w:val="-4"/>
                                <w:sz w:val="24"/>
                                <w:szCs w:val="24"/>
                                <w:rtl/>
                              </w:rPr>
                              <w:t>האזרחי</w:t>
                            </w:r>
                            <w:r w:rsidRPr="00CD3D58">
                              <w:rPr>
                                <w:rFonts w:cs="Tahoma"/>
                                <w:color w:val="0B5294"/>
                                <w:spacing w:val="-4"/>
                                <w:sz w:val="24"/>
                                <w:szCs w:val="24"/>
                                <w:rtl/>
                              </w:rPr>
                              <w:t xml:space="preserve"> </w:t>
                            </w:r>
                            <w:r w:rsidRPr="00CD3D58">
                              <w:rPr>
                                <w:rFonts w:cs="Tahoma" w:hint="eastAsia"/>
                                <w:color w:val="0B5294"/>
                                <w:spacing w:val="-4"/>
                                <w:sz w:val="24"/>
                                <w:szCs w:val="24"/>
                                <w:rtl/>
                              </w:rPr>
                              <w:t>ובין</w:t>
                            </w:r>
                            <w:r w:rsidRPr="00CD3D58">
                              <w:rPr>
                                <w:rFonts w:cs="Tahoma"/>
                                <w:color w:val="0B5294"/>
                                <w:spacing w:val="-4"/>
                                <w:sz w:val="24"/>
                                <w:szCs w:val="24"/>
                                <w:rtl/>
                              </w:rPr>
                              <w:t xml:space="preserve"> </w:t>
                            </w:r>
                            <w:r w:rsidRPr="00CD3D58">
                              <w:rPr>
                                <w:rFonts w:cs="Tahoma" w:hint="eastAsia"/>
                                <w:color w:val="0B5294"/>
                                <w:spacing w:val="-4"/>
                                <w:sz w:val="24"/>
                                <w:szCs w:val="24"/>
                                <w:rtl/>
                              </w:rPr>
                              <w:t>קצב</w:t>
                            </w:r>
                            <w:r w:rsidRPr="00CD3D58">
                              <w:rPr>
                                <w:rFonts w:cs="Tahoma"/>
                                <w:color w:val="0B5294"/>
                                <w:spacing w:val="-4"/>
                                <w:sz w:val="24"/>
                                <w:szCs w:val="24"/>
                                <w:rtl/>
                              </w:rPr>
                              <w:t xml:space="preserve"> </w:t>
                            </w:r>
                            <w:r w:rsidRPr="00CD3D58">
                              <w:rPr>
                                <w:rFonts w:cs="Tahoma" w:hint="eastAsia"/>
                                <w:color w:val="0B5294"/>
                                <w:spacing w:val="-4"/>
                                <w:sz w:val="24"/>
                                <w:szCs w:val="24"/>
                                <w:rtl/>
                              </w:rPr>
                              <w:t>ההתארגנות</w:t>
                            </w:r>
                            <w:r w:rsidRPr="00CD3D58">
                              <w:rPr>
                                <w:rFonts w:cs="Tahoma"/>
                                <w:color w:val="0B5294"/>
                                <w:spacing w:val="-4"/>
                                <w:sz w:val="24"/>
                                <w:szCs w:val="24"/>
                                <w:rtl/>
                              </w:rPr>
                              <w:t xml:space="preserve"> </w:t>
                            </w:r>
                            <w:r w:rsidRPr="00CD3D58">
                              <w:rPr>
                                <w:rFonts w:cs="Tahoma" w:hint="eastAsia"/>
                                <w:color w:val="0B5294"/>
                                <w:spacing w:val="-4"/>
                                <w:sz w:val="24"/>
                                <w:szCs w:val="24"/>
                                <w:rtl/>
                              </w:rPr>
                              <w:t>והמענה</w:t>
                            </w:r>
                            <w:r w:rsidRPr="00CD3D58">
                              <w:rPr>
                                <w:rFonts w:cs="Tahoma"/>
                                <w:color w:val="0B5294"/>
                                <w:spacing w:val="-4"/>
                                <w:sz w:val="24"/>
                                <w:szCs w:val="24"/>
                                <w:rtl/>
                              </w:rPr>
                              <w:t xml:space="preserve"> </w:t>
                            </w:r>
                            <w:r w:rsidRPr="00CD3D58">
                              <w:rPr>
                                <w:rFonts w:cs="Tahoma" w:hint="eastAsia"/>
                                <w:color w:val="0B5294"/>
                                <w:spacing w:val="-4"/>
                                <w:sz w:val="24"/>
                                <w:szCs w:val="24"/>
                                <w:rtl/>
                              </w:rPr>
                              <w:t>מבחינת</w:t>
                            </w:r>
                            <w:r w:rsidRPr="00CD3D58">
                              <w:rPr>
                                <w:rFonts w:cs="Tahoma"/>
                                <w:color w:val="0B5294"/>
                                <w:spacing w:val="-4"/>
                                <w:sz w:val="24"/>
                                <w:szCs w:val="24"/>
                                <w:rtl/>
                              </w:rPr>
                              <w:t xml:space="preserve"> </w:t>
                            </w:r>
                            <w:r w:rsidRPr="00CD3D58">
                              <w:rPr>
                                <w:rFonts w:cs="Tahoma" w:hint="eastAsia"/>
                                <w:color w:val="0B5294"/>
                                <w:spacing w:val="-4"/>
                                <w:sz w:val="24"/>
                                <w:szCs w:val="24"/>
                                <w:rtl/>
                              </w:rPr>
                              <w:t>ההיערכות</w:t>
                            </w:r>
                            <w:r w:rsidRPr="00CD3D58">
                              <w:rPr>
                                <w:rFonts w:cs="Tahoma"/>
                                <w:color w:val="0B5294"/>
                                <w:spacing w:val="-4"/>
                                <w:sz w:val="24"/>
                                <w:szCs w:val="24"/>
                                <w:rtl/>
                              </w:rPr>
                              <w:t xml:space="preserve"> </w:t>
                            </w:r>
                            <w:r w:rsidRPr="00CD3D58">
                              <w:rPr>
                                <w:rFonts w:cs="Tahoma" w:hint="eastAsia"/>
                                <w:color w:val="0B5294"/>
                                <w:spacing w:val="-4"/>
                                <w:sz w:val="24"/>
                                <w:szCs w:val="24"/>
                                <w:rtl/>
                              </w:rPr>
                              <w:t>המדינתית</w:t>
                            </w:r>
                            <w:r w:rsidRPr="00CD3D58">
                              <w:rPr>
                                <w:rFonts w:cs="Tahoma"/>
                                <w:color w:val="0B5294"/>
                                <w:spacing w:val="-4"/>
                                <w:sz w:val="24"/>
                                <w:szCs w:val="24"/>
                                <w:rtl/>
                              </w:rPr>
                              <w:t xml:space="preserve"> </w:t>
                            </w:r>
                            <w:r w:rsidRPr="00CD3D58">
                              <w:rPr>
                                <w:rFonts w:cs="Tahoma" w:hint="eastAsia"/>
                                <w:color w:val="0B5294"/>
                                <w:spacing w:val="-4"/>
                                <w:sz w:val="24"/>
                                <w:szCs w:val="24"/>
                                <w:rtl/>
                              </w:rPr>
                              <w:t>להגנתו</w:t>
                            </w:r>
                          </w:p>
                          <w:p w:rsidR="00CD3D58" w:rsidRPr="00373C5D" w:rsidP="00CD3D58">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4591298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2713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169.5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CD3D58" w:rsidRPr="00373C5D" w:rsidP="00CD3D58">
                      <w:pPr>
                        <w:spacing w:line="240" w:lineRule="atLeast"/>
                        <w:rPr>
                          <w:rFonts w:cs="Tahoma"/>
                          <w:b/>
                          <w:bCs/>
                          <w:color w:val="0B5294"/>
                          <w:sz w:val="48"/>
                          <w:szCs w:val="48"/>
                          <w:rtl/>
                        </w:rPr>
                      </w:pPr>
                      <w:drawing>
                        <wp:inline distT="0" distB="0" distL="0" distR="0">
                          <wp:extent cx="311150" cy="256800"/>
                          <wp:effectExtent l="0" t="0" r="0" b="0"/>
                          <wp:docPr id="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7826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CD3D58" w:rsidRPr="00881D99" w:rsidP="00CD3D58">
                      <w:pPr>
                        <w:spacing w:after="0" w:line="240" w:lineRule="auto"/>
                        <w:rPr>
                          <w:color w:val="0B5294"/>
                          <w:spacing w:val="-4"/>
                          <w:sz w:val="24"/>
                          <w:szCs w:val="24"/>
                          <w:rtl/>
                          <w:cs/>
                        </w:rPr>
                      </w:pPr>
                      <w:r w:rsidRPr="00CD3D58">
                        <w:rPr>
                          <w:rFonts w:cs="Tahoma" w:hint="eastAsia"/>
                          <w:color w:val="0B5294"/>
                          <w:spacing w:val="-4"/>
                          <w:sz w:val="24"/>
                          <w:szCs w:val="24"/>
                          <w:rtl/>
                        </w:rPr>
                        <w:t>קיימים</w:t>
                      </w:r>
                      <w:r w:rsidRPr="00CD3D58">
                        <w:rPr>
                          <w:rFonts w:cs="Tahoma"/>
                          <w:color w:val="0B5294"/>
                          <w:spacing w:val="-4"/>
                          <w:sz w:val="24"/>
                          <w:szCs w:val="24"/>
                          <w:rtl/>
                        </w:rPr>
                        <w:t xml:space="preserve"> </w:t>
                      </w:r>
                      <w:r w:rsidRPr="00CD3D58">
                        <w:rPr>
                          <w:rFonts w:cs="Tahoma" w:hint="eastAsia"/>
                          <w:color w:val="0B5294"/>
                          <w:spacing w:val="-4"/>
                          <w:sz w:val="24"/>
                          <w:szCs w:val="24"/>
                          <w:rtl/>
                        </w:rPr>
                        <w:t>פערים</w:t>
                      </w:r>
                      <w:r w:rsidRPr="00CD3D58">
                        <w:rPr>
                          <w:rFonts w:cs="Tahoma"/>
                          <w:color w:val="0B5294"/>
                          <w:spacing w:val="-4"/>
                          <w:sz w:val="24"/>
                          <w:szCs w:val="24"/>
                          <w:rtl/>
                        </w:rPr>
                        <w:t xml:space="preserve"> </w:t>
                      </w:r>
                      <w:r w:rsidRPr="00CD3D58">
                        <w:rPr>
                          <w:rFonts w:cs="Tahoma" w:hint="eastAsia"/>
                          <w:color w:val="0B5294"/>
                          <w:spacing w:val="-4"/>
                          <w:sz w:val="24"/>
                          <w:szCs w:val="24"/>
                          <w:rtl/>
                        </w:rPr>
                        <w:t>בין</w:t>
                      </w:r>
                      <w:r w:rsidRPr="00CD3D58">
                        <w:rPr>
                          <w:rFonts w:cs="Tahoma"/>
                          <w:color w:val="0B5294"/>
                          <w:spacing w:val="-4"/>
                          <w:sz w:val="24"/>
                          <w:szCs w:val="24"/>
                          <w:rtl/>
                        </w:rPr>
                        <w:t xml:space="preserve"> </w:t>
                      </w:r>
                      <w:r w:rsidRPr="00CD3D58">
                        <w:rPr>
                          <w:rFonts w:cs="Tahoma" w:hint="eastAsia"/>
                          <w:color w:val="0B5294"/>
                          <w:spacing w:val="-4"/>
                          <w:sz w:val="24"/>
                          <w:szCs w:val="24"/>
                          <w:rtl/>
                        </w:rPr>
                        <w:t>עצמת</w:t>
                      </w:r>
                      <w:r w:rsidRPr="00CD3D58">
                        <w:rPr>
                          <w:rFonts w:cs="Tahoma"/>
                          <w:color w:val="0B5294"/>
                          <w:spacing w:val="-4"/>
                          <w:sz w:val="24"/>
                          <w:szCs w:val="24"/>
                          <w:rtl/>
                        </w:rPr>
                        <w:t xml:space="preserve"> </w:t>
                      </w:r>
                      <w:r w:rsidRPr="00CD3D58">
                        <w:rPr>
                          <w:rFonts w:cs="Tahoma" w:hint="eastAsia"/>
                          <w:color w:val="0B5294"/>
                          <w:spacing w:val="-4"/>
                          <w:sz w:val="24"/>
                          <w:szCs w:val="24"/>
                          <w:rtl/>
                        </w:rPr>
                        <w:t>האיום</w:t>
                      </w:r>
                      <w:r w:rsidRPr="00CD3D58">
                        <w:rPr>
                          <w:rFonts w:cs="Tahoma"/>
                          <w:color w:val="0B5294"/>
                          <w:spacing w:val="-4"/>
                          <w:sz w:val="24"/>
                          <w:szCs w:val="24"/>
                          <w:rtl/>
                        </w:rPr>
                        <w:t xml:space="preserve"> </w:t>
                      </w:r>
                      <w:r w:rsidRPr="00CD3D58">
                        <w:rPr>
                          <w:rFonts w:cs="Tahoma" w:hint="eastAsia"/>
                          <w:color w:val="0B5294"/>
                          <w:spacing w:val="-4"/>
                          <w:sz w:val="24"/>
                          <w:szCs w:val="24"/>
                          <w:rtl/>
                        </w:rPr>
                        <w:t>על</w:t>
                      </w:r>
                      <w:r w:rsidRPr="00CD3D58">
                        <w:rPr>
                          <w:rFonts w:cs="Tahoma"/>
                          <w:color w:val="0B5294"/>
                          <w:spacing w:val="-4"/>
                          <w:sz w:val="24"/>
                          <w:szCs w:val="24"/>
                          <w:rtl/>
                        </w:rPr>
                        <w:t xml:space="preserve"> </w:t>
                      </w:r>
                      <w:r w:rsidRPr="00CD3D58">
                        <w:rPr>
                          <w:rFonts w:cs="Tahoma" w:hint="eastAsia"/>
                          <w:color w:val="0B5294"/>
                          <w:spacing w:val="-4"/>
                          <w:sz w:val="24"/>
                          <w:szCs w:val="24"/>
                          <w:rtl/>
                        </w:rPr>
                        <w:t>כלל</w:t>
                      </w:r>
                      <w:r w:rsidRPr="00CD3D58">
                        <w:rPr>
                          <w:rFonts w:cs="Tahoma"/>
                          <w:color w:val="0B5294"/>
                          <w:spacing w:val="-4"/>
                          <w:sz w:val="24"/>
                          <w:szCs w:val="24"/>
                          <w:rtl/>
                        </w:rPr>
                        <w:t xml:space="preserve"> </w:t>
                      </w:r>
                      <w:r w:rsidRPr="00CD3D58">
                        <w:rPr>
                          <w:rFonts w:cs="Tahoma" w:hint="eastAsia"/>
                          <w:color w:val="0B5294"/>
                          <w:spacing w:val="-4"/>
                          <w:sz w:val="24"/>
                          <w:szCs w:val="24"/>
                          <w:rtl/>
                        </w:rPr>
                        <w:t>המרחב</w:t>
                      </w:r>
                      <w:r w:rsidRPr="00CD3D58">
                        <w:rPr>
                          <w:rFonts w:cs="Tahoma"/>
                          <w:color w:val="0B5294"/>
                          <w:spacing w:val="-4"/>
                          <w:sz w:val="24"/>
                          <w:szCs w:val="24"/>
                          <w:rtl/>
                        </w:rPr>
                        <w:t xml:space="preserve"> </w:t>
                      </w:r>
                      <w:r w:rsidRPr="00CD3D58">
                        <w:rPr>
                          <w:rFonts w:cs="Tahoma" w:hint="eastAsia"/>
                          <w:color w:val="0B5294"/>
                          <w:spacing w:val="-4"/>
                          <w:sz w:val="24"/>
                          <w:szCs w:val="24"/>
                          <w:rtl/>
                        </w:rPr>
                        <w:t>הקיברנטי</w:t>
                      </w:r>
                      <w:r w:rsidRPr="00CD3D58">
                        <w:rPr>
                          <w:rFonts w:cs="Tahoma"/>
                          <w:color w:val="0B5294"/>
                          <w:spacing w:val="-4"/>
                          <w:sz w:val="24"/>
                          <w:szCs w:val="24"/>
                          <w:rtl/>
                        </w:rPr>
                        <w:t xml:space="preserve"> </w:t>
                      </w:r>
                      <w:r w:rsidRPr="00CD3D58">
                        <w:rPr>
                          <w:rFonts w:cs="Tahoma" w:hint="eastAsia"/>
                          <w:color w:val="0B5294"/>
                          <w:spacing w:val="-4"/>
                          <w:sz w:val="24"/>
                          <w:szCs w:val="24"/>
                          <w:rtl/>
                        </w:rPr>
                        <w:t>האזרחי</w:t>
                      </w:r>
                      <w:r w:rsidRPr="00CD3D58">
                        <w:rPr>
                          <w:rFonts w:cs="Tahoma"/>
                          <w:color w:val="0B5294"/>
                          <w:spacing w:val="-4"/>
                          <w:sz w:val="24"/>
                          <w:szCs w:val="24"/>
                          <w:rtl/>
                        </w:rPr>
                        <w:t xml:space="preserve"> </w:t>
                      </w:r>
                      <w:r w:rsidRPr="00CD3D58">
                        <w:rPr>
                          <w:rFonts w:cs="Tahoma" w:hint="eastAsia"/>
                          <w:color w:val="0B5294"/>
                          <w:spacing w:val="-4"/>
                          <w:sz w:val="24"/>
                          <w:szCs w:val="24"/>
                          <w:rtl/>
                        </w:rPr>
                        <w:t>ובין</w:t>
                      </w:r>
                      <w:r w:rsidRPr="00CD3D58">
                        <w:rPr>
                          <w:rFonts w:cs="Tahoma"/>
                          <w:color w:val="0B5294"/>
                          <w:spacing w:val="-4"/>
                          <w:sz w:val="24"/>
                          <w:szCs w:val="24"/>
                          <w:rtl/>
                        </w:rPr>
                        <w:t xml:space="preserve"> </w:t>
                      </w:r>
                      <w:r w:rsidRPr="00CD3D58">
                        <w:rPr>
                          <w:rFonts w:cs="Tahoma" w:hint="eastAsia"/>
                          <w:color w:val="0B5294"/>
                          <w:spacing w:val="-4"/>
                          <w:sz w:val="24"/>
                          <w:szCs w:val="24"/>
                          <w:rtl/>
                        </w:rPr>
                        <w:t>קצב</w:t>
                      </w:r>
                      <w:r w:rsidRPr="00CD3D58">
                        <w:rPr>
                          <w:rFonts w:cs="Tahoma"/>
                          <w:color w:val="0B5294"/>
                          <w:spacing w:val="-4"/>
                          <w:sz w:val="24"/>
                          <w:szCs w:val="24"/>
                          <w:rtl/>
                        </w:rPr>
                        <w:t xml:space="preserve"> </w:t>
                      </w:r>
                      <w:r w:rsidRPr="00CD3D58">
                        <w:rPr>
                          <w:rFonts w:cs="Tahoma" w:hint="eastAsia"/>
                          <w:color w:val="0B5294"/>
                          <w:spacing w:val="-4"/>
                          <w:sz w:val="24"/>
                          <w:szCs w:val="24"/>
                          <w:rtl/>
                        </w:rPr>
                        <w:t>ההתארגנות</w:t>
                      </w:r>
                      <w:r w:rsidRPr="00CD3D58">
                        <w:rPr>
                          <w:rFonts w:cs="Tahoma"/>
                          <w:color w:val="0B5294"/>
                          <w:spacing w:val="-4"/>
                          <w:sz w:val="24"/>
                          <w:szCs w:val="24"/>
                          <w:rtl/>
                        </w:rPr>
                        <w:t xml:space="preserve"> </w:t>
                      </w:r>
                      <w:r w:rsidRPr="00CD3D58">
                        <w:rPr>
                          <w:rFonts w:cs="Tahoma" w:hint="eastAsia"/>
                          <w:color w:val="0B5294"/>
                          <w:spacing w:val="-4"/>
                          <w:sz w:val="24"/>
                          <w:szCs w:val="24"/>
                          <w:rtl/>
                        </w:rPr>
                        <w:t>והמענה</w:t>
                      </w:r>
                      <w:r w:rsidRPr="00CD3D58">
                        <w:rPr>
                          <w:rFonts w:cs="Tahoma"/>
                          <w:color w:val="0B5294"/>
                          <w:spacing w:val="-4"/>
                          <w:sz w:val="24"/>
                          <w:szCs w:val="24"/>
                          <w:rtl/>
                        </w:rPr>
                        <w:t xml:space="preserve"> </w:t>
                      </w:r>
                      <w:r w:rsidRPr="00CD3D58">
                        <w:rPr>
                          <w:rFonts w:cs="Tahoma" w:hint="eastAsia"/>
                          <w:color w:val="0B5294"/>
                          <w:spacing w:val="-4"/>
                          <w:sz w:val="24"/>
                          <w:szCs w:val="24"/>
                          <w:rtl/>
                        </w:rPr>
                        <w:t>מבחינת</w:t>
                      </w:r>
                      <w:r w:rsidRPr="00CD3D58">
                        <w:rPr>
                          <w:rFonts w:cs="Tahoma"/>
                          <w:color w:val="0B5294"/>
                          <w:spacing w:val="-4"/>
                          <w:sz w:val="24"/>
                          <w:szCs w:val="24"/>
                          <w:rtl/>
                        </w:rPr>
                        <w:t xml:space="preserve"> </w:t>
                      </w:r>
                      <w:r w:rsidRPr="00CD3D58">
                        <w:rPr>
                          <w:rFonts w:cs="Tahoma" w:hint="eastAsia"/>
                          <w:color w:val="0B5294"/>
                          <w:spacing w:val="-4"/>
                          <w:sz w:val="24"/>
                          <w:szCs w:val="24"/>
                          <w:rtl/>
                        </w:rPr>
                        <w:t>ההיערכות</w:t>
                      </w:r>
                      <w:r w:rsidRPr="00CD3D58">
                        <w:rPr>
                          <w:rFonts w:cs="Tahoma"/>
                          <w:color w:val="0B5294"/>
                          <w:spacing w:val="-4"/>
                          <w:sz w:val="24"/>
                          <w:szCs w:val="24"/>
                          <w:rtl/>
                        </w:rPr>
                        <w:t xml:space="preserve"> </w:t>
                      </w:r>
                      <w:r w:rsidRPr="00CD3D58">
                        <w:rPr>
                          <w:rFonts w:cs="Tahoma" w:hint="eastAsia"/>
                          <w:color w:val="0B5294"/>
                          <w:spacing w:val="-4"/>
                          <w:sz w:val="24"/>
                          <w:szCs w:val="24"/>
                          <w:rtl/>
                        </w:rPr>
                        <w:t>המדינתית</w:t>
                      </w:r>
                      <w:r w:rsidRPr="00CD3D58">
                        <w:rPr>
                          <w:rFonts w:cs="Tahoma"/>
                          <w:color w:val="0B5294"/>
                          <w:spacing w:val="-4"/>
                          <w:sz w:val="24"/>
                          <w:szCs w:val="24"/>
                          <w:rtl/>
                        </w:rPr>
                        <w:t xml:space="preserve"> </w:t>
                      </w:r>
                      <w:r w:rsidRPr="00CD3D58">
                        <w:rPr>
                          <w:rFonts w:cs="Tahoma" w:hint="eastAsia"/>
                          <w:color w:val="0B5294"/>
                          <w:spacing w:val="-4"/>
                          <w:sz w:val="24"/>
                          <w:szCs w:val="24"/>
                          <w:rtl/>
                        </w:rPr>
                        <w:t>להגנתו</w:t>
                      </w:r>
                    </w:p>
                    <w:p w:rsidR="00CD3D58" w:rsidRPr="00373C5D" w:rsidP="00CD3D58">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1665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E20FA0" w:rsidR="00E20FA0">
        <w:rPr>
          <w:rtl/>
        </w:rPr>
        <w:t xml:space="preserve">סיכום </w:t>
      </w:r>
    </w:p>
    <w:p w:rsidR="00E20FA0" w:rsidRPr="00E20FA0" w:rsidP="00E20FA0">
      <w:pPr>
        <w:pStyle w:val="BlockText"/>
        <w:pBdr>
          <w:top w:val="single" w:sz="8" w:space="4" w:color="2A2AA6"/>
          <w:left w:val="single" w:sz="8" w:space="4" w:color="2A2AA6"/>
          <w:bottom w:val="single" w:sz="8" w:space="6" w:color="2A2AA6"/>
          <w:right w:val="single" w:sz="8" w:space="4" w:color="2A2AA6"/>
        </w:pBdr>
        <w:rPr>
          <w:rtl/>
        </w:rPr>
      </w:pPr>
      <w:r w:rsidRPr="00E20FA0">
        <w:rPr>
          <w:rtl/>
        </w:rPr>
        <w:t xml:space="preserve">התלות של ארגונים רבים במערכות הממוחשבות שלהם גדלה והולכת. האירועים אשר מתרחשים במרחב הסייבר הכלל-עולמי מלמדים על מגמת העלייה הדרמטית באיום הנשקף במרחב הסייבר הן במספר האירועים והתקיפות הצפויים והן במורכבותם. החלטת הממשלה מ-2011 הביאה להקמת המטה </w:t>
      </w:r>
      <w:r w:rsidRPr="00E20FA0">
        <w:rPr>
          <w:rtl/>
        </w:rPr>
        <w:t>הקיברנטי</w:t>
      </w:r>
      <w:r w:rsidRPr="00E20FA0">
        <w:rPr>
          <w:rtl/>
        </w:rPr>
        <w:t xml:space="preserve"> הלאומי בתחילת שנת 2012 והטילה עליו להסדיר את האחריות לטיפול במרחב </w:t>
      </w:r>
      <w:r w:rsidRPr="00E20FA0">
        <w:rPr>
          <w:rtl/>
        </w:rPr>
        <w:t>הקיברנטי</w:t>
      </w:r>
      <w:r w:rsidRPr="00E20FA0">
        <w:rPr>
          <w:rtl/>
        </w:rPr>
        <w:t xml:space="preserve"> ולהגיש הצעה לתפיסת הגנה כוללת לממשלה תוך 120 יום מהקמתו. הקמת מטה הסייבר הלאומי הרחיבה והעמיקה את הפעילות הממשלתית בתחום הסייבר. עם זאת, ממצאי דוח זה מלמדים על כך שקיימים פערים בין עצמת האיום על כלל המרחב </w:t>
      </w:r>
      <w:r w:rsidRPr="00E20FA0">
        <w:rPr>
          <w:rtl/>
        </w:rPr>
        <w:t>הקיברנטי</w:t>
      </w:r>
      <w:r w:rsidRPr="00E20FA0">
        <w:rPr>
          <w:rtl/>
        </w:rPr>
        <w:t xml:space="preserve"> האזרחי ובין קצב ההתארגנות והמענה מבחינת ההיערכות המדינתית להגנתו, להוציא תחומים ומגזרים מעטים כמו תשתיות מדינתיות קריטיות.</w:t>
      </w:r>
    </w:p>
    <w:p w:rsidR="00E20FA0" w:rsidRPr="00E20FA0" w:rsidP="00E20FA0">
      <w:pPr>
        <w:pStyle w:val="BlockText"/>
        <w:pBdr>
          <w:top w:val="single" w:sz="8" w:space="4" w:color="2A2AA6"/>
          <w:left w:val="single" w:sz="8" w:space="4" w:color="2A2AA6"/>
          <w:bottom w:val="single" w:sz="8" w:space="6" w:color="2A2AA6"/>
          <w:right w:val="single" w:sz="8" w:space="4" w:color="2A2AA6"/>
        </w:pBdr>
        <w:rPr>
          <w:rtl/>
        </w:rPr>
      </w:pPr>
      <w:r w:rsidRPr="00E20FA0">
        <w:rPr>
          <w:rtl/>
        </w:rPr>
        <w:t>בפברואר 2015,</w:t>
      </w:r>
      <w:r w:rsidRPr="00E20FA0">
        <w:rPr>
          <w:rFonts w:hint="cs"/>
          <w:rtl/>
        </w:rPr>
        <w:t xml:space="preserve"> </w:t>
      </w:r>
      <w:r w:rsidRPr="00E20FA0">
        <w:rPr>
          <w:rtl/>
        </w:rPr>
        <w:t>בחלוף כשלוש שנים וחצי מאז הקמת מטה הסייבר, קיבלה הממשלה שתי החלטות בנושא. נוסח החלטת הממשלה העוסקת בהסדרת האחריות לפעולה במרחב הסייבר אינו בהיר דיו, בכל הקשור לסמכות ולאחריות הגופים העוסקים בנושא,</w:t>
      </w:r>
      <w:r w:rsidRPr="00E20FA0">
        <w:rPr>
          <w:rFonts w:hint="cs"/>
          <w:rtl/>
        </w:rPr>
        <w:t xml:space="preserve"> </w:t>
      </w:r>
      <w:r w:rsidRPr="00E20FA0">
        <w:rPr>
          <w:rtl/>
        </w:rPr>
        <w:t>וגם בהליך גיבוש ואישור מסמך תפיסת ההגנה נפלו כמה ליקויים.</w:t>
      </w:r>
    </w:p>
    <w:p w:rsidR="00E20FA0" w:rsidRPr="0010381E" w:rsidP="00E20FA0">
      <w:pPr>
        <w:pStyle w:val="BlockText"/>
        <w:pBdr>
          <w:top w:val="single" w:sz="8" w:space="4" w:color="2A2AA6"/>
          <w:left w:val="single" w:sz="8" w:space="4" w:color="2A2AA6"/>
          <w:bottom w:val="single" w:sz="8" w:space="6" w:color="2A2AA6"/>
          <w:right w:val="single" w:sz="8" w:space="4" w:color="2A2AA6"/>
        </w:pBdr>
        <w:rPr>
          <w:rtl/>
        </w:rPr>
      </w:pPr>
      <w:r w:rsidRPr="00E20FA0">
        <w:rPr>
          <w:rtl/>
        </w:rPr>
        <w:t xml:space="preserve">הסדרת האחריות לטיפול במרחב הסייבר, הקמת הרשות והסדרת שיתוף הפעולה בינה ובין הגופים הפועלים במרחב הסייבר הן פעולות מורכבות ורגישות הכוללות היבטים מבצעיים, תקציביים, טכנולוגיים ומשפטיים. תכליתו של דוח זה להעלות את הנושא למסילה של יישום מיטבי. על כן יש לתת את הדעת לממצאי הדוח, ולפיהם בעבודת המטה ובתהליך קבלת ההחלטות על הסדרת האחריות לטיפול בתחום </w:t>
      </w:r>
      <w:r w:rsidRPr="00E20FA0">
        <w:rPr>
          <w:rtl/>
        </w:rPr>
        <w:t>הקיברנטי</w:t>
      </w:r>
      <w:r w:rsidRPr="00E20FA0">
        <w:rPr>
          <w:rtl/>
        </w:rPr>
        <w:t xml:space="preserve"> במדינת ישראל נפלו ליקויים מהותיים. יש ללמוד ממצאים אלה הן לצורך הפקת הלקחים הנדרשת לעניין הליכי התכנון וההחלטה ברמה הלאומית בעתיד, והן לצורך קידום המשימות הנדרשות בתחום ההיערכות לאבטחת המרחב </w:t>
      </w:r>
      <w:r w:rsidRPr="00E20FA0">
        <w:rPr>
          <w:rtl/>
        </w:rPr>
        <w:t>הקיברנטי</w:t>
      </w:r>
      <w:r w:rsidRPr="00E20FA0">
        <w:rPr>
          <w:rtl/>
        </w:rPr>
        <w:t xml:space="preserve">. </w:t>
      </w:r>
    </w:p>
    <w:p w:rsidR="00FA0244" w:rsidP="00AD64F2">
      <w:pPr>
        <w:rPr>
          <w:rtl/>
        </w:rPr>
      </w:pPr>
      <w:bookmarkEnd w:id="0"/>
      <w:bookmarkEnd w:id="1"/>
      <w:bookmarkEnd w:id="2"/>
      <w:bookmarkEnd w:id="3"/>
      <w:bookmarkEnd w:id="4"/>
    </w:p>
    <w:sectPr w:rsidSect="00410B08">
      <w:headerReference w:type="even" r:id="rId12"/>
      <w:headerReference w:type="default" r:id="rId13"/>
      <w:pgSz w:w="11906" w:h="16838" w:code="9"/>
      <w:pgMar w:top="3402" w:right="1701" w:bottom="2835"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B3E6F" w:rsidRPr="008A007A" w:rsidP="008A007A">
      <w:pPr>
        <w:pStyle w:val="Footer"/>
      </w:pPr>
    </w:p>
  </w:footnote>
  <w:footnote w:type="continuationSeparator" w:id="1">
    <w:p w:rsidR="006B3E6F" w:rsidP="00CB3322">
      <w:pPr>
        <w:spacing w:after="0" w:line="240" w:lineRule="auto"/>
      </w:pPr>
      <w:r>
        <w:continuationSeparator/>
      </w:r>
    </w:p>
    <w:p w:rsidR="006B3E6F"/>
  </w:footnote>
  <w:footnote w:id="2">
    <w:p w:rsidR="009A6A97" w:rsidRPr="005914D3" w:rsidP="005914D3">
      <w:pPr>
        <w:pStyle w:val="FootnoteText"/>
        <w:keepLines/>
        <w:spacing w:after="80" w:line="200" w:lineRule="exact"/>
        <w:ind w:left="397" w:right="2268" w:hanging="397"/>
        <w:jc w:val="both"/>
        <w:rPr>
          <w:rStyle w:val="FootnoteReference"/>
          <w:rFonts w:ascii="Tahoma" w:hAnsi="Tahoma" w:cs="Tahoma"/>
          <w:sz w:val="14"/>
          <w:szCs w:val="14"/>
          <w:vertAlign w:val="baseline"/>
        </w:rPr>
      </w:pPr>
      <w:r w:rsidRPr="005914D3">
        <w:rPr>
          <w:rStyle w:val="FootnoteReference"/>
          <w:rFonts w:ascii="Tahoma" w:hAnsi="Tahoma" w:cs="Tahoma"/>
          <w:sz w:val="14"/>
          <w:szCs w:val="14"/>
          <w:vertAlign w:val="baseline"/>
        </w:rPr>
        <w:footnoteRef/>
      </w:r>
      <w:r w:rsidRPr="005914D3">
        <w:rPr>
          <w:rStyle w:val="FootnoteReference"/>
          <w:rFonts w:ascii="Tahoma" w:hAnsi="Tahoma" w:cs="Tahoma"/>
          <w:sz w:val="14"/>
          <w:szCs w:val="14"/>
          <w:vertAlign w:val="baseline"/>
          <w:rtl/>
        </w:rPr>
        <w:tab/>
        <w:t xml:space="preserve">החלטה מספר 3611 שנושאה הוא "קידום היכולת הלאומית במרחב </w:t>
      </w:r>
      <w:r w:rsidRPr="005914D3">
        <w:rPr>
          <w:rStyle w:val="FootnoteReference"/>
          <w:rFonts w:ascii="Tahoma" w:hAnsi="Tahoma" w:cs="Tahoma"/>
          <w:sz w:val="14"/>
          <w:szCs w:val="14"/>
          <w:vertAlign w:val="baseline"/>
          <w:rtl/>
        </w:rPr>
        <w:t>הקיברנטי</w:t>
      </w:r>
      <w:r w:rsidRPr="005914D3">
        <w:rPr>
          <w:rStyle w:val="FootnoteReference"/>
          <w:rFonts w:ascii="Tahoma" w:hAnsi="Tahoma" w:cs="Tahoma"/>
          <w:sz w:val="14"/>
          <w:szCs w:val="14"/>
          <w:vertAlign w:val="baseline"/>
          <w:rtl/>
        </w:rPr>
        <w:t xml:space="preserve">". הגדרת המרחב </w:t>
      </w:r>
      <w:r w:rsidRPr="005914D3">
        <w:rPr>
          <w:rStyle w:val="FootnoteReference"/>
          <w:rFonts w:ascii="Tahoma" w:hAnsi="Tahoma" w:cs="Tahoma"/>
          <w:sz w:val="14"/>
          <w:szCs w:val="14"/>
          <w:vertAlign w:val="baseline"/>
          <w:rtl/>
        </w:rPr>
        <w:t>הקיברנטי</w:t>
      </w:r>
      <w:r w:rsidRPr="005914D3">
        <w:rPr>
          <w:rStyle w:val="FootnoteReference"/>
          <w:rFonts w:ascii="Tahoma" w:hAnsi="Tahoma" w:cs="Tahoma"/>
          <w:sz w:val="14"/>
          <w:szCs w:val="14"/>
          <w:vertAlign w:val="baseline"/>
          <w:rtl/>
        </w:rPr>
        <w:t xml:space="preserve"> לקוחה מהחלטה זו.</w:t>
      </w:r>
    </w:p>
  </w:footnote>
  <w:footnote w:id="3">
    <w:p w:rsidR="009A6A97" w:rsidRPr="005914D3" w:rsidP="00E20FA0">
      <w:pPr>
        <w:pStyle w:val="FootnoteText"/>
        <w:keepLines/>
        <w:spacing w:after="80" w:line="200" w:lineRule="exact"/>
        <w:ind w:left="397" w:right="2268" w:hanging="397"/>
        <w:jc w:val="both"/>
        <w:rPr>
          <w:rStyle w:val="FootnoteReference"/>
          <w:rFonts w:ascii="Tahoma" w:hAnsi="Tahoma" w:cs="Tahoma"/>
          <w:sz w:val="14"/>
          <w:szCs w:val="14"/>
          <w:vertAlign w:val="baseline"/>
        </w:rPr>
      </w:pPr>
      <w:r w:rsidRPr="005914D3">
        <w:rPr>
          <w:rStyle w:val="FootnoteReference"/>
          <w:rFonts w:ascii="Tahoma" w:hAnsi="Tahoma" w:cs="Tahoma"/>
          <w:sz w:val="14"/>
          <w:szCs w:val="14"/>
          <w:vertAlign w:val="baseline"/>
        </w:rPr>
        <w:footnoteRef/>
      </w:r>
      <w:r w:rsidRPr="005914D3">
        <w:rPr>
          <w:rStyle w:val="FootnoteReference"/>
          <w:rFonts w:ascii="Tahoma" w:hAnsi="Tahoma" w:cs="Tahoma"/>
          <w:sz w:val="14"/>
          <w:szCs w:val="14"/>
          <w:vertAlign w:val="baseline"/>
          <w:rtl/>
        </w:rPr>
        <w:tab/>
        <w:t>תשתיות מחשוב קריטיות.</w:t>
      </w:r>
    </w:p>
  </w:footnote>
  <w:footnote w:id="4">
    <w:p w:rsidR="009A6A97" w:rsidRPr="005914D3" w:rsidP="00E20FA0">
      <w:pPr>
        <w:pStyle w:val="FootnoteText"/>
        <w:keepLines/>
        <w:spacing w:after="80" w:line="200" w:lineRule="exact"/>
        <w:ind w:left="397" w:right="2268" w:hanging="397"/>
        <w:jc w:val="both"/>
        <w:rPr>
          <w:rStyle w:val="FootnoteReference"/>
          <w:rFonts w:ascii="Tahoma" w:hAnsi="Tahoma" w:cs="Tahoma"/>
          <w:sz w:val="14"/>
          <w:szCs w:val="14"/>
          <w:vertAlign w:val="baseline"/>
          <w:rtl/>
        </w:rPr>
      </w:pPr>
      <w:r w:rsidRPr="005914D3">
        <w:rPr>
          <w:rStyle w:val="FootnoteReference"/>
          <w:rFonts w:ascii="Tahoma" w:hAnsi="Tahoma" w:cs="Tahoma"/>
          <w:sz w:val="14"/>
          <w:szCs w:val="14"/>
          <w:vertAlign w:val="baseline"/>
        </w:rPr>
        <w:footnoteRef/>
      </w:r>
      <w:r w:rsidRPr="005914D3">
        <w:rPr>
          <w:rStyle w:val="FootnoteReference"/>
          <w:rFonts w:ascii="Tahoma" w:hAnsi="Tahoma" w:cs="Tahoma"/>
          <w:sz w:val="14"/>
          <w:szCs w:val="14"/>
          <w:vertAlign w:val="baseline"/>
          <w:rtl/>
        </w:rPr>
        <w:tab/>
        <w:t>החלטת ועדת השרים לענייני ביטחון לאומי בנושא "אחריות להגנה על מערכות ממוחשבות" משנת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4F2" w:rsidRPr="000536D4" w:rsidP="006C5F46">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672587">
      <w:rPr>
        <w:rFonts w:ascii="Arial Bold" w:hAnsi="Arial Bold" w:cs="Tahoma"/>
        <w:noProof/>
        <w:sz w:val="16"/>
        <w:szCs w:val="16"/>
        <w:rtl/>
      </w:rPr>
      <w:t>10</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w:t>
    </w:r>
    <w:r>
      <w:rPr>
        <w:rFonts w:ascii="Arial Bold" w:hAnsi="Arial Bold" w:cs="Tahoma" w:hint="eastAsia"/>
        <w:b w:val="0"/>
        <w:bCs w:val="0"/>
        <w:noProo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0536D4">
      <w:rPr>
        <w:rFonts w:ascii="Arial Bold" w:hAnsi="Arial Bold" w:cs="Tahoma" w:hint="eastAsia"/>
        <w:b w:val="0"/>
        <w:bCs w:val="0"/>
        <w:sz w:val="16"/>
        <w:szCs w:val="16"/>
        <w:rtl/>
      </w:rPr>
      <w:t>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Pr>
        <w:rFonts w:ascii="Arial Bold" w:hAnsi="Arial Bold" w:cs="Tahoma"/>
        <w:b w:val="0"/>
        <w:bCs w:val="0"/>
        <w:sz w:val="16"/>
        <w:szCs w:val="16"/>
        <w:rtl/>
      </w:rPr>
      <w:t xml:space="preserve"> 6</w:t>
    </w:r>
    <w:r>
      <w:rPr>
        <w:rFonts w:ascii="Arial Bold" w:hAnsi="Arial Bold" w:cs="Tahoma" w:hint="cs"/>
        <w:b w:val="0"/>
        <w:bCs w:val="0"/>
        <w:sz w:val="16"/>
        <w:szCs w:val="16"/>
        <w:rtl/>
      </w:rPr>
      <w:t>7א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4F2"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Pr>
        <w:rFonts w:ascii="Arial Bold" w:hAnsi="Arial Bold" w:cs="Tahoma" w:hint="eastAsia"/>
        <w:b w:val="0"/>
        <w:bCs w:val="0"/>
        <w:noProo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BB132C">
      <w:rPr>
        <w:rFonts w:hint="eastAsia"/>
        <w:rtl/>
      </w:rPr>
      <w:t xml:space="preserve"> </w:t>
    </w:r>
    <w:r w:rsidRPr="00BB132C">
      <w:rPr>
        <w:rFonts w:ascii="Arial Bold" w:hAnsi="Arial Bold" w:cs="Tahoma" w:hint="eastAsia"/>
        <w:b w:val="0"/>
        <w:bCs w:val="0"/>
        <w:noProof/>
        <w:sz w:val="16"/>
        <w:szCs w:val="16"/>
        <w:rtl/>
      </w:rPr>
      <w:t>היבטים</w:t>
    </w:r>
    <w:r w:rsidRPr="00BB132C">
      <w:rPr>
        <w:rFonts w:ascii="Arial Bold" w:hAnsi="Arial Bold" w:cs="Tahoma"/>
        <w:b w:val="0"/>
        <w:bCs w:val="0"/>
        <w:noProof/>
        <w:sz w:val="16"/>
        <w:szCs w:val="16"/>
        <w:rtl/>
      </w:rPr>
      <w:t xml:space="preserve"> </w:t>
    </w:r>
    <w:r w:rsidRPr="00BB132C">
      <w:rPr>
        <w:rFonts w:ascii="Arial Bold" w:hAnsi="Arial Bold" w:cs="Tahoma" w:hint="eastAsia"/>
        <w:b w:val="0"/>
        <w:bCs w:val="0"/>
        <w:noProof/>
        <w:sz w:val="16"/>
        <w:szCs w:val="16"/>
        <w:rtl/>
      </w:rPr>
      <w:t>בהיערכות</w:t>
    </w:r>
    <w:r w:rsidRPr="00BB132C">
      <w:rPr>
        <w:rFonts w:ascii="Arial Bold" w:hAnsi="Arial Bold" w:cs="Tahoma"/>
        <w:b w:val="0"/>
        <w:bCs w:val="0"/>
        <w:noProof/>
        <w:sz w:val="16"/>
        <w:szCs w:val="16"/>
        <w:rtl/>
      </w:rPr>
      <w:t xml:space="preserve"> </w:t>
    </w:r>
    <w:r w:rsidRPr="00BB132C">
      <w:rPr>
        <w:rFonts w:ascii="Arial Bold" w:hAnsi="Arial Bold" w:cs="Tahoma" w:hint="eastAsia"/>
        <w:b w:val="0"/>
        <w:bCs w:val="0"/>
        <w:noProof/>
        <w:sz w:val="16"/>
        <w:szCs w:val="16"/>
        <w:rtl/>
      </w:rPr>
      <w:t>המדינה</w:t>
    </w:r>
    <w:r w:rsidRPr="00BB132C">
      <w:rPr>
        <w:rFonts w:ascii="Arial Bold" w:hAnsi="Arial Bold" w:cs="Tahoma"/>
        <w:b w:val="0"/>
        <w:bCs w:val="0"/>
        <w:noProof/>
        <w:sz w:val="16"/>
        <w:szCs w:val="16"/>
        <w:rtl/>
      </w:rPr>
      <w:t xml:space="preserve"> </w:t>
    </w:r>
    <w:r w:rsidRPr="00BB132C">
      <w:rPr>
        <w:rFonts w:ascii="Arial Bold" w:hAnsi="Arial Bold" w:cs="Tahoma" w:hint="eastAsia"/>
        <w:b w:val="0"/>
        <w:bCs w:val="0"/>
        <w:noProof/>
        <w:sz w:val="16"/>
        <w:szCs w:val="16"/>
        <w:rtl/>
      </w:rPr>
      <w:t>להגנת</w:t>
    </w:r>
    <w:r w:rsidRPr="00BB132C">
      <w:rPr>
        <w:rFonts w:ascii="Arial Bold" w:hAnsi="Arial Bold" w:cs="Tahoma"/>
        <w:b w:val="0"/>
        <w:bCs w:val="0"/>
        <w:noProof/>
        <w:sz w:val="16"/>
        <w:szCs w:val="16"/>
        <w:rtl/>
      </w:rPr>
      <w:t xml:space="preserve"> </w:t>
    </w:r>
    <w:r w:rsidRPr="00BB132C">
      <w:rPr>
        <w:rFonts w:ascii="Arial Bold" w:hAnsi="Arial Bold" w:cs="Tahoma" w:hint="eastAsia"/>
        <w:b w:val="0"/>
        <w:bCs w:val="0"/>
        <w:noProof/>
        <w:sz w:val="16"/>
        <w:szCs w:val="16"/>
        <w:rtl/>
      </w:rPr>
      <w:t>המרחב</w:t>
    </w:r>
    <w:r w:rsidRPr="00BB132C">
      <w:rPr>
        <w:rFonts w:ascii="Arial Bold" w:hAnsi="Arial Bold" w:cs="Tahoma"/>
        <w:b w:val="0"/>
        <w:bCs w:val="0"/>
        <w:noProof/>
        <w:sz w:val="16"/>
        <w:szCs w:val="16"/>
        <w:rtl/>
      </w:rPr>
      <w:t xml:space="preserve"> </w:t>
    </w:r>
    <w:r w:rsidRPr="00BB132C">
      <w:rPr>
        <w:rFonts w:ascii="Arial Bold" w:hAnsi="Arial Bold" w:cs="Tahoma" w:hint="eastAsia"/>
        <w:b w:val="0"/>
        <w:bCs w:val="0"/>
        <w:noProof/>
        <w:sz w:val="16"/>
        <w:szCs w:val="16"/>
        <w:rtl/>
      </w:rPr>
      <w:t>הקיברנטי</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672587">
      <w:rPr>
        <w:rFonts w:ascii="Arial Bold" w:hAnsi="Arial Bold" w:cs="Tahoma"/>
        <w:noProof/>
        <w:sz w:val="16"/>
        <w:szCs w:val="16"/>
        <w:rtl/>
      </w:rPr>
      <w:t>7</w:t>
    </w:r>
    <w:r w:rsidRPr="000536D4">
      <w:rPr>
        <w:rFonts w:ascii="Arial Bold" w:hAnsi="Arial Bold" w:cs="Tahoma"/>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958AB"/>
    <w:multiLevelType w:val="multilevel"/>
    <w:tmpl w:val="D72C347E"/>
    <w:lvl w:ilvl="0">
      <w:start w:val="1"/>
      <w:numFmt w:val="decimal"/>
      <w:lvlText w:val="%1."/>
      <w:lvlJc w:val="left"/>
      <w:pPr>
        <w:ind w:left="340" w:hanging="340"/>
      </w:pPr>
      <w:rPr>
        <w:b/>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10605432"/>
    <w:multiLevelType w:val="hybridMultilevel"/>
    <w:tmpl w:val="55DC5252"/>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2">
    <w:nsid w:val="17C04657"/>
    <w:multiLevelType w:val="multilevel"/>
    <w:tmpl w:val="4058D25E"/>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1B220BC1"/>
    <w:multiLevelType w:val="hybridMultilevel"/>
    <w:tmpl w:val="1B5CE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5FFB"/>
    <w:multiLevelType w:val="hybridMultilevel"/>
    <w:tmpl w:val="7182FB84"/>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6">
    <w:nsid w:val="2C2E0C5F"/>
    <w:multiLevelType w:val="multilevel"/>
    <w:tmpl w:val="3C82A1F2"/>
    <w:lvl w:ilvl="0">
      <w:start w:val="3"/>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nsid w:val="32760DC3"/>
    <w:multiLevelType w:val="hybridMultilevel"/>
    <w:tmpl w:val="1D3CF324"/>
    <w:lvl w:ilvl="0">
      <w:start w:val="1"/>
      <w:numFmt w:val="bullet"/>
      <w:lvlText w:val=""/>
      <w:lvlJc w:val="left"/>
      <w:pPr>
        <w:ind w:left="644" w:hanging="360"/>
      </w:pPr>
      <w:rPr>
        <w:rFonts w:ascii="Symbol" w:hAnsi="Symbol" w:hint="default"/>
        <w:lang w:bidi="he-IL"/>
      </w:rPr>
    </w:lvl>
    <w:lvl w:ilvl="1">
      <w:start w:val="1"/>
      <w:numFmt w:val="bullet"/>
      <w:lvlText w:val=""/>
      <w:lvlJc w:val="left"/>
      <w:pPr>
        <w:ind w:left="1494" w:hanging="360"/>
      </w:pPr>
      <w:rPr>
        <w:rFonts w:ascii="Symbol" w:hAnsi="Symbol" w:hint="default"/>
        <w:lang w:bidi="he-IL"/>
      </w:rPr>
    </w:lvl>
    <w:lvl w:ilvl="2">
      <w:start w:val="1"/>
      <w:numFmt w:val="bullet"/>
      <w:lvlText w:val="-"/>
      <w:lvlJc w:val="left"/>
      <w:pPr>
        <w:ind w:left="4918" w:hanging="360"/>
      </w:pPr>
      <w:rPr>
        <w:rFonts w:ascii="Courier New" w:hAnsi="Courier New" w:hint="default"/>
        <w:lang w:bidi="he-IL"/>
      </w:rPr>
    </w:lvl>
    <w:lvl w:ilvl="3">
      <w:start w:val="1"/>
      <w:numFmt w:val="bullet"/>
      <w:lvlText w:val=""/>
      <w:lvlJc w:val="left"/>
      <w:pPr>
        <w:ind w:left="5638" w:hanging="360"/>
      </w:pPr>
      <w:rPr>
        <w:rFonts w:ascii="Symbol" w:hAnsi="Symbol" w:hint="default"/>
      </w:rPr>
    </w:lvl>
    <w:lvl w:ilvl="4" w:tentative="1">
      <w:start w:val="1"/>
      <w:numFmt w:val="bullet"/>
      <w:lvlText w:val="o"/>
      <w:lvlJc w:val="left"/>
      <w:pPr>
        <w:ind w:left="6358" w:hanging="360"/>
      </w:pPr>
      <w:rPr>
        <w:rFonts w:ascii="Courier New" w:hAnsi="Courier New" w:cs="Courier New" w:hint="default"/>
      </w:rPr>
    </w:lvl>
    <w:lvl w:ilvl="5" w:tentative="1">
      <w:start w:val="1"/>
      <w:numFmt w:val="bullet"/>
      <w:lvlText w:val=""/>
      <w:lvlJc w:val="left"/>
      <w:pPr>
        <w:ind w:left="7078" w:hanging="360"/>
      </w:pPr>
      <w:rPr>
        <w:rFonts w:ascii="Wingdings" w:hAnsi="Wingdings" w:hint="default"/>
      </w:rPr>
    </w:lvl>
    <w:lvl w:ilvl="6" w:tentative="1">
      <w:start w:val="1"/>
      <w:numFmt w:val="bullet"/>
      <w:lvlText w:val=""/>
      <w:lvlJc w:val="left"/>
      <w:pPr>
        <w:ind w:left="7798" w:hanging="360"/>
      </w:pPr>
      <w:rPr>
        <w:rFonts w:ascii="Symbol" w:hAnsi="Symbol" w:hint="default"/>
      </w:rPr>
    </w:lvl>
    <w:lvl w:ilvl="7" w:tentative="1">
      <w:start w:val="1"/>
      <w:numFmt w:val="bullet"/>
      <w:lvlText w:val="o"/>
      <w:lvlJc w:val="left"/>
      <w:pPr>
        <w:ind w:left="8518" w:hanging="360"/>
      </w:pPr>
      <w:rPr>
        <w:rFonts w:ascii="Courier New" w:hAnsi="Courier New" w:cs="Courier New" w:hint="default"/>
      </w:rPr>
    </w:lvl>
    <w:lvl w:ilvl="8" w:tentative="1">
      <w:start w:val="1"/>
      <w:numFmt w:val="bullet"/>
      <w:lvlText w:val=""/>
      <w:lvlJc w:val="left"/>
      <w:pPr>
        <w:ind w:left="9238" w:hanging="360"/>
      </w:pPr>
      <w:rPr>
        <w:rFonts w:ascii="Wingdings" w:hAnsi="Wingdings" w:hint="default"/>
      </w:rPr>
    </w:lvl>
  </w:abstractNum>
  <w:abstractNum w:abstractNumId="8">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357585E"/>
    <w:multiLevelType w:val="multilevel"/>
    <w:tmpl w:val="D5B06B2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1">
    <w:nsid w:val="3DE407E7"/>
    <w:multiLevelType w:val="hybridMultilevel"/>
    <w:tmpl w:val="14183236"/>
    <w:lvl w:ilvl="0">
      <w:start w:val="1"/>
      <w:numFmt w:val="hebrew1"/>
      <w:lvlText w:val="%1."/>
      <w:lvlJc w:val="left"/>
      <w:pPr>
        <w:tabs>
          <w:tab w:val="num" w:pos="0"/>
        </w:tabs>
      </w:pPr>
      <w:rPr>
        <w:rFonts w:ascii="Times New Roman" w:hAnsi="Times New Roman" w:cs="David" w:hint="default"/>
        <w:b w:val="0"/>
        <w:bCs w:val="0"/>
        <w:i w:val="0"/>
        <w:iCs w:val="0"/>
        <w:caps w:val="0"/>
        <w:strike w:val="0"/>
        <w:dstrike w:val="0"/>
        <w:vanish w:val="0"/>
        <w:color w:val="auto"/>
        <w:sz w:val="20"/>
        <w:szCs w:val="24"/>
        <w:u w:val="single"/>
        <w:vertAlign w:val="base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1CE3D08"/>
    <w:multiLevelType w:val="multilevel"/>
    <w:tmpl w:val="708E5198"/>
    <w:lvl w:ilvl="0">
      <w:start w:val="5"/>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4">
    <w:nsid w:val="59513B51"/>
    <w:multiLevelType w:val="hybridMultilevel"/>
    <w:tmpl w:val="2E4217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6">
    <w:nsid w:val="783727F4"/>
    <w:multiLevelType w:val="hybridMultilevel"/>
    <w:tmpl w:val="4030C9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317EBC"/>
    <w:multiLevelType w:val="hybridMultilevel"/>
    <w:tmpl w:val="7CD6802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8"/>
  </w:num>
  <w:num w:numId="3">
    <w:abstractNumId w:val="15"/>
  </w:num>
  <w:num w:numId="4">
    <w:abstractNumId w:val="4"/>
  </w:num>
  <w:num w:numId="5">
    <w:abstractNumId w:val="14"/>
  </w:num>
  <w:num w:numId="6">
    <w:abstractNumId w:val="3"/>
  </w:num>
  <w:num w:numId="7">
    <w:abstractNumId w:val="16"/>
  </w:num>
  <w:num w:numId="8">
    <w:abstractNumId w:val="17"/>
  </w:num>
  <w:num w:numId="9">
    <w:abstractNumId w:val="0"/>
  </w:num>
  <w:num w:numId="10">
    <w:abstractNumId w:val="9"/>
  </w:num>
  <w:num w:numId="11">
    <w:abstractNumId w:val="2"/>
  </w:num>
  <w:num w:numId="12">
    <w:abstractNumId w:val="6"/>
  </w:num>
  <w:num w:numId="13">
    <w:abstractNumId w:val="12"/>
  </w:num>
  <w:num w:numId="14">
    <w:abstractNumId w:val="1"/>
  </w:num>
  <w:num w:numId="15">
    <w:abstractNumId w:val="13"/>
  </w:num>
  <w:num w:numId="16">
    <w:abstractNumId w:val="5"/>
  </w:num>
  <w:num w:numId="17">
    <w:abstractNumId w:val="4"/>
    <w:lvlOverride w:ilvl="0">
      <w:startOverride w:val="1"/>
    </w:lvlOverride>
  </w:num>
  <w:num w:numId="18">
    <w:abstractNumId w:val="4"/>
    <w:lvlOverride w:ilvl="0">
      <w:startOverride w:val="2"/>
    </w:lvlOverride>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10"/>
  </w:num>
  <w:num w:numId="29">
    <w:abstractNumId w:val="4"/>
  </w:num>
  <w:num w:numId="30">
    <w:abstractNumId w:val="4"/>
  </w:num>
  <w:num w:numId="31">
    <w:abstractNumId w:val="4"/>
  </w:num>
  <w:num w:numId="32">
    <w:abstractNumId w:val="4"/>
  </w:num>
  <w:num w:numId="33">
    <w:abstractNumId w:val="4"/>
  </w:num>
  <w:num w:numId="3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numStart w:val="8"/>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2325"/>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951"/>
    <w:rsid w:val="000F4997"/>
    <w:rsid w:val="000F49B9"/>
    <w:rsid w:val="000F4C6C"/>
    <w:rsid w:val="000F4E31"/>
    <w:rsid w:val="000F51B7"/>
    <w:rsid w:val="000F68CD"/>
    <w:rsid w:val="000F69B0"/>
    <w:rsid w:val="000F6B40"/>
    <w:rsid w:val="000F722D"/>
    <w:rsid w:val="000F7E18"/>
    <w:rsid w:val="0010121F"/>
    <w:rsid w:val="001012CC"/>
    <w:rsid w:val="00101DD5"/>
    <w:rsid w:val="0010229A"/>
    <w:rsid w:val="001024AF"/>
    <w:rsid w:val="001033B3"/>
    <w:rsid w:val="0010381E"/>
    <w:rsid w:val="00103971"/>
    <w:rsid w:val="00103CED"/>
    <w:rsid w:val="00103D42"/>
    <w:rsid w:val="00103FBC"/>
    <w:rsid w:val="00104839"/>
    <w:rsid w:val="00104E94"/>
    <w:rsid w:val="00105A73"/>
    <w:rsid w:val="00105B88"/>
    <w:rsid w:val="00105ED4"/>
    <w:rsid w:val="00106FBF"/>
    <w:rsid w:val="00106FC5"/>
    <w:rsid w:val="00107938"/>
    <w:rsid w:val="00111817"/>
    <w:rsid w:val="00111D0B"/>
    <w:rsid w:val="00112B7B"/>
    <w:rsid w:val="00112D83"/>
    <w:rsid w:val="00113A65"/>
    <w:rsid w:val="00113BEC"/>
    <w:rsid w:val="00114587"/>
    <w:rsid w:val="001156F5"/>
    <w:rsid w:val="00115F32"/>
    <w:rsid w:val="00116EC6"/>
    <w:rsid w:val="00117163"/>
    <w:rsid w:val="00117668"/>
    <w:rsid w:val="00120C15"/>
    <w:rsid w:val="00121460"/>
    <w:rsid w:val="001215F4"/>
    <w:rsid w:val="00124D10"/>
    <w:rsid w:val="00125732"/>
    <w:rsid w:val="00126FB8"/>
    <w:rsid w:val="00127083"/>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32E"/>
    <w:rsid w:val="001519D2"/>
    <w:rsid w:val="00152684"/>
    <w:rsid w:val="00152C39"/>
    <w:rsid w:val="00153D39"/>
    <w:rsid w:val="00154886"/>
    <w:rsid w:val="00154C30"/>
    <w:rsid w:val="00154C71"/>
    <w:rsid w:val="001551EA"/>
    <w:rsid w:val="001553E4"/>
    <w:rsid w:val="00156292"/>
    <w:rsid w:val="001563D0"/>
    <w:rsid w:val="0015686E"/>
    <w:rsid w:val="00160149"/>
    <w:rsid w:val="00160DE1"/>
    <w:rsid w:val="00161297"/>
    <w:rsid w:val="00161324"/>
    <w:rsid w:val="00161CBD"/>
    <w:rsid w:val="0016215A"/>
    <w:rsid w:val="00162D9B"/>
    <w:rsid w:val="001632AB"/>
    <w:rsid w:val="0016419A"/>
    <w:rsid w:val="001643E8"/>
    <w:rsid w:val="0016445C"/>
    <w:rsid w:val="00165197"/>
    <w:rsid w:val="001666D8"/>
    <w:rsid w:val="00166EE9"/>
    <w:rsid w:val="00170C02"/>
    <w:rsid w:val="00171743"/>
    <w:rsid w:val="00171E57"/>
    <w:rsid w:val="00175C43"/>
    <w:rsid w:val="00175DFF"/>
    <w:rsid w:val="001762F4"/>
    <w:rsid w:val="00176E39"/>
    <w:rsid w:val="00177295"/>
    <w:rsid w:val="001772DD"/>
    <w:rsid w:val="00177493"/>
    <w:rsid w:val="0018090E"/>
    <w:rsid w:val="00180C76"/>
    <w:rsid w:val="001816A1"/>
    <w:rsid w:val="00181B5A"/>
    <w:rsid w:val="001856B7"/>
    <w:rsid w:val="0018650A"/>
    <w:rsid w:val="001866EE"/>
    <w:rsid w:val="00186FA6"/>
    <w:rsid w:val="0018762D"/>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737B"/>
    <w:rsid w:val="00211542"/>
    <w:rsid w:val="002115E2"/>
    <w:rsid w:val="00211890"/>
    <w:rsid w:val="00211CD5"/>
    <w:rsid w:val="00212C70"/>
    <w:rsid w:val="00212CC9"/>
    <w:rsid w:val="002164D6"/>
    <w:rsid w:val="00216564"/>
    <w:rsid w:val="00216CE4"/>
    <w:rsid w:val="00216E18"/>
    <w:rsid w:val="00217002"/>
    <w:rsid w:val="00217D25"/>
    <w:rsid w:val="00220150"/>
    <w:rsid w:val="00220B1E"/>
    <w:rsid w:val="00221B6D"/>
    <w:rsid w:val="00222EFD"/>
    <w:rsid w:val="00223E18"/>
    <w:rsid w:val="00225614"/>
    <w:rsid w:val="00225E4F"/>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C82"/>
    <w:rsid w:val="00274D7E"/>
    <w:rsid w:val="002776C9"/>
    <w:rsid w:val="00277717"/>
    <w:rsid w:val="00277BC2"/>
    <w:rsid w:val="00277E0B"/>
    <w:rsid w:val="002805E4"/>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C1D"/>
    <w:rsid w:val="00294765"/>
    <w:rsid w:val="0029606C"/>
    <w:rsid w:val="002963FC"/>
    <w:rsid w:val="0029657A"/>
    <w:rsid w:val="00296C96"/>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754"/>
    <w:rsid w:val="002F3251"/>
    <w:rsid w:val="003006EA"/>
    <w:rsid w:val="00300E9F"/>
    <w:rsid w:val="00301280"/>
    <w:rsid w:val="003027AA"/>
    <w:rsid w:val="00302CDA"/>
    <w:rsid w:val="003044D4"/>
    <w:rsid w:val="00304A28"/>
    <w:rsid w:val="00305501"/>
    <w:rsid w:val="00306333"/>
    <w:rsid w:val="00310CE8"/>
    <w:rsid w:val="00311887"/>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54BF"/>
    <w:rsid w:val="00396C01"/>
    <w:rsid w:val="003976F4"/>
    <w:rsid w:val="003A082D"/>
    <w:rsid w:val="003A0B69"/>
    <w:rsid w:val="003A0F7A"/>
    <w:rsid w:val="003A10E7"/>
    <w:rsid w:val="003A16B7"/>
    <w:rsid w:val="003A1745"/>
    <w:rsid w:val="003A2E56"/>
    <w:rsid w:val="003A3862"/>
    <w:rsid w:val="003A436D"/>
    <w:rsid w:val="003B0565"/>
    <w:rsid w:val="003B1E8D"/>
    <w:rsid w:val="003B1FEC"/>
    <w:rsid w:val="003B348F"/>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4201"/>
    <w:rsid w:val="003F566D"/>
    <w:rsid w:val="003F5CC7"/>
    <w:rsid w:val="003F5E93"/>
    <w:rsid w:val="003F6C4B"/>
    <w:rsid w:val="003F6E1A"/>
    <w:rsid w:val="004006A6"/>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5D6"/>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14D3"/>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515A"/>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6CF4"/>
    <w:rsid w:val="006474EC"/>
    <w:rsid w:val="00650187"/>
    <w:rsid w:val="0065147A"/>
    <w:rsid w:val="00651AFD"/>
    <w:rsid w:val="00652312"/>
    <w:rsid w:val="00652A0E"/>
    <w:rsid w:val="00652ADF"/>
    <w:rsid w:val="00655A3C"/>
    <w:rsid w:val="00655C9A"/>
    <w:rsid w:val="006562BE"/>
    <w:rsid w:val="00656936"/>
    <w:rsid w:val="00656EF1"/>
    <w:rsid w:val="006571FD"/>
    <w:rsid w:val="006600F0"/>
    <w:rsid w:val="00660683"/>
    <w:rsid w:val="006620DC"/>
    <w:rsid w:val="006638D7"/>
    <w:rsid w:val="00663E81"/>
    <w:rsid w:val="0066553D"/>
    <w:rsid w:val="006655A1"/>
    <w:rsid w:val="00665F32"/>
    <w:rsid w:val="006706C3"/>
    <w:rsid w:val="006716C5"/>
    <w:rsid w:val="00672587"/>
    <w:rsid w:val="00672A57"/>
    <w:rsid w:val="0067322C"/>
    <w:rsid w:val="00674685"/>
    <w:rsid w:val="00674B39"/>
    <w:rsid w:val="00674CB4"/>
    <w:rsid w:val="00676370"/>
    <w:rsid w:val="00677315"/>
    <w:rsid w:val="006779F2"/>
    <w:rsid w:val="00677C89"/>
    <w:rsid w:val="00680880"/>
    <w:rsid w:val="0068493A"/>
    <w:rsid w:val="00685F36"/>
    <w:rsid w:val="006864D0"/>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3E6F"/>
    <w:rsid w:val="006B5117"/>
    <w:rsid w:val="006B5429"/>
    <w:rsid w:val="006B59CA"/>
    <w:rsid w:val="006B5D69"/>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7591"/>
    <w:rsid w:val="007177E4"/>
    <w:rsid w:val="007215EA"/>
    <w:rsid w:val="007256CC"/>
    <w:rsid w:val="00725709"/>
    <w:rsid w:val="00726A8E"/>
    <w:rsid w:val="00726E7C"/>
    <w:rsid w:val="007310D1"/>
    <w:rsid w:val="00731C66"/>
    <w:rsid w:val="00731F92"/>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7605"/>
    <w:rsid w:val="007478C9"/>
    <w:rsid w:val="00747A16"/>
    <w:rsid w:val="00747C60"/>
    <w:rsid w:val="00747FE0"/>
    <w:rsid w:val="007508DF"/>
    <w:rsid w:val="007509FE"/>
    <w:rsid w:val="00750CA6"/>
    <w:rsid w:val="00751401"/>
    <w:rsid w:val="0075152D"/>
    <w:rsid w:val="00751CE2"/>
    <w:rsid w:val="00752D9A"/>
    <w:rsid w:val="00754C8A"/>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607"/>
    <w:rsid w:val="00770C49"/>
    <w:rsid w:val="00770FE5"/>
    <w:rsid w:val="00772DF5"/>
    <w:rsid w:val="007763DB"/>
    <w:rsid w:val="00777AED"/>
    <w:rsid w:val="00781580"/>
    <w:rsid w:val="00781B8F"/>
    <w:rsid w:val="007825F8"/>
    <w:rsid w:val="00783C28"/>
    <w:rsid w:val="0078411D"/>
    <w:rsid w:val="0078455B"/>
    <w:rsid w:val="00784CA6"/>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2601"/>
    <w:rsid w:val="007A61EF"/>
    <w:rsid w:val="007A6F7E"/>
    <w:rsid w:val="007A73F1"/>
    <w:rsid w:val="007A76BA"/>
    <w:rsid w:val="007B1194"/>
    <w:rsid w:val="007B1532"/>
    <w:rsid w:val="007B24B1"/>
    <w:rsid w:val="007B2A3E"/>
    <w:rsid w:val="007B3E10"/>
    <w:rsid w:val="007B4ADC"/>
    <w:rsid w:val="007B55B2"/>
    <w:rsid w:val="007B654B"/>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DC8"/>
    <w:rsid w:val="007E5CB0"/>
    <w:rsid w:val="007E7DCC"/>
    <w:rsid w:val="007F0371"/>
    <w:rsid w:val="007F1528"/>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B96"/>
    <w:rsid w:val="008C6DE4"/>
    <w:rsid w:val="008D0753"/>
    <w:rsid w:val="008D14B1"/>
    <w:rsid w:val="008D1C34"/>
    <w:rsid w:val="008D3AE9"/>
    <w:rsid w:val="008D405B"/>
    <w:rsid w:val="008D629E"/>
    <w:rsid w:val="008D7A33"/>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35BC"/>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6932"/>
    <w:rsid w:val="009370FC"/>
    <w:rsid w:val="009374D4"/>
    <w:rsid w:val="0094087B"/>
    <w:rsid w:val="0094352E"/>
    <w:rsid w:val="00944100"/>
    <w:rsid w:val="00946587"/>
    <w:rsid w:val="0094720D"/>
    <w:rsid w:val="0094772D"/>
    <w:rsid w:val="009511E5"/>
    <w:rsid w:val="0095149D"/>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35C"/>
    <w:rsid w:val="00975A23"/>
    <w:rsid w:val="009761D3"/>
    <w:rsid w:val="009762F4"/>
    <w:rsid w:val="00976F28"/>
    <w:rsid w:val="009822AB"/>
    <w:rsid w:val="00982A00"/>
    <w:rsid w:val="00983048"/>
    <w:rsid w:val="0098318A"/>
    <w:rsid w:val="0098335A"/>
    <w:rsid w:val="00983B82"/>
    <w:rsid w:val="00986127"/>
    <w:rsid w:val="00986D7B"/>
    <w:rsid w:val="00987481"/>
    <w:rsid w:val="00987864"/>
    <w:rsid w:val="00987BF2"/>
    <w:rsid w:val="00990141"/>
    <w:rsid w:val="00993242"/>
    <w:rsid w:val="00993CF6"/>
    <w:rsid w:val="009943FA"/>
    <w:rsid w:val="009960EE"/>
    <w:rsid w:val="00996ACF"/>
    <w:rsid w:val="00997F29"/>
    <w:rsid w:val="009A01B1"/>
    <w:rsid w:val="009A29D8"/>
    <w:rsid w:val="009A29E9"/>
    <w:rsid w:val="009A2D45"/>
    <w:rsid w:val="009A56C0"/>
    <w:rsid w:val="009A6A97"/>
    <w:rsid w:val="009A6C25"/>
    <w:rsid w:val="009A6D2A"/>
    <w:rsid w:val="009A7FF9"/>
    <w:rsid w:val="009B015F"/>
    <w:rsid w:val="009B0173"/>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6428"/>
    <w:rsid w:val="009F64DC"/>
    <w:rsid w:val="00A0092D"/>
    <w:rsid w:val="00A00AB9"/>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3824"/>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18C"/>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64F2"/>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6A10"/>
    <w:rsid w:val="00B278EC"/>
    <w:rsid w:val="00B30AF1"/>
    <w:rsid w:val="00B30C3B"/>
    <w:rsid w:val="00B3356E"/>
    <w:rsid w:val="00B3392D"/>
    <w:rsid w:val="00B33F95"/>
    <w:rsid w:val="00B353A7"/>
    <w:rsid w:val="00B367CB"/>
    <w:rsid w:val="00B37757"/>
    <w:rsid w:val="00B40D7B"/>
    <w:rsid w:val="00B4220B"/>
    <w:rsid w:val="00B42E84"/>
    <w:rsid w:val="00B42FD8"/>
    <w:rsid w:val="00B43740"/>
    <w:rsid w:val="00B43D6C"/>
    <w:rsid w:val="00B44488"/>
    <w:rsid w:val="00B4512C"/>
    <w:rsid w:val="00B45828"/>
    <w:rsid w:val="00B45F4D"/>
    <w:rsid w:val="00B4762B"/>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32C"/>
    <w:rsid w:val="00BB143A"/>
    <w:rsid w:val="00BB162C"/>
    <w:rsid w:val="00BB4C95"/>
    <w:rsid w:val="00BB58FC"/>
    <w:rsid w:val="00BB6D1C"/>
    <w:rsid w:val="00BC0FC9"/>
    <w:rsid w:val="00BC4504"/>
    <w:rsid w:val="00BC54FE"/>
    <w:rsid w:val="00BC6C3B"/>
    <w:rsid w:val="00BC6F81"/>
    <w:rsid w:val="00BD0182"/>
    <w:rsid w:val="00BD01FC"/>
    <w:rsid w:val="00BD121C"/>
    <w:rsid w:val="00BD1505"/>
    <w:rsid w:val="00BD178B"/>
    <w:rsid w:val="00BD296C"/>
    <w:rsid w:val="00BD2B58"/>
    <w:rsid w:val="00BD38C5"/>
    <w:rsid w:val="00BD675C"/>
    <w:rsid w:val="00BD6C42"/>
    <w:rsid w:val="00BD71E6"/>
    <w:rsid w:val="00BE03E9"/>
    <w:rsid w:val="00BE0988"/>
    <w:rsid w:val="00BE37E0"/>
    <w:rsid w:val="00BE531E"/>
    <w:rsid w:val="00BE5EA7"/>
    <w:rsid w:val="00BE630D"/>
    <w:rsid w:val="00BF044F"/>
    <w:rsid w:val="00BF1F74"/>
    <w:rsid w:val="00BF3191"/>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99C"/>
    <w:rsid w:val="00C60040"/>
    <w:rsid w:val="00C61068"/>
    <w:rsid w:val="00C61467"/>
    <w:rsid w:val="00C62529"/>
    <w:rsid w:val="00C63553"/>
    <w:rsid w:val="00C64599"/>
    <w:rsid w:val="00C658F0"/>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D58"/>
    <w:rsid w:val="00CD3FC9"/>
    <w:rsid w:val="00CD632A"/>
    <w:rsid w:val="00CD63F0"/>
    <w:rsid w:val="00CE1025"/>
    <w:rsid w:val="00CE172B"/>
    <w:rsid w:val="00CE1CCD"/>
    <w:rsid w:val="00CE28D6"/>
    <w:rsid w:val="00CE3019"/>
    <w:rsid w:val="00CE30E3"/>
    <w:rsid w:val="00CE312E"/>
    <w:rsid w:val="00CE3685"/>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43EC"/>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367E"/>
    <w:rsid w:val="00D5428E"/>
    <w:rsid w:val="00D54395"/>
    <w:rsid w:val="00D5644A"/>
    <w:rsid w:val="00D56955"/>
    <w:rsid w:val="00D5717C"/>
    <w:rsid w:val="00D5730E"/>
    <w:rsid w:val="00D57418"/>
    <w:rsid w:val="00D575ED"/>
    <w:rsid w:val="00D57DA6"/>
    <w:rsid w:val="00D6123D"/>
    <w:rsid w:val="00D615BB"/>
    <w:rsid w:val="00D61C87"/>
    <w:rsid w:val="00D61CAC"/>
    <w:rsid w:val="00D63A85"/>
    <w:rsid w:val="00D63A93"/>
    <w:rsid w:val="00D6487C"/>
    <w:rsid w:val="00D64BAB"/>
    <w:rsid w:val="00D6685C"/>
    <w:rsid w:val="00D70430"/>
    <w:rsid w:val="00D707E1"/>
    <w:rsid w:val="00D714D0"/>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293"/>
    <w:rsid w:val="00D92695"/>
    <w:rsid w:val="00D92CD5"/>
    <w:rsid w:val="00D93F3B"/>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A13"/>
    <w:rsid w:val="00E11DD7"/>
    <w:rsid w:val="00E11F05"/>
    <w:rsid w:val="00E12809"/>
    <w:rsid w:val="00E12EE0"/>
    <w:rsid w:val="00E12F4E"/>
    <w:rsid w:val="00E12FFB"/>
    <w:rsid w:val="00E13798"/>
    <w:rsid w:val="00E138C6"/>
    <w:rsid w:val="00E13F73"/>
    <w:rsid w:val="00E14358"/>
    <w:rsid w:val="00E14804"/>
    <w:rsid w:val="00E15AE5"/>
    <w:rsid w:val="00E167E6"/>
    <w:rsid w:val="00E170B7"/>
    <w:rsid w:val="00E1723C"/>
    <w:rsid w:val="00E2018D"/>
    <w:rsid w:val="00E205EB"/>
    <w:rsid w:val="00E2089B"/>
    <w:rsid w:val="00E20FA0"/>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7E7C"/>
    <w:rsid w:val="00E721AF"/>
    <w:rsid w:val="00E72DE0"/>
    <w:rsid w:val="00E74E55"/>
    <w:rsid w:val="00E76C73"/>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6171E"/>
    <w:rsid w:val="00F6179B"/>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FEF"/>
    <w:rsid w:val="00F9180A"/>
    <w:rsid w:val="00F91BEA"/>
    <w:rsid w:val="00F92254"/>
    <w:rsid w:val="00F926D1"/>
    <w:rsid w:val="00F92DC1"/>
    <w:rsid w:val="00F92FE3"/>
    <w:rsid w:val="00F939CC"/>
    <w:rsid w:val="00F93B4A"/>
    <w:rsid w:val="00F93FE7"/>
    <w:rsid w:val="00F94E21"/>
    <w:rsid w:val="00F94F2E"/>
    <w:rsid w:val="00F951FA"/>
    <w:rsid w:val="00F95FB8"/>
    <w:rsid w:val="00F96DDE"/>
    <w:rsid w:val="00F96EE0"/>
    <w:rsid w:val="00F9763C"/>
    <w:rsid w:val="00F97E99"/>
    <w:rsid w:val="00FA0244"/>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4D11"/>
    <w:rsid w:val="00FC5175"/>
    <w:rsid w:val="00FC6B5B"/>
    <w:rsid w:val="00FC6C0B"/>
    <w:rsid w:val="00FC778C"/>
    <w:rsid w:val="00FC7EC0"/>
    <w:rsid w:val="00FD0A22"/>
    <w:rsid w:val="00FD0CA5"/>
    <w:rsid w:val="00FD15E8"/>
    <w:rsid w:val="00FD32D1"/>
    <w:rsid w:val="00FD3AAE"/>
    <w:rsid w:val="00FD3F95"/>
    <w:rsid w:val="00FD4271"/>
    <w:rsid w:val="00FE1FB9"/>
    <w:rsid w:val="00FE2588"/>
    <w:rsid w:val="00FE28E3"/>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2"/>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2"/>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2"/>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2"/>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2"/>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2"/>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2"/>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4"/>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3718D"/>
    <w:pPr>
      <w:spacing w:line="240" w:lineRule="auto"/>
    </w:pPr>
    <w:rPr>
      <w:rFonts w:cs="David"/>
      <w:sz w:val="20"/>
      <w:szCs w:val="20"/>
    </w:rPr>
  </w:style>
  <w:style w:type="character" w:customStyle="1" w:styleId="FootnoteTextChar">
    <w:name w:val="Footnote Text Char"/>
    <w:basedOn w:val="DefaultParagraphFont"/>
    <w:link w:val="FootnoteText"/>
    <w:uiPriority w:val="99"/>
    <w:rsid w:val="0023718D"/>
    <w:rPr>
      <w:rFonts w:cs="David"/>
      <w:sz w:val="20"/>
      <w:szCs w:val="20"/>
    </w:rPr>
  </w:style>
  <w:style w:type="character" w:styleId="FootnoteReference">
    <w:name w:val="footnote reference"/>
    <w:basedOn w:val="DefaultParagraphFont"/>
    <w:uiPriority w:val="99"/>
    <w:semiHidden/>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021662"/>
    <w:pPr>
      <w:keepNext/>
      <w:pageBreakBefore/>
      <w:spacing w:before="360" w:after="240" w:line="480" w:lineRule="exact"/>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semiHidden/>
    <w:rsid w:val="00F1368B"/>
    <w:rPr>
      <w:rFonts w:ascii="Times New Roman" w:eastAsia="Times New Roman" w:hAnsi="Times New Roman" w:cs="David"/>
      <w:sz w:val="24"/>
      <w:szCs w:val="20"/>
    </w:rPr>
  </w:style>
  <w:style w:type="paragraph" w:styleId="EndnoteText">
    <w:name w:val="endnote text"/>
    <w:basedOn w:val="Normal"/>
    <w:link w:val="EndnoteTextChar"/>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3D09D3"/>
    <w:pPr>
      <w:spacing w:before="480" w:after="240"/>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0073CC"/>
    <w:pPr>
      <w:keepLines/>
      <w:pBdr>
        <w:top w:val="single" w:sz="12" w:space="4" w:color="EBF5F6"/>
        <w:left w:val="single" w:sz="12" w:space="11" w:color="EBF5F6"/>
        <w:bottom w:val="single" w:sz="12" w:space="6" w:color="EBF5F6"/>
        <w:right w:val="single" w:sz="12" w:space="11" w:color="EBF5F6"/>
      </w:pBdr>
      <w:shd w:val="solid" w:color="EBF5F6"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3"/>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uiPriority w:val="99"/>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3D09D3"/>
    <w:pPr>
      <w:spacing w:before="240"/>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before="120" w:line="240" w:lineRule="atLeast"/>
      <w:ind w:right="2268"/>
    </w:pPr>
    <w:rPr>
      <w:color w:val="2A2AA6"/>
      <w:sz w:val="36"/>
      <w:szCs w:val="36"/>
    </w:rPr>
  </w:style>
  <w:style w:type="paragraph" w:customStyle="1" w:styleId="KOT4S">
    <w:name w:val="KOT4S"/>
    <w:basedOn w:val="KOT4"/>
    <w:qFormat/>
    <w:rsid w:val="00D94BA9"/>
    <w:pPr>
      <w:spacing w:before="120" w:line="240" w:lineRule="atLeast"/>
    </w:pPr>
    <w:rPr>
      <w:color w:val="6B2757"/>
      <w:sz w:val="36"/>
      <w:szCs w:val="36"/>
    </w:rPr>
  </w:style>
  <w:style w:type="paragraph" w:customStyle="1" w:styleId="KOT5T">
    <w:name w:val="KOT5T"/>
    <w:basedOn w:val="KOT5"/>
    <w:qFormat/>
    <w:rsid w:val="00F8029A"/>
    <w:pPr>
      <w:spacing w:before="120" w:after="60"/>
      <w:ind w:right="2268"/>
      <w:jc w:val="center"/>
    </w:pPr>
    <w:rPr>
      <w:sz w:val="24"/>
      <w:szCs w:val="24"/>
      <w:u w:color="FF0000"/>
    </w:rPr>
  </w:style>
  <w:style w:type="paragraph" w:customStyle="1" w:styleId="KOT6T">
    <w:name w:val="KOT6T"/>
    <w:basedOn w:val="KOT6"/>
    <w:qFormat/>
    <w:rsid w:val="00D94BA9"/>
    <w:pPr>
      <w:spacing w:before="120"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8" Type="http://schemas.openxmlformats.org/officeDocument/2006/relationships/image" Target="media/image1.jpeg"/><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3.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3.png"/><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image" Target="media/image2.jpeg"/></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763BF2-EDB9-474B-80C7-2E174FDD8E1F}">
  <ds:schemaRefs>
    <ds:schemaRef ds:uri="http://schemas.openxmlformats.org/officeDocument/2006/bibliography"/>
  </ds:schemaRefs>
</ds:datastoreItem>
</file>

<file path=customXml/itemProps2.xml><?xml version="1.0" encoding="utf-8"?>
<ds:datastoreItem xmlns:ds="http://schemas.openxmlformats.org/officeDocument/2006/customXml" ds:itemID="{1F1D725A-357A-44B7-8FFB-04C02C97F5BB}"/>
</file>

<file path=customXml/itemProps3.xml><?xml version="1.0" encoding="utf-8"?>
<ds:datastoreItem xmlns:ds="http://schemas.openxmlformats.org/officeDocument/2006/customXml" ds:itemID="{F0A05233-3018-4966-A47D-A96F37ED078A}"/>
</file>

<file path=customXml/itemProps4.xml><?xml version="1.0" encoding="utf-8"?>
<ds:datastoreItem xmlns:ds="http://schemas.openxmlformats.org/officeDocument/2006/customXml" ds:itemID="{1ABFFF97-0CCA-49FF-97D9-A66EA2AAE9D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