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C126AB" w:rsidRPr="00D70CA7" w:rsidP="00525FAC">
      <w:pPr>
        <w:pageBreakBefore/>
        <w:spacing w:before="1200" w:after="180" w:line="380" w:lineRule="exact"/>
        <w:ind w:right="2268"/>
        <w:outlineLvl w:val="0"/>
        <w:rPr>
          <w:rFonts w:ascii="Tahoma" w:hAnsi="Tahoma" w:cs="Tahoma"/>
          <w:b/>
          <w:bCs/>
          <w:color w:val="2A2AA6"/>
          <w:sz w:val="28"/>
          <w:szCs w:val="28"/>
          <w:rtl/>
        </w:rPr>
      </w:pPr>
      <w:bookmarkStart w:id="0" w:name="_Toc349122061"/>
      <w:bookmarkStart w:id="1" w:name="_Toc349136480"/>
      <w:bookmarkStart w:id="2" w:name="_Toc352831083"/>
      <w:bookmarkStart w:id="3" w:name="_Toc354324568"/>
      <w:bookmarkStart w:id="4" w:name="_Toc354661923"/>
      <w:bookmarkStart w:id="5" w:name="_GoBack"/>
      <w:bookmarkEnd w:id="5"/>
      <w:r w:rsidRPr="00D70CA7">
        <w:rPr>
          <w:rFonts w:ascii="Tahoma" w:hAnsi="Tahoma" w:cs="Tahoma"/>
          <w:b/>
          <w:bCs/>
          <w:color w:val="2A2AA6"/>
          <w:sz w:val="28"/>
          <w:szCs w:val="28"/>
          <w:rtl/>
          <w:lang w:bidi="ar-SA"/>
        </w:rPr>
        <w:t>المقدمة</w:t>
      </w:r>
    </w:p>
    <w:p w:rsidR="00523BBF" w:rsidRPr="00061019" w:rsidP="00523BBF">
      <w:pPr>
        <w:spacing w:after="180" w:line="340" w:lineRule="exact"/>
        <w:ind w:right="2268"/>
        <w:jc w:val="both"/>
        <w:rPr>
          <w:rFonts w:ascii="Tahoma" w:hAnsi="Tahoma" w:cs="Tahoma"/>
          <w:sz w:val="18"/>
          <w:szCs w:val="18"/>
          <w:rtl/>
        </w:rPr>
      </w:pPr>
      <w:r w:rsidRPr="00061019">
        <w:rPr>
          <w:rFonts w:ascii="Tahoma" w:hAnsi="Tahoma" w:cs="Tahoma"/>
          <w:b/>
          <w:bCs/>
          <w:sz w:val="18"/>
          <w:szCs w:val="18"/>
          <w:rtl/>
          <w:lang w:bidi="ar-SA"/>
        </w:rPr>
        <w:t>هذا هو التقرير السنويّ الأخير الذي أوقّع عليه بصفتي مراقبًا للدولة ومندوبًا لشكاوى الجمهور.</w:t>
      </w:r>
      <w:r w:rsidRPr="00061019">
        <w:rPr>
          <w:rFonts w:ascii="Tahoma" w:hAnsi="Tahoma" w:cs="Tahoma"/>
          <w:sz w:val="18"/>
          <w:szCs w:val="18"/>
          <w:rtl/>
          <w:lang w:bidi="ar-SA"/>
        </w:rPr>
        <w:t xml:space="preserve"> في بداية تولّيّ مهامّ منصبي حدّدت لنفسي عدّة أهداف رئيسيّة، من بينها: تعزيز النظام الديمقراطيّ، حماية وضمان حقوق الفئات السكّانيّة الضعيفة وحماية حقوق الإنسان؛ زيادة تحمّل المسؤوليّة وتذويت معايير السلامة في الحكم والإدارة العامّة وتحصين مكانة مراقب الدولة كمن يقود مكافحة الفساد العامّ والنضال من أجل نزاهة المعايير في الخدمة العامّة. </w:t>
      </w:r>
    </w:p>
    <w:p w:rsidR="00523BBF" w:rsidRPr="00061019" w:rsidP="00523BBF">
      <w:pPr>
        <w:spacing w:after="180" w:line="340" w:lineRule="exact"/>
        <w:ind w:right="2268"/>
        <w:jc w:val="both"/>
        <w:rPr>
          <w:rFonts w:ascii="Tahoma" w:hAnsi="Tahoma" w:cs="Tahoma"/>
          <w:sz w:val="18"/>
          <w:szCs w:val="18"/>
          <w:rtl/>
        </w:rPr>
      </w:pPr>
      <w:r w:rsidRPr="00061019">
        <w:rPr>
          <w:rFonts w:ascii="Tahoma" w:hAnsi="Tahoma" w:cs="Tahoma"/>
          <w:sz w:val="18"/>
          <w:szCs w:val="18"/>
          <w:rtl/>
          <w:lang w:bidi="ar-SA"/>
        </w:rPr>
        <w:t>عملت خلال فترة ولايتي على تعزيز التعاون الكامل بين ديوان مراقب الدولة والهيئات الخاضعة للرقابة. من وجهة نظري، من اللائق أن تُبنى العلاقات بين مراقب الدولة والهيئات الخاضعة للرقابة على التعاون والاحترام المتبادل لا على الخلافات والمشاجرات. فلكلا الجانبين هدف مشترك – النهوض بخدمة عامّة لا تشوبها شائبة، فعّالة، ناجعة وتتمّ وفقًا للمعايير المنصوص عليها في القانون. في أكثر من حالة أشار الخاضعون للرقابة إلى أنّ تقارير مراقب الدولة تشكّل بالنسبة إليهم "أداة" لإصلاح النواقص وجعل أدائهم أكثر نجاعة. في ضوء الرقابة العميقة التي نجريها، ونظرًا لطبيعتها القاسية والشخصيّة في بعض الأحيان، فإنّنا حريصون على التصرّف بنزاهة مع الخاضعين للرقابة وضمان أن يستغلّوا حقّهم في الحصول على جلسة استماع.</w:t>
      </w:r>
    </w:p>
    <w:p w:rsidR="00523BBF" w:rsidRPr="00061019" w:rsidP="00523BBF">
      <w:pPr>
        <w:spacing w:after="180" w:line="340" w:lineRule="exact"/>
        <w:ind w:right="2268"/>
        <w:jc w:val="both"/>
        <w:rPr>
          <w:rFonts w:ascii="Tahoma" w:hAnsi="Tahoma" w:cs="Tahoma"/>
          <w:sz w:val="18"/>
          <w:szCs w:val="18"/>
          <w:rtl/>
          <w:lang w:bidi="ar-SA"/>
        </w:rPr>
      </w:pPr>
      <w:r w:rsidRPr="00061019">
        <w:rPr>
          <w:rFonts w:ascii="Tahoma" w:hAnsi="Tahoma" w:cs="Tahoma"/>
          <w:sz w:val="18"/>
          <w:szCs w:val="18"/>
          <w:rtl/>
          <w:lang w:bidi="ar-SA"/>
        </w:rPr>
        <w:t>كما يساعد التعاون مع لجنة مراقبة الدولة في الكنيست مراقب الدولة في إسماع صوته من دون خوف ومن دون تحيّز. تتناول الجلسات الأسبوعيّة للجنة عادة نتائج تقارير المراقب وطريقة إصلاح النواقص التي تبيّنت من قبل الهيئات الخاضعة للرقابة. نحافظ تعاون مثمر وموضوعيّ مع جميع رؤساء اللجنة، وغالبًا ما تؤدّي النقاشات العميقة إلى زيادة التأثير الإيجابيّ لتقارير الرقابة.</w:t>
      </w:r>
    </w:p>
    <w:p w:rsidR="00523BBF" w:rsidRPr="00061019" w:rsidP="00523BBF">
      <w:pPr>
        <w:spacing w:after="180" w:line="340" w:lineRule="exact"/>
        <w:ind w:right="2268"/>
        <w:jc w:val="both"/>
        <w:rPr>
          <w:rFonts w:ascii="Tahoma" w:hAnsi="Tahoma" w:cs="Tahoma"/>
          <w:spacing w:val="-4"/>
          <w:sz w:val="18"/>
          <w:szCs w:val="18"/>
          <w:rtl/>
        </w:rPr>
      </w:pPr>
      <w:r w:rsidRPr="00061019">
        <w:rPr>
          <w:rFonts w:ascii="Tahoma" w:hAnsi="Tahoma" w:cs="Tahoma"/>
          <w:spacing w:val="-4"/>
          <w:sz w:val="18"/>
          <w:szCs w:val="18"/>
          <w:rtl/>
          <w:lang w:bidi="ar-SA"/>
        </w:rPr>
        <w:t>في السنوات الأخيرة قمنا بتوسيع استخدام مختلف أدوات مشاركة الجمهور - إرسال استبيانات إلى الأطراف المعنيّة واستخدام المعلومات التي نستقيها منها لأغراض الرقابة</w:t>
      </w:r>
      <w:r>
        <w:rPr>
          <w:rFonts w:ascii="Tahoma" w:hAnsi="Tahoma" w:cs="Tahoma"/>
          <w:spacing w:val="-4"/>
          <w:sz w:val="18"/>
          <w:szCs w:val="18"/>
          <w:vertAlign w:val="superscript"/>
          <w:rtl/>
        </w:rPr>
        <w:footnoteReference w:id="2"/>
      </w:r>
      <w:r w:rsidRPr="00061019">
        <w:rPr>
          <w:rFonts w:ascii="Tahoma" w:hAnsi="Tahoma" w:cs="Tahoma"/>
          <w:spacing w:val="-4"/>
          <w:sz w:val="18"/>
          <w:szCs w:val="18"/>
          <w:rtl/>
          <w:lang w:bidi="ar-SA"/>
        </w:rPr>
        <w:t>؛ نشر دعوة للجمهور لتقديم معلومات عن المواضيع التي تتناولها الرقابة</w:t>
      </w:r>
      <w:r>
        <w:rPr>
          <w:rFonts w:ascii="Tahoma" w:hAnsi="Tahoma" w:cs="Tahoma"/>
          <w:spacing w:val="-4"/>
          <w:sz w:val="18"/>
          <w:szCs w:val="18"/>
          <w:vertAlign w:val="superscript"/>
          <w:rtl/>
        </w:rPr>
        <w:footnoteReference w:id="3"/>
      </w:r>
      <w:r w:rsidRPr="00061019">
        <w:rPr>
          <w:rFonts w:ascii="Tahoma" w:hAnsi="Tahoma" w:cs="Tahoma"/>
          <w:spacing w:val="-4"/>
          <w:sz w:val="18"/>
          <w:szCs w:val="18"/>
          <w:rtl/>
          <w:lang w:bidi="ar-SA"/>
        </w:rPr>
        <w:t xml:space="preserve"> ومشاركة الجمهور بشكل فعّال في أعمال الرقابة، بما في ذلك من خلال مجموعات تركيز</w:t>
      </w:r>
      <w:r>
        <w:rPr>
          <w:rFonts w:ascii="Tahoma" w:hAnsi="Tahoma" w:cs="Tahoma"/>
          <w:spacing w:val="-4"/>
          <w:sz w:val="18"/>
          <w:szCs w:val="18"/>
          <w:vertAlign w:val="superscript"/>
          <w:rtl/>
        </w:rPr>
        <w:footnoteReference w:id="4"/>
      </w:r>
      <w:r w:rsidRPr="00061019">
        <w:rPr>
          <w:rFonts w:ascii="Tahoma" w:hAnsi="Tahoma" w:cs="Tahoma"/>
          <w:spacing w:val="-4"/>
          <w:sz w:val="18"/>
          <w:szCs w:val="18"/>
          <w:rtl/>
          <w:lang w:bidi="ar-SA"/>
        </w:rPr>
        <w:t>. أصدرت تعليماتي بإجراء الاستعدادات لجعل إجراءات المشاركة العامة في متناول جميع السكان، بما في ذلك ترجمة الاستبيانات إلى لغات أخرى.</w:t>
      </w:r>
    </w:p>
    <w:p w:rsidR="00523BBF" w:rsidRPr="00061019" w:rsidP="00523BBF">
      <w:pPr>
        <w:spacing w:after="180" w:line="340" w:lineRule="exact"/>
        <w:ind w:right="2268"/>
        <w:jc w:val="both"/>
        <w:rPr>
          <w:rFonts w:ascii="Tahoma" w:hAnsi="Tahoma" w:cs="Tahoma"/>
          <w:b/>
          <w:bCs/>
          <w:spacing w:val="-4"/>
          <w:sz w:val="18"/>
          <w:szCs w:val="18"/>
          <w:rtl/>
        </w:rPr>
      </w:pPr>
      <w:r w:rsidRPr="00061019">
        <w:rPr>
          <w:rFonts w:ascii="Tahoma" w:hAnsi="Tahoma" w:cs="Tahoma"/>
          <w:b/>
          <w:bCs/>
          <w:spacing w:val="-4"/>
          <w:sz w:val="18"/>
          <w:szCs w:val="18"/>
          <w:rtl/>
          <w:lang w:bidi="ar-SA"/>
        </w:rPr>
        <w:t>هذا التقرير السنويّ لعام 2019 واسع النطاق بقدر كبير. يركّز التقرير نتائج الرقابة في الوزارات الحكوميّة وهيئات عامّة، ويتألّف في المجمل من 33 فصلًا. يعكس هذا التقرير، مثل التقارير السابقة، تطبيق سياسة إجراء الرقابة وفقًا لمبادئ السعي للتميّز والابتكار، الالتزام بقواعد الأخلاقيّات والإدارة السليمة، الالتزام بالمعايير المهنية المحدّثة. تثبت هذه السياسة نفسها يوميًّا في إجراءات الفحص والرقابة بشكل جوهريّ، مهنيّ ونزيه وفي نشر تقارير رقابة واضحة، ناجعة وذات صلة التي تفحص الأمور فحصًا جوهريًّا.</w:t>
      </w:r>
    </w:p>
    <w:p w:rsidR="00523BBF" w:rsidRPr="00061019" w:rsidP="00523BBF">
      <w:pPr>
        <w:spacing w:after="180" w:line="340" w:lineRule="exact"/>
        <w:ind w:right="2268"/>
        <w:jc w:val="both"/>
        <w:rPr>
          <w:rFonts w:ascii="Tahoma" w:eastAsia="Calibri" w:hAnsi="Tahoma" w:cs="Tahoma"/>
          <w:sz w:val="18"/>
          <w:szCs w:val="18"/>
          <w:rtl/>
        </w:rPr>
      </w:pPr>
      <w:r w:rsidRPr="00061019">
        <w:rPr>
          <w:rFonts w:ascii="Tahoma" w:eastAsia="Calibri" w:hAnsi="Tahoma" w:cs="Tahoma"/>
          <w:sz w:val="18"/>
          <w:szCs w:val="18"/>
          <w:rtl/>
          <w:lang w:bidi="ar-SA"/>
        </w:rPr>
        <w:t xml:space="preserve">تتمثّل المزايا الهامّة للرقابة الحاليّة في العديد من التخصّصات التي تتناولها، والقدرة على الفحص الشامل في مختلف الهيئات في آن واحد. لذلك، يركّز ديوان مراقب الدولة بشكل خاصّ على إجراء الرقابة في القضايا الشاملة وذات التأثير الوطنيّ الواسع في المسائل المتعلّقة بعدّة وزارات وسلطات عامّة. يتضمّن هذا التقرير فصلًا عن ضمان حقوق الأشخاص ذوي القدرات المحدودة من خلال إجراءات قانونيّة. فحصنا في هذا الفصل قيام الدولة بواجبها المتمثّل في تحقيق حقّ الشخص المحدود القدرات في المشاركة الكاملة والفعّالة في المجتمع وتوفير استجابة مناسبة لاحتياجاته الخاصّة في إطار إجراءات قانونيّة، لأنّ هذه الإجراءات تحدّد كيفيّة إدارة حياته وفي بعض الأحيان قد تقيّد حرّيّته أيضًا. بالتزامن مع نشر هذا الفصل بنسخته الكاملة، يتمّ نشر ملخّص الفصل أيضًا بلغة واضحة، بحيث يكون مضمونه متاحًا للأشخاص ذوي القدرات المحدودة أيضًا. يتناول فصل آخر جوانب من تعامل الدولة مع الجرائم الجنسيّة ضد القاصرين. في </w:t>
      </w:r>
      <w:r w:rsidRPr="00061019">
        <w:rPr>
          <w:rFonts w:ascii="Tahoma" w:eastAsia="Calibri" w:hAnsi="Tahoma" w:cs="Tahoma"/>
          <w:sz w:val="18"/>
          <w:szCs w:val="18"/>
          <w:rtl/>
          <w:lang w:bidi="ar-SA"/>
        </w:rPr>
        <w:t>السنوات الأخيرة، طرأ ارتفاع على عدد المخالفات الجنسيّة ضدّ القاصرين سواء في الحيّز المادّيّ أو في الحيّز الافتراضيّ على شبكة الإنترنت والشبكات الاجتماعيّة. خلُصت الرقابة إلى أنّه فقط من خلال التعاون اللائق بين بين الهيئات ذات الصلة، سيكون بالإمكان وضع بنية تحتيّة فعّالة وناجعة لعلاج وإعادة تأهيل الأشخاص الضالعين في هذه المخالفات والحدّ من ظاهرة المخالفات الجنسيّة ضدّ القاصرين.</w:t>
      </w:r>
    </w:p>
    <w:p w:rsidR="00523BBF" w:rsidRPr="00061019" w:rsidP="00523BBF">
      <w:pPr>
        <w:spacing w:after="180" w:line="340" w:lineRule="exact"/>
        <w:ind w:right="2268"/>
        <w:jc w:val="both"/>
        <w:rPr>
          <w:rFonts w:ascii="Tahoma" w:eastAsia="Calibri" w:hAnsi="Tahoma" w:cs="Tahoma"/>
          <w:sz w:val="18"/>
          <w:szCs w:val="18"/>
        </w:rPr>
      </w:pPr>
      <w:r w:rsidRPr="00061019">
        <w:rPr>
          <w:rFonts w:ascii="Tahoma" w:eastAsia="Calibri" w:hAnsi="Tahoma" w:cs="Tahoma"/>
          <w:sz w:val="18"/>
          <w:szCs w:val="18"/>
          <w:rtl/>
          <w:lang w:bidi="ar-SA"/>
        </w:rPr>
        <w:t xml:space="preserve">في عام 2017 أنشئت في ديوان مراقب الدولة الوحدة للرقابة على ممثّلي الدولة في الهيئات القضائيّة، بموجب قانون مندوب شكاوى الجمهور على ممثّلي الدولة في الهيئات القضائيّة- 2016. يشمل هذا التقرير فصلين هامّين يتعلّقان بممثّلي الدولة في الهيئات القضائيّة: تطوير وتذويت منظومة الحوسبة للتخطيط، الإدارة والرقابة في الادّعاء العامّ، جهاز الادّعاء العامّ التابع للشرطة- تبعيّته التنظيميّة واستقلاليّته. اقترحت بشأن هذا الموضوع إقامة لجنة عامّة مهنيّة مستقلّة تكون مهمّتها بحث المسائل الأساسيّة الهيكليّة التي تتعلّق بتوحيد جهاز الادّعاء العامّة التابع للشرطة مع الادّعاء العامّ للدولة. </w:t>
      </w:r>
    </w:p>
    <w:p w:rsidR="00523BBF" w:rsidRPr="00061019" w:rsidP="00523BBF">
      <w:pPr>
        <w:spacing w:after="180" w:line="340" w:lineRule="exact"/>
        <w:ind w:right="2268"/>
        <w:jc w:val="both"/>
        <w:rPr>
          <w:rFonts w:ascii="Tahoma" w:eastAsia="Calibri" w:hAnsi="Tahoma" w:cs="Tahoma"/>
          <w:sz w:val="18"/>
          <w:szCs w:val="18"/>
          <w:rtl/>
        </w:rPr>
      </w:pPr>
      <w:r w:rsidRPr="00061019">
        <w:rPr>
          <w:rFonts w:ascii="Tahoma" w:eastAsia="Calibri" w:hAnsi="Tahoma" w:cs="Tahoma"/>
          <w:sz w:val="18"/>
          <w:szCs w:val="18"/>
          <w:rtl/>
          <w:lang w:bidi="ar-SA"/>
        </w:rPr>
        <w:t xml:space="preserve">أولت رقابة الدولة اهتمامًا خاصًّا لفحص المواضيع التي تتعلّق بالفئات السكّانيّة الضعيفة، التي من الصعب عليها الدفاع عن حقوقها، وأحيانًا لا تجد من يقف إلى جانبها. فُحصت في إطار الرقابة الجوانب المتعلّقة بتطبيق القرارات الحكوميّة التي تهدف إلى حلّ مشاكل الإسكان في البلدات التابعة للأقلّيّات، وخاصّة تنفيذ القرار رقم 922 الذي رُصد بموجبه في إطار خطّة خمسيّة للسنوات 2016-2020 نحو 1.2 مليار شيكل جديد لمعالجة مجال الإسكان في البلدات العربيّة. تبيّن أنّ العديد من المواضيع التي كان من المقرّر النهوض بها في هذا المجال لم يطرأ أيّ تقدّم فيها، وهناك شكّ في إمكانيّة حدوث انفراج في الضائقة السكنيّة في هذه البلدات في المستقبل المنظور. </w:t>
      </w:r>
    </w:p>
    <w:p w:rsidR="00523BBF" w:rsidRPr="00061019" w:rsidP="00523BBF">
      <w:pPr>
        <w:spacing w:after="180" w:line="340" w:lineRule="exact"/>
        <w:ind w:right="2268"/>
        <w:jc w:val="both"/>
        <w:rPr>
          <w:rFonts w:ascii="Tahoma" w:eastAsia="Calibri" w:hAnsi="Tahoma" w:cs="Tahoma"/>
          <w:sz w:val="18"/>
          <w:szCs w:val="18"/>
          <w:rtl/>
        </w:rPr>
      </w:pPr>
      <w:r w:rsidRPr="00061019">
        <w:rPr>
          <w:rFonts w:ascii="Tahoma" w:eastAsia="Calibri" w:hAnsi="Tahoma" w:cs="Tahoma"/>
          <w:sz w:val="18"/>
          <w:szCs w:val="18"/>
          <w:rtl/>
          <w:lang w:bidi="ar-SA"/>
        </w:rPr>
        <w:t xml:space="preserve">في مجال الصحّة تمّ فحص موضوع فتح أقسام ووحدات في المستشفيات العامّة. إحدى مهامّ وزارة الصحّة هي التصديق على فتح هذه الأقسام والوحدات. أظهرت الرقابة أنّ خطط الوزارة لإضافة الأسرّة في منظومة الرقود للمدى البعيد حتّى عام 2035 غير كاملة، كما أنّ الوزارة لم تحدّد أهدافًا في هذا الموضوع. بالإضافة إلى ذلك، لم تضع الوزارة خطّة متعدّدة السنوات لتغطية الاحتياجات المتعلّقة بالقوى البشريّة الطبّيّة والتمريضيّة المستقبليّة في كلّ مجال اختصاص، وفقًا للتوزيع الجغرافيّ ووفقًا لأماكن التخصّصات، ولم تعدّ خطّة مفصّلة للاستجابة للزيادة الملحوظة المتوقّعة في أعداد المسنّين. </w:t>
      </w:r>
    </w:p>
    <w:p w:rsidR="00523BBF" w:rsidRPr="00061019" w:rsidP="00523BBF">
      <w:pPr>
        <w:spacing w:after="180" w:line="340" w:lineRule="exact"/>
        <w:ind w:right="2268"/>
        <w:jc w:val="both"/>
        <w:rPr>
          <w:rFonts w:ascii="Tahoma" w:eastAsia="Calibri" w:hAnsi="Tahoma" w:cs="Tahoma"/>
          <w:sz w:val="18"/>
          <w:szCs w:val="18"/>
          <w:rtl/>
          <w:lang w:bidi="ar-SA"/>
        </w:rPr>
      </w:pPr>
      <w:r w:rsidRPr="00061019">
        <w:rPr>
          <w:rFonts w:ascii="Tahoma" w:eastAsia="Calibri" w:hAnsi="Tahoma" w:cs="Tahoma"/>
          <w:sz w:val="18"/>
          <w:szCs w:val="18"/>
          <w:rtl/>
          <w:lang w:bidi="ar-SA"/>
        </w:rPr>
        <w:t xml:space="preserve">ترد في هذا التقرير بعض فصول الرقابة حول جهاز التعليم، ومن ضمنها فصل شامل يتناول الجوانب الرئيسيّة للقوى البشريّة العاملة في مجال التدريس، وهو عامل رئيسيّ في ضمان مستقبل دولة إسرائيل كدولة يهوديّة متطوّرة ومتقدّمة تضمن تكافؤ الفرص لأبنائها وتتيح جودة حياة مقبولة لجميع مواطنيها. الصورة التي ترتسم هي أنّ وزارة التربية والتعليم لا تدير منظومة القوى البشريّة في مجال التدريس، بل إنّ المدارس والمؤسّسات الأكاديميّة للتربية هي صاحبة القرار في هذا الموضوع. تمّ الكشف عن نواقص كبيرة في مجال التخطيط للقوى البشريّة في مجال التدريس، فجوات بين تأهيل المعلّمين في المؤسّسات الأكاديميّة للتدريس والمتطلّبات والمؤهّلات المطلوبة من المعلّم، كما حدّدتها وزارة التربية والتعليم وكما تتبيّن من الاحتياجات في الميدان، غياب السياسة والتنظيم في ما يتعلّق بمرحلة العثور على الخرّيجين والمعلّمين الجدد وتنسيبهم. أمّا بالنسبة لتشغيل المعلّمين البدلاء في مجال التدريس- فتشير النتائج إلى الفشل المستمرّ للوزارة في تنظيم هذا الموضوع. أحد الجوانب التي كانت النتائج فيه مثيرة للقلق هو غياب الرقابة المشدّدة لدى الوزارة في ما يتعلّق بتشغيل المعلّمين البدلاء، من أجل تجنّب دخول أصحاب السجلّات الجنائيّة إلى جهاز التعليم. يتّضح من مجمل النواقص في التقرير، إضافة إلى أمور أخرى، أنّ هناك خشية حقيقيّة من المسّ بشكل كبير بمستوى التدريس، كما أنّ النواقص في تشغيل المعلّمين البدلاء في مجال التدريس قد تعرّض التلاميذ للخطر. </w:t>
      </w:r>
    </w:p>
    <w:p w:rsidR="00523BBF" w:rsidRPr="00061019" w:rsidP="00523BBF">
      <w:pPr>
        <w:spacing w:after="180" w:line="340" w:lineRule="exact"/>
        <w:ind w:right="2268"/>
        <w:jc w:val="both"/>
        <w:rPr>
          <w:rFonts w:ascii="Tahoma" w:eastAsia="Calibri" w:hAnsi="Tahoma" w:cs="Tahoma"/>
          <w:sz w:val="18"/>
          <w:szCs w:val="18"/>
          <w:rtl/>
          <w:lang w:bidi="ar-SA"/>
        </w:rPr>
      </w:pPr>
      <w:r w:rsidRPr="00061019">
        <w:rPr>
          <w:rFonts w:ascii="Tahoma" w:eastAsia="Calibri" w:hAnsi="Tahoma" w:cs="Tahoma"/>
          <w:sz w:val="18"/>
          <w:szCs w:val="18"/>
          <w:rtl/>
          <w:lang w:bidi="ar-SA"/>
        </w:rPr>
        <w:t xml:space="preserve">رصدت الدولة موارد ضخمة- نحو 1.7 مليار شيكل جديد للسنوات 2012-2022 لخطط إتاحة التعليم العالي لمجتمع اليهود المتزمّتين (الحريديمّ). بيّنت الرقابة أنّ الخطط تعاني من نواقص وليست فعّالة بما فيه الكفاية. نسبة تسرّب الطلّاب الحريديم من التعليم أكثر من الضعف لدى اليهود غير الحريديم، فقط ربع الرجال الحريديم الذين يتعلّمون في المؤسّسات التحضيريّة يحصلون على اللقب الأكاديميّ. الجزء الأكبر من الحريديم الذين حصلوا على اللقب الأكاديميّ في إطار هذه البرامج هنّ من النساء اللاتي حصلن على اللقب الأكاديميّ العامّ في مجال التدريس. ولكن في هذا المجال هناك فائض كبير من المعلّمات الحريديّات، ومعظمهنّ (حوالي- 88%) لا يعملن في هذا المجال. على الرغم من ذلك، إلّا أنّ اللجنة التوجيهيّة للبرنامج، ولجنة التخطيط والميزانيّات ومجلس التعليم العالي قرّرت الاستمرار في ذلك ومنح الأفضليّة لدراسة موضوع التدريس. ويبدو أنّ قراراتها في هذا الموضوع تتعارض مع الاتّفاق مع وزارة الماليّة، وهي تؤدّي في استثمار موارد لن تعود بالفائدة على المرافق الاقتصاديّة. </w:t>
      </w:r>
    </w:p>
    <w:p w:rsidR="00523BBF" w:rsidRPr="00061019" w:rsidP="00523BBF">
      <w:pPr>
        <w:spacing w:after="180" w:line="340" w:lineRule="exact"/>
        <w:ind w:right="2268"/>
        <w:jc w:val="both"/>
        <w:rPr>
          <w:rFonts w:ascii="Tahoma" w:eastAsia="Calibri" w:hAnsi="Tahoma" w:cs="Tahoma"/>
          <w:sz w:val="18"/>
          <w:szCs w:val="18"/>
          <w:rtl/>
          <w:lang w:bidi="ar-SA"/>
        </w:rPr>
      </w:pPr>
      <w:r w:rsidRPr="00061019">
        <w:rPr>
          <w:rFonts w:ascii="Tahoma" w:eastAsia="Calibri" w:hAnsi="Tahoma" w:cs="Tahoma"/>
          <w:sz w:val="18"/>
          <w:szCs w:val="18"/>
          <w:rtl/>
          <w:lang w:bidi="ar-SA"/>
        </w:rPr>
        <w:t xml:space="preserve">يتناول ديوان مراقب الدولة كثيرًا بالمواضيع المتعلّقة بالمجتمع والرفاه. حظيت قضيّة غلاء المعيشة باهتمام كبير من جانبي خلال فترة ولايتي، ومن ضمن ذلك أسعار الموادّ الغذائيّة. يتضمّن هذا التقرير فصلًا حول موضوع نشاطات الحكومة لتشجيع التنافس في سوق الفواكه والخضروات وتقليص فجوات الوساطة. يتبيّن من نتائج الفصل أنّ نشاطات الحكومة في هذا المجال تتقدّم ببطء ولا تبلغ مرحلة النهاية. على مدار 17 عامًا لم تتمكّن الحكومات من تنفيذ قراراتها بشأن إنشاء سوق للفواكه والخضروات بالجملة، وإنّ معالجة هذا الموضوع تعكس نشاط حكوميّ يمتاز بسلسلة من الضعف المهنيّ والأدائيّ. </w:t>
      </w:r>
    </w:p>
    <w:p w:rsidR="00523BBF" w:rsidRPr="00061019" w:rsidP="00523BBF">
      <w:pPr>
        <w:spacing w:after="180" w:line="340" w:lineRule="exact"/>
        <w:ind w:right="2268"/>
        <w:jc w:val="both"/>
        <w:rPr>
          <w:rFonts w:ascii="Tahoma" w:eastAsia="Calibri" w:hAnsi="Tahoma" w:cs="Tahoma"/>
          <w:sz w:val="18"/>
          <w:szCs w:val="18"/>
          <w:rtl/>
        </w:rPr>
      </w:pPr>
      <w:r w:rsidRPr="00061019">
        <w:rPr>
          <w:rFonts w:ascii="Tahoma" w:eastAsia="Calibri" w:hAnsi="Tahoma" w:cs="Tahoma"/>
          <w:sz w:val="18"/>
          <w:szCs w:val="18"/>
          <w:rtl/>
          <w:lang w:bidi="ar-SA"/>
        </w:rPr>
        <w:t xml:space="preserve">يعدّ الطلاق حدثًا ينطوي على أزمة وذا تأثير كبير على الأطراف فيه، وقد يتسبّب في أضرار خطيرة ومؤلمة لأُسَر الأزواج التي تمرّ بإجراءات الطلاق والانفصال. لم تبلور وزارة الرفاه التي من واجبها المساعدة في إجراءات الطلاق سلسلة متواصلة من الأدوات العلاجيّة الهادفة لهذه الأسر، وبالذات الأدوات الموجّهة للأطفال. أهملت الوزارة هذا المجال على مدار السنين، ونتيجة لذلك يضّطرّ العديد من الأسر الانتظار لأشهر طويلة- قد تمتدّ لمدّة عام أو أكثر من ذلك- التقارير من العمّال الاجتماعيّين للإجراءات القانونيّة، وهذا الأمر يتسبّب في استمرار النزاعات وحتّى تصعيدها. </w:t>
      </w:r>
    </w:p>
    <w:p w:rsidR="00523BBF" w:rsidRPr="00061019" w:rsidP="00523BBF">
      <w:pPr>
        <w:spacing w:after="180" w:line="340" w:lineRule="exact"/>
        <w:ind w:right="2268"/>
        <w:jc w:val="both"/>
        <w:rPr>
          <w:rFonts w:ascii="Tahoma" w:eastAsia="Calibri" w:hAnsi="Tahoma" w:cs="Tahoma"/>
          <w:sz w:val="18"/>
          <w:szCs w:val="18"/>
          <w:rtl/>
        </w:rPr>
      </w:pPr>
      <w:r w:rsidRPr="00061019">
        <w:rPr>
          <w:rFonts w:ascii="Tahoma" w:eastAsia="Calibri" w:hAnsi="Tahoma" w:cs="Tahoma"/>
          <w:sz w:val="18"/>
          <w:szCs w:val="18"/>
          <w:rtl/>
          <w:lang w:bidi="ar-SA"/>
        </w:rPr>
        <w:t xml:space="preserve">تشير نتائج الرقابة المتعلّقة بإجراءات إنفاذ القانون في وزارة حماية البيئة والسلطات المحلّيّة ضدّ من يلحقون الأضرار بالبيئة إلى صعوبات شاملة تتعلّق بغياب نظريّة إنفاذ القانون بصورة منتظمة، درجة كفاءة إجراءات إنفاذ القانون، وكذلك ضعف الجهات المسؤولة عن إنفاذ القانون في مجال البيئة بشكل مستقلّ، حازم وناجع وذلك بسبب اعتمادهم على جهات التنظيم المهنيّة في الوزارة. هناك نقص في إنفاذ القانون في مجال البيئة بشكل عامّ في معظم السلطات المحلّيّة: في بعض هذه السلطات ليس هناك مفتّشون بيئيّون، وفي غالبيّة السلطات التي يوجد فيها مفتّشون بيئيّون فإنّ إنفاذ القانون ضئيل. حجم نشاطات التحقيق والملفّات الجنائيّة يكاد لا يُذكر، وقسم لا يُستهان به من السلطات لا تفرض الغرامات لغرض إنفاذ القانون. </w:t>
      </w:r>
    </w:p>
    <w:p w:rsidR="00523BBF" w:rsidRPr="00061019" w:rsidP="00523BBF">
      <w:pPr>
        <w:spacing w:after="180" w:line="340" w:lineRule="exact"/>
        <w:ind w:right="2268"/>
        <w:jc w:val="both"/>
        <w:rPr>
          <w:rFonts w:ascii="Tahoma" w:eastAsia="Calibri" w:hAnsi="Tahoma" w:cs="Tahoma"/>
          <w:sz w:val="18"/>
          <w:szCs w:val="18"/>
          <w:rtl/>
          <w:lang w:bidi="ar-SA"/>
        </w:rPr>
      </w:pPr>
      <w:r w:rsidRPr="00061019">
        <w:rPr>
          <w:rFonts w:ascii="Tahoma" w:eastAsia="Calibri" w:hAnsi="Tahoma" w:cs="Tahoma"/>
          <w:sz w:val="18"/>
          <w:szCs w:val="18"/>
          <w:rtl/>
          <w:lang w:bidi="ar-SA"/>
        </w:rPr>
        <w:t xml:space="preserve">في الكثير من الهيئات تنفّذ نشاطات إيجابيّة من أجل رفاهيّة السكّان، ونحن نحرص على الإشادة بهذه الخطوات وفقًا للمادّة 15 (ب) (4) لقانون مراقب الدولة. من جهة أخرى، ملقًى على عاتق جميع الهيئات مسؤوليّة إصلاح النواقص والخلل الذي طُرح في الرقابة، بغية تعزيز الخدمة العامّة ومن خلال ذلك تحسين جودة حياة سكّان إسرائيل أيضًا. </w:t>
      </w:r>
    </w:p>
    <w:p w:rsidR="00523BBF" w:rsidRPr="00061019" w:rsidP="00523BBF">
      <w:pPr>
        <w:spacing w:after="180" w:line="340" w:lineRule="exact"/>
        <w:ind w:right="2268"/>
        <w:jc w:val="both"/>
        <w:rPr>
          <w:rFonts w:ascii="Tahoma" w:eastAsia="Calibri" w:hAnsi="Tahoma" w:cs="Tahoma"/>
          <w:b/>
          <w:bCs/>
          <w:sz w:val="18"/>
          <w:szCs w:val="18"/>
          <w:rtl/>
        </w:rPr>
      </w:pPr>
      <w:r w:rsidRPr="00061019">
        <w:rPr>
          <w:rFonts w:ascii="Tahoma" w:eastAsia="Calibri" w:hAnsi="Tahoma" w:cs="Tahoma"/>
          <w:b/>
          <w:bCs/>
          <w:sz w:val="18"/>
          <w:szCs w:val="18"/>
          <w:rtl/>
          <w:lang w:bidi="ar-SA"/>
        </w:rPr>
        <w:t xml:space="preserve">وبصورة شخصيّة: أشكر من صميم قلبي جميع الموظّفين في ديوان مراقب الدولة ومندوب شكاوى الجمهور الذين ساعدوني على مدار السنوات السبع من العمل المهنيّ الصعب، المتقن والمسؤول في تنفيذ الرقابة التي تستحقّ الثناء كلّه. الموظّفون والموظّفات الأعزّاء، بعد سبع سنوات من ولايتي بإمكاني أن أشهد انّكم أشخاص مهنيّون من الدرجة الأولى، تتحلّون بالنزاهة الشخصيّة والمهنيّة، وترون في عملكم رسالة لصالح جميع مواطني الدولة وسكّانها. بفضلكم كشف ديوان مراقب عن الكثير من النواقص وأسهم في تحسين الإدارة العامّة وتعزيز سلطة القانون. </w:t>
      </w:r>
    </w:p>
    <w:p w:rsidR="00523BBF" w:rsidRPr="00061019" w:rsidP="00523BBF">
      <w:pPr>
        <w:spacing w:after="180" w:line="340" w:lineRule="exact"/>
        <w:ind w:right="2268"/>
        <w:jc w:val="both"/>
        <w:rPr>
          <w:rFonts w:ascii="Tahoma" w:eastAsia="Calibri" w:hAnsi="Tahoma" w:cs="Tahoma"/>
          <w:b/>
          <w:bCs/>
          <w:sz w:val="18"/>
          <w:szCs w:val="18"/>
          <w:rtl/>
        </w:rPr>
      </w:pPr>
      <w:r w:rsidRPr="00061019">
        <w:rPr>
          <w:rFonts w:ascii="Tahoma" w:eastAsia="Calibri" w:hAnsi="Tahoma" w:cs="Tahoma"/>
          <w:b/>
          <w:bCs/>
          <w:sz w:val="18"/>
          <w:szCs w:val="18"/>
          <w:rtl/>
          <w:lang w:bidi="ar-SA"/>
        </w:rPr>
        <w:t xml:space="preserve">كما تعزّزت بفضلكم بدرجة كبيرة جدًّا ثقة الجمهور في إجراءات الرقابة في إسرائيل. لا خلاف على أنّ ثقة الجمهور بمؤسّسة مراقبة الدولة هي قيمة مركزيّة في نجاح عمل الرقابة وتنفيذها قولًا وفعلًا. أرجو لكم النجاح في المستقبل أيضًا، بالجرأة الشخصيّة والعامّة، في إبراز قيم المساواة وفي التأكيد على مبادئ النزاهة، الاستقامة والعدالة التي ترافقنا دائمًا. </w:t>
      </w:r>
    </w:p>
    <w:p w:rsidR="00F865D0" w:rsidRPr="0025240C" w:rsidP="0025240C">
      <w:pPr>
        <w:spacing w:after="180" w:line="380" w:lineRule="exact"/>
        <w:ind w:right="2268"/>
        <w:jc w:val="both"/>
        <w:rPr>
          <w:rFonts w:ascii="Tahoma" w:hAnsi="Tahoma" w:cs="Tahoma"/>
          <w:sz w:val="18"/>
          <w:szCs w:val="18"/>
          <w:rtl/>
        </w:rPr>
      </w:pPr>
    </w:p>
    <w:p w:rsidR="00076761" w:rsidRPr="00170230" w:rsidP="00076761">
      <w:pPr>
        <w:tabs>
          <w:tab w:val="center" w:pos="4535"/>
        </w:tabs>
        <w:spacing w:before="360" w:line="240" w:lineRule="atLeast"/>
        <w:rPr>
          <w:rFonts w:ascii="Tahoma" w:hAnsi="Tahoma" w:cs="Tahoma"/>
          <w:sz w:val="20"/>
          <w:szCs w:val="18"/>
          <w:rtl/>
        </w:rPr>
      </w:pPr>
      <w:r>
        <w:rPr>
          <w:rFonts w:ascii="Tahoma" w:hAnsi="Tahoma" w:cs="Tahoma"/>
          <w:sz w:val="20"/>
          <w:szCs w:val="18"/>
        </w:rPr>
        <w:tab/>
      </w:r>
      <w:r>
        <w:rPr>
          <w:rFonts w:ascii="Tahoma" w:hAnsi="Tahoma" w:cs="Tahoma"/>
          <w:noProof/>
          <w:sz w:val="20"/>
          <w:szCs w:val="18"/>
          <w:rtl/>
        </w:rPr>
        <w:drawing>
          <wp:inline distT="0" distB="0" distL="0" distR="0">
            <wp:extent cx="1351509" cy="720000"/>
            <wp:effectExtent l="0" t="0" r="1270" b="4445"/>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חתימה - יוסף שפירא.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51509" cy="720000"/>
                    </a:xfrm>
                    <a:prstGeom prst="rect">
                      <a:avLst/>
                    </a:prstGeom>
                  </pic:spPr>
                </pic:pic>
              </a:graphicData>
            </a:graphic>
          </wp:inline>
        </w:drawing>
      </w:r>
    </w:p>
    <w:p w:rsidR="00C126AB" w:rsidRPr="00D70CA7" w:rsidP="006A3A3C">
      <w:pPr>
        <w:widowControl w:val="0"/>
        <w:tabs>
          <w:tab w:val="center" w:pos="4394"/>
        </w:tabs>
        <w:spacing w:after="0" w:line="280" w:lineRule="exact"/>
        <w:rPr>
          <w:rFonts w:ascii="Tahoma" w:hAnsi="Tahoma" w:cs="Tahoma"/>
          <w:b/>
          <w:bCs/>
          <w:sz w:val="18"/>
          <w:szCs w:val="18"/>
          <w:rtl/>
          <w:lang w:bidi="ar-AE"/>
        </w:rPr>
      </w:pPr>
      <w:r w:rsidRPr="00D70CA7">
        <w:rPr>
          <w:rFonts w:ascii="Tahoma" w:hAnsi="Tahoma" w:cs="Tahoma"/>
          <w:b/>
          <w:bCs/>
          <w:sz w:val="18"/>
          <w:szCs w:val="18"/>
          <w:lang w:bidi="ar-SA"/>
        </w:rPr>
        <w:tab/>
      </w:r>
      <w:r w:rsidRPr="00D70CA7">
        <w:rPr>
          <w:rFonts w:ascii="Tahoma" w:hAnsi="Tahoma" w:cs="Tahoma"/>
          <w:b/>
          <w:bCs/>
          <w:sz w:val="18"/>
          <w:szCs w:val="18"/>
          <w:rtl/>
          <w:lang w:bidi="ar-SA"/>
        </w:rPr>
        <w:t xml:space="preserve">يوسف حاييم شفيرا, قاض </w:t>
      </w:r>
      <w:r w:rsidRPr="00D70CA7">
        <w:rPr>
          <w:rFonts w:ascii="Tahoma" w:hAnsi="Tahoma" w:cs="Tahoma"/>
          <w:b/>
          <w:bCs/>
          <w:sz w:val="18"/>
          <w:szCs w:val="18"/>
          <w:rtl/>
          <w:lang w:bidi="ar-AE"/>
        </w:rPr>
        <w:t>(متقاعد)</w:t>
      </w:r>
    </w:p>
    <w:p w:rsidR="00C126AB" w:rsidRPr="00D70CA7" w:rsidP="006A3A3C">
      <w:pPr>
        <w:widowControl w:val="0"/>
        <w:tabs>
          <w:tab w:val="center" w:pos="4394"/>
        </w:tabs>
        <w:spacing w:after="0" w:line="280" w:lineRule="exact"/>
        <w:rPr>
          <w:rFonts w:ascii="Tahoma" w:hAnsi="Tahoma" w:cs="Tahoma"/>
          <w:sz w:val="18"/>
          <w:szCs w:val="18"/>
          <w:lang w:bidi="ar-SA"/>
        </w:rPr>
      </w:pPr>
      <w:r w:rsidRPr="00D70CA7">
        <w:rPr>
          <w:rFonts w:ascii="Tahoma" w:hAnsi="Tahoma" w:cs="Tahoma"/>
          <w:sz w:val="18"/>
          <w:szCs w:val="18"/>
          <w:lang w:bidi="ar-SA"/>
        </w:rPr>
        <w:tab/>
      </w:r>
      <w:r w:rsidRPr="00D70CA7">
        <w:rPr>
          <w:rFonts w:ascii="Tahoma" w:hAnsi="Tahoma" w:cs="Tahoma"/>
          <w:sz w:val="18"/>
          <w:szCs w:val="18"/>
          <w:rtl/>
          <w:lang w:bidi="ar-SA"/>
        </w:rPr>
        <w:t>مراقب الدولة</w:t>
      </w:r>
    </w:p>
    <w:p w:rsidR="00C126AB" w:rsidRPr="00D70CA7" w:rsidP="006A3A3C">
      <w:pPr>
        <w:widowControl w:val="0"/>
        <w:tabs>
          <w:tab w:val="center" w:pos="4394"/>
        </w:tabs>
        <w:spacing w:after="0" w:line="280" w:lineRule="exact"/>
        <w:rPr>
          <w:rFonts w:ascii="Tahoma" w:hAnsi="Tahoma" w:cs="Tahoma"/>
          <w:sz w:val="18"/>
          <w:szCs w:val="18"/>
          <w:lang w:bidi="ar-SA"/>
        </w:rPr>
      </w:pPr>
      <w:r w:rsidRPr="00D70CA7">
        <w:rPr>
          <w:rFonts w:ascii="Tahoma" w:hAnsi="Tahoma" w:cs="Tahoma"/>
          <w:sz w:val="18"/>
          <w:szCs w:val="18"/>
          <w:lang w:bidi="ar-SA"/>
        </w:rPr>
        <w:tab/>
      </w:r>
      <w:r w:rsidRPr="00D70CA7">
        <w:rPr>
          <w:rFonts w:ascii="Tahoma" w:hAnsi="Tahoma" w:cs="Tahoma"/>
          <w:sz w:val="18"/>
          <w:szCs w:val="18"/>
          <w:rtl/>
          <w:lang w:bidi="ar-SA"/>
        </w:rPr>
        <w:t>ومندوب شكاوى الجمهور</w:t>
      </w:r>
    </w:p>
    <w:p w:rsidR="00C126AB" w:rsidP="00C126AB">
      <w:pPr>
        <w:widowControl w:val="0"/>
        <w:tabs>
          <w:tab w:val="center" w:pos="4746"/>
        </w:tabs>
        <w:spacing w:after="0" w:line="280" w:lineRule="exact"/>
        <w:rPr>
          <w:rFonts w:ascii="Tahoma" w:hAnsi="Tahoma" w:cs="Tahoma"/>
          <w:sz w:val="18"/>
          <w:szCs w:val="18"/>
        </w:rPr>
      </w:pPr>
    </w:p>
    <w:p w:rsidR="00F1368B" w:rsidRPr="00523BBF" w:rsidP="00523BBF">
      <w:pPr>
        <w:widowControl w:val="0"/>
        <w:tabs>
          <w:tab w:val="center" w:pos="4746"/>
        </w:tabs>
        <w:spacing w:after="0" w:line="280" w:lineRule="exact"/>
        <w:rPr>
          <w:rFonts w:ascii="Tahoma" w:hAnsi="Tahoma" w:cs="Tahoma"/>
          <w:sz w:val="18"/>
          <w:szCs w:val="18"/>
          <w:rtl/>
          <w:lang w:bidi="ar-SA"/>
        </w:rPr>
      </w:pPr>
      <w:r w:rsidRPr="00523BBF">
        <w:rPr>
          <w:rFonts w:ascii="Tahoma" w:hAnsi="Tahoma" w:cs="Tahoma" w:hint="eastAsia"/>
          <w:sz w:val="18"/>
          <w:szCs w:val="18"/>
          <w:rtl/>
          <w:lang w:bidi="ar-SA"/>
        </w:rPr>
        <w:t>أورشليم</w:t>
      </w:r>
      <w:r w:rsidRPr="00523BBF">
        <w:rPr>
          <w:rFonts w:ascii="Tahoma" w:hAnsi="Tahoma" w:cs="Tahoma"/>
          <w:sz w:val="18"/>
          <w:szCs w:val="18"/>
          <w:rtl/>
          <w:lang w:bidi="ar-SA"/>
        </w:rPr>
        <w:t xml:space="preserve"> </w:t>
      </w:r>
      <w:r w:rsidRPr="00523BBF">
        <w:rPr>
          <w:rFonts w:ascii="Tahoma" w:hAnsi="Tahoma" w:cs="Tahoma" w:hint="eastAsia"/>
          <w:sz w:val="18"/>
          <w:szCs w:val="18"/>
          <w:rtl/>
          <w:lang w:bidi="ar-SA"/>
        </w:rPr>
        <w:t>القدس،</w:t>
      </w:r>
      <w:r w:rsidRPr="00523BBF">
        <w:rPr>
          <w:rFonts w:ascii="Tahoma" w:hAnsi="Tahoma" w:cs="Tahoma"/>
          <w:sz w:val="18"/>
          <w:szCs w:val="18"/>
          <w:rtl/>
          <w:lang w:bidi="ar-SA"/>
        </w:rPr>
        <w:t xml:space="preserve"> </w:t>
      </w:r>
      <w:r w:rsidRPr="00523BBF">
        <w:rPr>
          <w:rFonts w:ascii="Tahoma" w:hAnsi="Tahoma" w:cs="Tahoma" w:hint="eastAsia"/>
          <w:sz w:val="18"/>
          <w:szCs w:val="18"/>
          <w:rtl/>
          <w:lang w:bidi="ar-SA"/>
        </w:rPr>
        <w:t>أيّار</w:t>
      </w:r>
      <w:r w:rsidRPr="00523BBF">
        <w:rPr>
          <w:rFonts w:ascii="Tahoma" w:hAnsi="Tahoma" w:cs="Tahoma"/>
          <w:sz w:val="18"/>
          <w:szCs w:val="18"/>
          <w:rtl/>
          <w:lang w:bidi="ar-SA"/>
        </w:rPr>
        <w:t xml:space="preserve"> 2019</w:t>
      </w:r>
      <w:bookmarkEnd w:id="0"/>
      <w:bookmarkEnd w:id="1"/>
      <w:bookmarkEnd w:id="2"/>
      <w:bookmarkEnd w:id="3"/>
      <w:bookmarkEnd w:id="4"/>
    </w:p>
    <w:sectPr w:rsidSect="00C04981">
      <w:headerReference w:type="even" r:id="rId7"/>
      <w:headerReference w:type="default" r:id="rId8"/>
      <w:headerReference w:type="first" r:id="rId9"/>
      <w:pgSz w:w="11906" w:h="16838" w:code="9"/>
      <w:pgMar w:top="3402" w:right="1701" w:bottom="2835"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D69EC" w:rsidRPr="008A007A" w:rsidP="008A007A">
      <w:pPr>
        <w:pStyle w:val="Footer"/>
      </w:pPr>
    </w:p>
  </w:footnote>
  <w:footnote w:type="continuationSeparator" w:id="1">
    <w:p w:rsidR="006D69EC" w:rsidP="00CB3322">
      <w:pPr>
        <w:spacing w:after="0" w:line="240" w:lineRule="auto"/>
      </w:pPr>
      <w:r>
        <w:continuationSeparator/>
      </w:r>
    </w:p>
    <w:p w:rsidR="006D69EC"/>
  </w:footnote>
  <w:footnote w:id="2">
    <w:p w:rsidR="00523BBF" w:rsidRPr="00DD0D1F" w:rsidP="00523BBF">
      <w:pPr>
        <w:spacing w:after="40" w:line="200" w:lineRule="exact"/>
        <w:ind w:left="397" w:right="2268" w:hanging="397"/>
        <w:jc w:val="both"/>
        <w:rPr>
          <w:rFonts w:ascii="Tahoma" w:hAnsi="Tahoma" w:cs="Tahoma"/>
          <w:color w:val="000000"/>
          <w:sz w:val="14"/>
          <w:szCs w:val="14"/>
          <w:rtl/>
          <w:lang w:bidi="ar-SA"/>
        </w:rPr>
      </w:pPr>
      <w:r w:rsidRPr="00DD0D1F">
        <w:rPr>
          <w:rStyle w:val="FootnoteReference"/>
          <w:rFonts w:ascii="Tahoma" w:hAnsi="Tahoma" w:cs="Tahoma"/>
          <w:sz w:val="14"/>
          <w:szCs w:val="14"/>
          <w:vertAlign w:val="baseline"/>
        </w:rPr>
        <w:footnoteRef/>
      </w:r>
      <w:r w:rsidRPr="00DD0D1F">
        <w:rPr>
          <w:rFonts w:ascii="Tahoma" w:hAnsi="Tahoma" w:cs="Tahoma"/>
          <w:sz w:val="14"/>
          <w:szCs w:val="14"/>
          <w:rtl/>
        </w:rPr>
        <w:t xml:space="preserve"> </w:t>
      </w:r>
      <w:r w:rsidRPr="00DD0D1F">
        <w:rPr>
          <w:rStyle w:val="FootnoteReference"/>
          <w:rFonts w:ascii="Tahoma" w:hAnsi="Tahoma" w:cs="Tahoma"/>
          <w:color w:val="000000"/>
          <w:sz w:val="14"/>
          <w:szCs w:val="14"/>
          <w:vertAlign w:val="baseline"/>
          <w:rtl/>
        </w:rPr>
        <w:tab/>
      </w:r>
      <w:r>
        <w:rPr>
          <w:rFonts w:ascii="Tahoma" w:hAnsi="Tahoma" w:cs="Tahoma" w:hint="cs"/>
          <w:sz w:val="14"/>
          <w:szCs w:val="14"/>
          <w:rtl/>
          <w:lang w:bidi="ar-SA"/>
        </w:rPr>
        <w:t xml:space="preserve">مراقب الدولة، التقرير السنويّ </w:t>
      </w:r>
      <w:r w:rsidRPr="00DD0D1F">
        <w:rPr>
          <w:rFonts w:ascii="Tahoma" w:hAnsi="Tahoma" w:cs="Tahoma"/>
          <w:b/>
          <w:bCs/>
          <w:sz w:val="14"/>
          <w:szCs w:val="14"/>
          <w:rtl/>
        </w:rPr>
        <w:t>64</w:t>
      </w:r>
      <w:r>
        <w:rPr>
          <w:rFonts w:ascii="Tahoma" w:eastAsia="David" w:hAnsi="Tahoma" w:cs="Tahoma" w:hint="cs"/>
          <w:b/>
          <w:bCs/>
          <w:sz w:val="14"/>
          <w:szCs w:val="14"/>
          <w:rtl/>
          <w:lang w:bidi="ar-SA"/>
        </w:rPr>
        <w:t xml:space="preserve">ب </w:t>
      </w:r>
      <w:r w:rsidRPr="00DD0D1F">
        <w:rPr>
          <w:rFonts w:ascii="Tahoma" w:hAnsi="Tahoma" w:cs="Tahoma"/>
          <w:sz w:val="14"/>
          <w:szCs w:val="14"/>
          <w:rtl/>
        </w:rPr>
        <w:t>(2014)</w:t>
      </w:r>
      <w:r>
        <w:rPr>
          <w:rFonts w:ascii="Tahoma" w:hAnsi="Tahoma" w:cs="Tahoma" w:hint="cs"/>
          <w:sz w:val="14"/>
          <w:szCs w:val="14"/>
          <w:rtl/>
          <w:lang w:bidi="ar-SA"/>
        </w:rPr>
        <w:t xml:space="preserve">، "جوانب في نشاط رابطة معاقي جيش الدفاع الإسرائيليّ وقضايا في موضوع معاقي جيش الدفاع الإسرائيليّ"، </w:t>
      </w:r>
      <w:r w:rsidRPr="00DD0D1F">
        <w:rPr>
          <w:rFonts w:ascii="Tahoma" w:hAnsi="Tahoma" w:cs="Tahoma"/>
          <w:sz w:val="14"/>
          <w:szCs w:val="14"/>
          <w:rtl/>
        </w:rPr>
        <w:t>59</w:t>
      </w:r>
      <w:r>
        <w:rPr>
          <w:rFonts w:ascii="Tahoma" w:hAnsi="Tahoma" w:cs="Tahoma" w:hint="cs"/>
          <w:sz w:val="14"/>
          <w:szCs w:val="14"/>
          <w:rtl/>
          <w:lang w:bidi="ar-SA"/>
        </w:rPr>
        <w:t>؛ مراقب الدولة تقارير الرقابة في السلطات المحلّيّة لسنة</w:t>
      </w:r>
      <w:r w:rsidRPr="00DD0D1F">
        <w:rPr>
          <w:rFonts w:ascii="Tahoma" w:eastAsia="David" w:hAnsi="Tahoma" w:cs="Tahoma"/>
          <w:b/>
          <w:bCs/>
          <w:sz w:val="14"/>
          <w:szCs w:val="14"/>
          <w:rtl/>
        </w:rPr>
        <w:t xml:space="preserve"> </w:t>
      </w:r>
      <w:r w:rsidRPr="00DD0D1F">
        <w:rPr>
          <w:rFonts w:ascii="Tahoma" w:hAnsi="Tahoma" w:cs="Tahoma"/>
          <w:b/>
          <w:bCs/>
          <w:sz w:val="14"/>
          <w:szCs w:val="14"/>
          <w:rtl/>
        </w:rPr>
        <w:t>2015</w:t>
      </w:r>
      <w:r>
        <w:rPr>
          <w:rFonts w:ascii="Tahoma" w:hAnsi="Tahoma" w:cs="Tahoma" w:hint="cs"/>
          <w:b/>
          <w:bCs/>
          <w:sz w:val="14"/>
          <w:szCs w:val="14"/>
          <w:rtl/>
          <w:lang w:bidi="ar-SA"/>
        </w:rPr>
        <w:t xml:space="preserve"> (نُشر في سنة </w:t>
      </w:r>
      <w:r w:rsidRPr="00DD0D1F">
        <w:rPr>
          <w:rFonts w:ascii="Tahoma" w:hAnsi="Tahoma" w:cs="Tahoma"/>
          <w:sz w:val="14"/>
          <w:szCs w:val="14"/>
          <w:rtl/>
        </w:rPr>
        <w:t>2015)</w:t>
      </w:r>
      <w:r>
        <w:rPr>
          <w:rFonts w:ascii="Tahoma" w:eastAsia="David" w:hAnsi="Tahoma" w:cs="Tahoma" w:hint="cs"/>
          <w:sz w:val="14"/>
          <w:szCs w:val="14"/>
          <w:rtl/>
          <w:lang w:bidi="ar-SA"/>
        </w:rPr>
        <w:t xml:space="preserve">، "تشغيل مستشارين خارجيّين من قبل سلطات محلّيّة". </w:t>
      </w:r>
    </w:p>
  </w:footnote>
  <w:footnote w:id="3">
    <w:p w:rsidR="00523BBF" w:rsidRPr="00DD0D1F" w:rsidP="00523BBF">
      <w:pPr>
        <w:spacing w:after="40" w:line="200" w:lineRule="exact"/>
        <w:ind w:left="397" w:right="2268" w:hanging="397"/>
        <w:jc w:val="both"/>
        <w:rPr>
          <w:rFonts w:ascii="Tahoma" w:hAnsi="Tahoma" w:cs="Tahoma"/>
          <w:color w:val="000000"/>
          <w:sz w:val="14"/>
          <w:szCs w:val="14"/>
          <w:rtl/>
        </w:rPr>
      </w:pPr>
      <w:r w:rsidRPr="00DD0D1F">
        <w:rPr>
          <w:rStyle w:val="FootnoteReference"/>
          <w:rFonts w:ascii="Tahoma" w:hAnsi="Tahoma" w:cs="Tahoma"/>
          <w:sz w:val="14"/>
          <w:szCs w:val="14"/>
          <w:vertAlign w:val="baseline"/>
        </w:rPr>
        <w:footnoteRef/>
      </w:r>
      <w:r w:rsidRPr="00DD0D1F">
        <w:rPr>
          <w:rFonts w:ascii="Tahoma" w:hAnsi="Tahoma" w:cs="Tahoma"/>
          <w:sz w:val="14"/>
          <w:szCs w:val="14"/>
          <w:rtl/>
        </w:rPr>
        <w:t xml:space="preserve"> </w:t>
      </w:r>
      <w:r w:rsidRPr="00DD0D1F">
        <w:rPr>
          <w:rStyle w:val="FootnoteReference"/>
          <w:rFonts w:ascii="Tahoma" w:hAnsi="Tahoma" w:cs="Tahoma"/>
          <w:color w:val="000000"/>
          <w:sz w:val="14"/>
          <w:szCs w:val="14"/>
          <w:vertAlign w:val="baseline"/>
          <w:rtl/>
        </w:rPr>
        <w:tab/>
      </w:r>
      <w:r>
        <w:rPr>
          <w:rFonts w:ascii="Tahoma" w:hAnsi="Tahoma" w:cs="Tahoma" w:hint="cs"/>
          <w:sz w:val="14"/>
          <w:szCs w:val="14"/>
          <w:rtl/>
          <w:lang w:bidi="ar-SA"/>
        </w:rPr>
        <w:t xml:space="preserve">انظروا: مواقف من تعامل الدولة مع فئة الحاصلين على مخصّصات التمريض (مقدّمو رعاية من قبل مؤسّسة التأمين الوطنيّ) في إسرائيل (نُشر بتاريخ </w:t>
      </w:r>
      <w:r w:rsidRPr="00DD0D1F">
        <w:rPr>
          <w:rFonts w:ascii="Tahoma" w:hAnsi="Tahoma" w:cs="Tahoma"/>
          <w:sz w:val="14"/>
          <w:szCs w:val="14"/>
          <w:rtl/>
        </w:rPr>
        <w:t>5.12.16)</w:t>
      </w:r>
      <w:r>
        <w:rPr>
          <w:rFonts w:ascii="Tahoma" w:hAnsi="Tahoma" w:cs="Tahoma" w:hint="cs"/>
          <w:sz w:val="14"/>
          <w:szCs w:val="14"/>
          <w:rtl/>
          <w:lang w:bidi="ar-SA"/>
        </w:rPr>
        <w:t xml:space="preserve">؛ استبيان عن خدمة شركة بريد إسرائيل (نُشر بتاريخ </w:t>
      </w:r>
      <w:r>
        <w:rPr>
          <w:rFonts w:ascii="Tahoma" w:hAnsi="Tahoma" w:cs="Tahoma" w:hint="cs"/>
          <w:sz w:val="14"/>
          <w:szCs w:val="14"/>
          <w:rtl/>
        </w:rPr>
        <w:t>3.7.17)</w:t>
      </w:r>
      <w:r>
        <w:rPr>
          <w:rFonts w:ascii="Tahoma" w:hAnsi="Tahoma" w:cs="Tahoma" w:hint="cs"/>
          <w:sz w:val="14"/>
          <w:szCs w:val="14"/>
          <w:rtl/>
          <w:lang w:bidi="ar-SA"/>
        </w:rPr>
        <w:t>.</w:t>
      </w:r>
      <w:r>
        <w:rPr>
          <w:rFonts w:ascii="Tahoma" w:hAnsi="Tahoma" w:cs="Tahoma" w:hint="cs"/>
          <w:sz w:val="14"/>
          <w:szCs w:val="14"/>
          <w:rtl/>
        </w:rPr>
        <w:t xml:space="preserve"> </w:t>
      </w:r>
    </w:p>
  </w:footnote>
  <w:footnote w:id="4">
    <w:p w:rsidR="00523BBF" w:rsidRPr="00DD0D1F" w:rsidP="00523BBF">
      <w:pPr>
        <w:spacing w:after="40" w:line="200" w:lineRule="exact"/>
        <w:ind w:left="397" w:right="2268" w:hanging="397"/>
        <w:jc w:val="both"/>
        <w:rPr>
          <w:rFonts w:ascii="Tahoma" w:hAnsi="Tahoma" w:cs="Tahoma"/>
          <w:color w:val="000000"/>
          <w:sz w:val="14"/>
          <w:szCs w:val="14"/>
          <w:rtl/>
          <w:lang w:bidi="ar-SA"/>
        </w:rPr>
      </w:pPr>
      <w:r w:rsidRPr="00DD0D1F">
        <w:rPr>
          <w:rStyle w:val="FootnoteReference"/>
          <w:rFonts w:ascii="Tahoma" w:hAnsi="Tahoma" w:cs="Tahoma"/>
          <w:sz w:val="14"/>
          <w:szCs w:val="14"/>
          <w:vertAlign w:val="baseline"/>
        </w:rPr>
        <w:footnoteRef/>
      </w:r>
      <w:r w:rsidRPr="00DD0D1F">
        <w:rPr>
          <w:rFonts w:ascii="Tahoma" w:hAnsi="Tahoma" w:cs="Tahoma"/>
          <w:sz w:val="14"/>
          <w:szCs w:val="14"/>
          <w:rtl/>
        </w:rPr>
        <w:t xml:space="preserve"> </w:t>
      </w:r>
      <w:r w:rsidRPr="00DD0D1F">
        <w:rPr>
          <w:rStyle w:val="FootnoteReference"/>
          <w:rFonts w:ascii="Tahoma" w:hAnsi="Tahoma" w:cs="Tahoma"/>
          <w:color w:val="000000"/>
          <w:sz w:val="14"/>
          <w:szCs w:val="14"/>
          <w:vertAlign w:val="baseline"/>
          <w:rtl/>
        </w:rPr>
        <w:tab/>
      </w:r>
      <w:r>
        <w:rPr>
          <w:rFonts w:ascii="Tahoma" w:hAnsi="Tahoma" w:cs="Tahoma" w:hint="cs"/>
          <w:sz w:val="14"/>
          <w:szCs w:val="14"/>
          <w:rtl/>
          <w:lang w:bidi="ar-SA"/>
        </w:rPr>
        <w:t xml:space="preserve">كما حدث في إطار الرقابة فيما يخصّ رعاية المسنّين التمريضيّين الماكثين في بيوتهم- مراقب الدولة، </w:t>
      </w:r>
      <w:r w:rsidRPr="005A4544">
        <w:rPr>
          <w:rFonts w:ascii="Tahoma" w:hAnsi="Tahoma" w:cs="Tahoma" w:hint="cs"/>
          <w:b/>
          <w:bCs/>
          <w:sz w:val="14"/>
          <w:szCs w:val="14"/>
          <w:rtl/>
          <w:lang w:bidi="ar-SA"/>
        </w:rPr>
        <w:t>رعاية المسنّين التمريضيّين المقيمين في بيوتهم</w:t>
      </w:r>
      <w:r>
        <w:rPr>
          <w:rFonts w:ascii="Tahoma" w:hAnsi="Tahoma" w:cs="Tahoma" w:hint="cs"/>
          <w:sz w:val="14"/>
          <w:szCs w:val="14"/>
          <w:rtl/>
          <w:lang w:bidi="ar-SA"/>
        </w:rPr>
        <w:t xml:space="preserve"> </w:t>
      </w:r>
      <w:r w:rsidRPr="00DD0D1F">
        <w:rPr>
          <w:rFonts w:ascii="Tahoma" w:hAnsi="Tahoma" w:cs="Tahoma" w:hint="cs"/>
          <w:sz w:val="14"/>
          <w:szCs w:val="14"/>
          <w:rtl/>
        </w:rPr>
        <w:t>(2017)</w:t>
      </w:r>
      <w:r w:rsidRPr="00DD0D1F">
        <w:rPr>
          <w:rFonts w:ascii="Tahoma" w:hAnsi="Tahoma" w:cs="Tahoma"/>
          <w:sz w:val="14"/>
          <w:szCs w:val="14"/>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2C63" w:rsidRPr="000536D4" w:rsidP="00DD0D1F">
    <w:pPr>
      <w:spacing w:before="240" w:after="180" w:line="240" w:lineRule="auto"/>
      <w:rPr>
        <w:b/>
        <w:bCs/>
      </w:rPr>
    </w:pPr>
    <w:r w:rsidRPr="00D70CA7">
      <w:rPr>
        <w:rFonts w:ascii="Arial Bold" w:hAnsi="Arial Bold"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D70CA7">
      <w:rPr>
        <w:rFonts w:ascii="Arial Bold" w:hAnsi="Arial Bold" w:eastAsiaTheme="majorEastAsia" w:cs="Tahoma" w:hint="eastAsia"/>
        <w:color w:val="0B5294" w:themeColor="accent1" w:themeShade="BF"/>
        <w:sz w:val="16"/>
        <w:szCs w:val="16"/>
        <w:rtl/>
      </w:rPr>
      <w:t>דוח</w:t>
    </w:r>
    <w:r w:rsidRPr="00D70CA7">
      <w:rPr>
        <w:rFonts w:ascii="Arial Bold" w:hAnsi="Arial Bold" w:eastAsiaTheme="majorEastAsia" w:cs="Tahoma"/>
        <w:color w:val="0B5294" w:themeColor="accent1" w:themeShade="BF"/>
        <w:sz w:val="16"/>
        <w:szCs w:val="16"/>
        <w:rtl/>
      </w:rPr>
      <w:t xml:space="preserve"> </w:t>
    </w:r>
    <w:r w:rsidRPr="00D70CA7">
      <w:rPr>
        <w:rFonts w:ascii="Arial Bold" w:hAnsi="Arial Bold" w:eastAsiaTheme="majorEastAsia" w:cs="Tahoma" w:hint="eastAsia"/>
        <w:color w:val="0B5294" w:themeColor="accent1" w:themeShade="BF"/>
        <w:sz w:val="16"/>
        <w:szCs w:val="16"/>
        <w:rtl/>
      </w:rPr>
      <w:t>שנתי</w:t>
    </w:r>
    <w:r w:rsidRPr="00D70CA7">
      <w:rPr>
        <w:rFonts w:ascii="Arial Bold" w:hAnsi="Arial Bold" w:eastAsiaTheme="majorEastAsia" w:cs="Tahoma"/>
        <w:color w:val="0B5294" w:themeColor="accent1" w:themeShade="BF"/>
        <w:sz w:val="16"/>
        <w:szCs w:val="16"/>
        <w:rtl/>
      </w:rPr>
      <w:t xml:space="preserve"> </w:t>
    </w:r>
    <w:r>
      <w:rPr>
        <w:rFonts w:ascii="Arial Bold" w:hAnsi="Arial Bold" w:eastAsiaTheme="majorEastAsia" w:cs="Tahoma" w:hint="cs"/>
        <w:color w:val="0B5294" w:themeColor="accent1" w:themeShade="BF"/>
        <w:sz w:val="16"/>
        <w:szCs w:val="16"/>
        <w:rtl/>
      </w:rPr>
      <w:t>69ב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2C63" w:rsidRPr="00D70CA7" w:rsidP="00DD0D1F">
    <w:pPr>
      <w:spacing w:before="240" w:after="180" w:line="240" w:lineRule="auto"/>
      <w:jc w:val="right"/>
      <w:rPr>
        <w:rFonts w:ascii="Tahoma" w:hAnsi="Tahoma" w:cs="Tahoma"/>
        <w:b/>
        <w:bCs/>
        <w:sz w:val="16"/>
        <w:szCs w:val="16"/>
      </w:rPr>
    </w:pPr>
    <w:r w:rsidRPr="00D70CA7">
      <w:rPr>
        <w:rFonts w:ascii="Arial Bold" w:hAnsi="Arial Bold"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D70CA7">
      <w:rPr>
        <w:rFonts w:ascii="Arial Bold" w:hAnsi="Arial Bold" w:eastAsiaTheme="majorEastAsia" w:cs="Tahoma" w:hint="eastAsia"/>
        <w:color w:val="0B5294" w:themeColor="accent1" w:themeShade="BF"/>
        <w:sz w:val="16"/>
        <w:szCs w:val="16"/>
        <w:rtl/>
      </w:rPr>
      <w:t>דוח</w:t>
    </w:r>
    <w:r w:rsidRPr="00D70CA7">
      <w:rPr>
        <w:rFonts w:ascii="Arial Bold" w:hAnsi="Arial Bold" w:eastAsiaTheme="majorEastAsia" w:cs="Tahoma"/>
        <w:color w:val="0B5294" w:themeColor="accent1" w:themeShade="BF"/>
        <w:sz w:val="16"/>
        <w:szCs w:val="16"/>
        <w:rtl/>
      </w:rPr>
      <w:t xml:space="preserve"> </w:t>
    </w:r>
    <w:r w:rsidRPr="00D70CA7">
      <w:rPr>
        <w:rFonts w:ascii="Arial Bold" w:hAnsi="Arial Bold" w:eastAsiaTheme="majorEastAsia" w:cs="Tahoma" w:hint="eastAsia"/>
        <w:color w:val="0B5294" w:themeColor="accent1" w:themeShade="BF"/>
        <w:sz w:val="16"/>
        <w:szCs w:val="16"/>
        <w:rtl/>
      </w:rPr>
      <w:t>שנתי</w:t>
    </w:r>
    <w:r w:rsidRPr="00D70CA7">
      <w:rPr>
        <w:rFonts w:ascii="Arial Bold" w:hAnsi="Arial Bold" w:eastAsiaTheme="majorEastAsia" w:cs="Tahoma"/>
        <w:color w:val="0B5294" w:themeColor="accent1" w:themeShade="BF"/>
        <w:sz w:val="16"/>
        <w:szCs w:val="16"/>
        <w:rtl/>
      </w:rPr>
      <w:t xml:space="preserve"> </w:t>
    </w:r>
    <w:r>
      <w:rPr>
        <w:rFonts w:ascii="Arial Bold" w:hAnsi="Arial Bold" w:eastAsiaTheme="majorEastAsia" w:cs="Tahoma" w:hint="cs"/>
        <w:color w:val="0B5294" w:themeColor="accent1" w:themeShade="BF"/>
        <w:sz w:val="16"/>
        <w:szCs w:val="16"/>
        <w:rtl/>
      </w:rPr>
      <w:t>69ב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30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E958AB"/>
    <w:multiLevelType w:val="multilevel"/>
    <w:tmpl w:val="D72C347E"/>
    <w:lvl w:ilvl="0">
      <w:start w:val="1"/>
      <w:numFmt w:val="decimal"/>
      <w:lvlText w:val="%1."/>
      <w:lvlJc w:val="left"/>
      <w:pPr>
        <w:ind w:left="340" w:hanging="340"/>
      </w:pPr>
      <w:rPr>
        <w:b/>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10605432"/>
    <w:multiLevelType w:val="hybridMultilevel"/>
    <w:tmpl w:val="55DC5252"/>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2">
    <w:nsid w:val="17C04657"/>
    <w:multiLevelType w:val="multilevel"/>
    <w:tmpl w:val="4058D25E"/>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1B220BC1"/>
    <w:multiLevelType w:val="hybridMultilevel"/>
    <w:tmpl w:val="1B5CE1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09B1F97"/>
    <w:multiLevelType w:val="multilevel"/>
    <w:tmpl w:val="2B56E10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9BD5FFB"/>
    <w:multiLevelType w:val="hybridMultilevel"/>
    <w:tmpl w:val="7182FB84"/>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7">
    <w:nsid w:val="2C2E0C5F"/>
    <w:multiLevelType w:val="multilevel"/>
    <w:tmpl w:val="3C82A1F2"/>
    <w:lvl w:ilvl="0">
      <w:start w:val="3"/>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2E274273"/>
    <w:multiLevelType w:val="multilevel"/>
    <w:tmpl w:val="2B56E10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32760DC3"/>
    <w:multiLevelType w:val="hybridMultilevel"/>
    <w:tmpl w:val="1D3CF324"/>
    <w:lvl w:ilvl="0">
      <w:start w:val="1"/>
      <w:numFmt w:val="bullet"/>
      <w:lvlText w:val=""/>
      <w:lvlJc w:val="left"/>
      <w:pPr>
        <w:ind w:left="644" w:hanging="360"/>
      </w:pPr>
      <w:rPr>
        <w:rFonts w:ascii="Symbol" w:hAnsi="Symbol" w:hint="default"/>
        <w:lang w:bidi="he-IL"/>
      </w:rPr>
    </w:lvl>
    <w:lvl w:ilvl="1">
      <w:start w:val="1"/>
      <w:numFmt w:val="bullet"/>
      <w:lvlText w:val=""/>
      <w:lvlJc w:val="left"/>
      <w:pPr>
        <w:ind w:left="1494" w:hanging="360"/>
      </w:pPr>
      <w:rPr>
        <w:rFonts w:ascii="Symbol" w:hAnsi="Symbol" w:hint="default"/>
        <w:lang w:bidi="he-IL"/>
      </w:rPr>
    </w:lvl>
    <w:lvl w:ilvl="2">
      <w:start w:val="1"/>
      <w:numFmt w:val="bullet"/>
      <w:lvlText w:val="-"/>
      <w:lvlJc w:val="left"/>
      <w:pPr>
        <w:ind w:left="4918" w:hanging="360"/>
      </w:pPr>
      <w:rPr>
        <w:rFonts w:ascii="Courier New" w:hAnsi="Courier New" w:hint="default"/>
        <w:lang w:bidi="he-IL"/>
      </w:rPr>
    </w:lvl>
    <w:lvl w:ilvl="3">
      <w:start w:val="1"/>
      <w:numFmt w:val="bullet"/>
      <w:lvlText w:val=""/>
      <w:lvlJc w:val="left"/>
      <w:pPr>
        <w:ind w:left="5638" w:hanging="360"/>
      </w:pPr>
      <w:rPr>
        <w:rFonts w:ascii="Symbol" w:hAnsi="Symbol" w:hint="default"/>
      </w:rPr>
    </w:lvl>
    <w:lvl w:ilvl="4" w:tentative="1">
      <w:start w:val="1"/>
      <w:numFmt w:val="bullet"/>
      <w:lvlText w:val="o"/>
      <w:lvlJc w:val="left"/>
      <w:pPr>
        <w:ind w:left="6358" w:hanging="360"/>
      </w:pPr>
      <w:rPr>
        <w:rFonts w:ascii="Courier New" w:hAnsi="Courier New" w:cs="Courier New" w:hint="default"/>
      </w:rPr>
    </w:lvl>
    <w:lvl w:ilvl="5" w:tentative="1">
      <w:start w:val="1"/>
      <w:numFmt w:val="bullet"/>
      <w:lvlText w:val=""/>
      <w:lvlJc w:val="left"/>
      <w:pPr>
        <w:ind w:left="7078" w:hanging="360"/>
      </w:pPr>
      <w:rPr>
        <w:rFonts w:ascii="Wingdings" w:hAnsi="Wingdings" w:hint="default"/>
      </w:rPr>
    </w:lvl>
    <w:lvl w:ilvl="6" w:tentative="1">
      <w:start w:val="1"/>
      <w:numFmt w:val="bullet"/>
      <w:lvlText w:val=""/>
      <w:lvlJc w:val="left"/>
      <w:pPr>
        <w:ind w:left="7798" w:hanging="360"/>
      </w:pPr>
      <w:rPr>
        <w:rFonts w:ascii="Symbol" w:hAnsi="Symbol" w:hint="default"/>
      </w:rPr>
    </w:lvl>
    <w:lvl w:ilvl="7" w:tentative="1">
      <w:start w:val="1"/>
      <w:numFmt w:val="bullet"/>
      <w:lvlText w:val="o"/>
      <w:lvlJc w:val="left"/>
      <w:pPr>
        <w:ind w:left="8518" w:hanging="360"/>
      </w:pPr>
      <w:rPr>
        <w:rFonts w:ascii="Courier New" w:hAnsi="Courier New" w:cs="Courier New" w:hint="default"/>
      </w:rPr>
    </w:lvl>
    <w:lvl w:ilvl="8" w:tentative="1">
      <w:start w:val="1"/>
      <w:numFmt w:val="bullet"/>
      <w:lvlText w:val=""/>
      <w:lvlJc w:val="left"/>
      <w:pPr>
        <w:ind w:left="9238" w:hanging="360"/>
      </w:pPr>
      <w:rPr>
        <w:rFonts w:ascii="Wingdings" w:hAnsi="Wingdings" w:hint="default"/>
      </w:rPr>
    </w:lvl>
  </w:abstractNum>
  <w:abstractNum w:abstractNumId="10">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3357585E"/>
    <w:multiLevelType w:val="multilevel"/>
    <w:tmpl w:val="D5B06B2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3">
    <w:nsid w:val="41CE3D08"/>
    <w:multiLevelType w:val="multilevel"/>
    <w:tmpl w:val="708E5198"/>
    <w:lvl w:ilvl="0">
      <w:start w:val="5"/>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5">
    <w:nsid w:val="59513B51"/>
    <w:multiLevelType w:val="hybridMultilevel"/>
    <w:tmpl w:val="2E4217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7BF5139"/>
    <w:multiLevelType w:val="multilevel"/>
    <w:tmpl w:val="DC6C961C"/>
    <w:lvl w:ilvl="0">
      <w:start w:val="1"/>
      <w:numFmt w:val="decimal"/>
      <w:pStyle w:val="a1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7">
    <w:nsid w:val="783727F4"/>
    <w:multiLevelType w:val="hybridMultilevel"/>
    <w:tmpl w:val="4030C91E"/>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E317EBC"/>
    <w:multiLevelType w:val="hybridMultilevel"/>
    <w:tmpl w:val="7CD6802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10"/>
  </w:num>
  <w:num w:numId="3">
    <w:abstractNumId w:val="16"/>
  </w:num>
  <w:num w:numId="4">
    <w:abstractNumId w:val="5"/>
  </w:num>
  <w:num w:numId="5">
    <w:abstractNumId w:val="15"/>
  </w:num>
  <w:num w:numId="6">
    <w:abstractNumId w:val="3"/>
  </w:num>
  <w:num w:numId="7">
    <w:abstractNumId w:val="17"/>
  </w:num>
  <w:num w:numId="8">
    <w:abstractNumId w:val="18"/>
  </w:num>
  <w:num w:numId="9">
    <w:abstractNumId w:val="0"/>
  </w:num>
  <w:num w:numId="10">
    <w:abstractNumId w:val="11"/>
  </w:num>
  <w:num w:numId="11">
    <w:abstractNumId w:val="2"/>
  </w:num>
  <w:num w:numId="12">
    <w:abstractNumId w:val="7"/>
  </w:num>
  <w:num w:numId="13">
    <w:abstractNumId w:val="13"/>
  </w:num>
  <w:num w:numId="14">
    <w:abstractNumId w:val="1"/>
  </w:num>
  <w:num w:numId="15">
    <w:abstractNumId w:val="14"/>
  </w:num>
  <w:num w:numId="16">
    <w:abstractNumId w:val="6"/>
  </w:num>
  <w:num w:numId="17">
    <w:abstractNumId w:val="5"/>
    <w:lvlOverride w:ilvl="0">
      <w:startOverride w:val="1"/>
    </w:lvlOverride>
  </w:num>
  <w:num w:numId="18">
    <w:abstractNumId w:val="5"/>
    <w:lvlOverride w:ilvl="0">
      <w:startOverride w:val="2"/>
    </w:lvlOverride>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12"/>
  </w:num>
  <w:num w:numId="29">
    <w:abstractNumId w:val="5"/>
  </w:num>
  <w:num w:numId="30">
    <w:abstractNumId w:val="5"/>
  </w:num>
  <w:num w:numId="31">
    <w:abstractNumId w:val="5"/>
  </w:num>
  <w:num w:numId="32">
    <w:abstractNumId w:val="5"/>
  </w:num>
  <w:num w:numId="33">
    <w:abstractNumId w:val="5"/>
  </w:num>
  <w:num w:numId="34">
    <w:abstractNumId w:val="8"/>
  </w:num>
  <w:num w:numId="3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397"/>
  <w:evenAndOddHeaders/>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D49"/>
    <w:rsid w:val="00006188"/>
    <w:rsid w:val="00006C22"/>
    <w:rsid w:val="000073CC"/>
    <w:rsid w:val="000105AD"/>
    <w:rsid w:val="000114F5"/>
    <w:rsid w:val="00011508"/>
    <w:rsid w:val="00011ABF"/>
    <w:rsid w:val="000123B5"/>
    <w:rsid w:val="00012511"/>
    <w:rsid w:val="00012E42"/>
    <w:rsid w:val="00012FC5"/>
    <w:rsid w:val="00013127"/>
    <w:rsid w:val="00015D42"/>
    <w:rsid w:val="00017099"/>
    <w:rsid w:val="000174BC"/>
    <w:rsid w:val="000178C8"/>
    <w:rsid w:val="00021662"/>
    <w:rsid w:val="000225D3"/>
    <w:rsid w:val="000249E2"/>
    <w:rsid w:val="00025440"/>
    <w:rsid w:val="00025650"/>
    <w:rsid w:val="0002681A"/>
    <w:rsid w:val="0002689B"/>
    <w:rsid w:val="00027245"/>
    <w:rsid w:val="0002729A"/>
    <w:rsid w:val="000315F5"/>
    <w:rsid w:val="00031938"/>
    <w:rsid w:val="00032126"/>
    <w:rsid w:val="000324B9"/>
    <w:rsid w:val="0003299E"/>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3BD7"/>
    <w:rsid w:val="00053E3F"/>
    <w:rsid w:val="0005686C"/>
    <w:rsid w:val="00057227"/>
    <w:rsid w:val="00057394"/>
    <w:rsid w:val="0005759F"/>
    <w:rsid w:val="00057941"/>
    <w:rsid w:val="00057DBB"/>
    <w:rsid w:val="00060A1A"/>
    <w:rsid w:val="00061019"/>
    <w:rsid w:val="00061AC6"/>
    <w:rsid w:val="00061BAA"/>
    <w:rsid w:val="00061F85"/>
    <w:rsid w:val="000627BB"/>
    <w:rsid w:val="00063866"/>
    <w:rsid w:val="0006471A"/>
    <w:rsid w:val="00064B2A"/>
    <w:rsid w:val="00064CC2"/>
    <w:rsid w:val="00064F00"/>
    <w:rsid w:val="000668F3"/>
    <w:rsid w:val="00067AE8"/>
    <w:rsid w:val="00067E4F"/>
    <w:rsid w:val="00067F8D"/>
    <w:rsid w:val="000700BA"/>
    <w:rsid w:val="00070DF2"/>
    <w:rsid w:val="000712F9"/>
    <w:rsid w:val="000727E4"/>
    <w:rsid w:val="00072DC7"/>
    <w:rsid w:val="000760A4"/>
    <w:rsid w:val="00076160"/>
    <w:rsid w:val="000761E8"/>
    <w:rsid w:val="00076761"/>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03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37B"/>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157"/>
    <w:rsid w:val="000E5B6C"/>
    <w:rsid w:val="000E5C35"/>
    <w:rsid w:val="000E642B"/>
    <w:rsid w:val="000E6B72"/>
    <w:rsid w:val="000E6D1A"/>
    <w:rsid w:val="000E7432"/>
    <w:rsid w:val="000E761F"/>
    <w:rsid w:val="000E7FC4"/>
    <w:rsid w:val="000F0117"/>
    <w:rsid w:val="000F0D79"/>
    <w:rsid w:val="000F335D"/>
    <w:rsid w:val="000F3B27"/>
    <w:rsid w:val="000F4951"/>
    <w:rsid w:val="000F4997"/>
    <w:rsid w:val="000F49B9"/>
    <w:rsid w:val="000F4C6C"/>
    <w:rsid w:val="000F4E31"/>
    <w:rsid w:val="000F51B7"/>
    <w:rsid w:val="000F68CD"/>
    <w:rsid w:val="000F69B0"/>
    <w:rsid w:val="000F6B40"/>
    <w:rsid w:val="000F722D"/>
    <w:rsid w:val="000F7E18"/>
    <w:rsid w:val="0010121F"/>
    <w:rsid w:val="001012CC"/>
    <w:rsid w:val="00101DD5"/>
    <w:rsid w:val="0010229A"/>
    <w:rsid w:val="001024AF"/>
    <w:rsid w:val="00102675"/>
    <w:rsid w:val="001033B3"/>
    <w:rsid w:val="00103971"/>
    <w:rsid w:val="00103CED"/>
    <w:rsid w:val="00103D42"/>
    <w:rsid w:val="00103FBC"/>
    <w:rsid w:val="00104839"/>
    <w:rsid w:val="00104E94"/>
    <w:rsid w:val="00105A73"/>
    <w:rsid w:val="00105B88"/>
    <w:rsid w:val="00105ED4"/>
    <w:rsid w:val="00106FBF"/>
    <w:rsid w:val="00106FC5"/>
    <w:rsid w:val="00107938"/>
    <w:rsid w:val="00107DB4"/>
    <w:rsid w:val="00110838"/>
    <w:rsid w:val="00111817"/>
    <w:rsid w:val="00111D0B"/>
    <w:rsid w:val="00112B7B"/>
    <w:rsid w:val="00112D83"/>
    <w:rsid w:val="00113A65"/>
    <w:rsid w:val="00113BEC"/>
    <w:rsid w:val="00114587"/>
    <w:rsid w:val="001156F5"/>
    <w:rsid w:val="00115F32"/>
    <w:rsid w:val="00116EC6"/>
    <w:rsid w:val="00117163"/>
    <w:rsid w:val="00117668"/>
    <w:rsid w:val="00120C15"/>
    <w:rsid w:val="00120E31"/>
    <w:rsid w:val="00121460"/>
    <w:rsid w:val="001215F4"/>
    <w:rsid w:val="00124D10"/>
    <w:rsid w:val="00125732"/>
    <w:rsid w:val="00126FB8"/>
    <w:rsid w:val="00127083"/>
    <w:rsid w:val="00127204"/>
    <w:rsid w:val="001275EC"/>
    <w:rsid w:val="00130912"/>
    <w:rsid w:val="00130ABF"/>
    <w:rsid w:val="00130E45"/>
    <w:rsid w:val="0013170A"/>
    <w:rsid w:val="00131A11"/>
    <w:rsid w:val="00131AAF"/>
    <w:rsid w:val="00132921"/>
    <w:rsid w:val="00132FFC"/>
    <w:rsid w:val="00134716"/>
    <w:rsid w:val="00135542"/>
    <w:rsid w:val="00135EB9"/>
    <w:rsid w:val="00136B9E"/>
    <w:rsid w:val="00140315"/>
    <w:rsid w:val="00141E28"/>
    <w:rsid w:val="0014247C"/>
    <w:rsid w:val="00143613"/>
    <w:rsid w:val="00144786"/>
    <w:rsid w:val="00145DAD"/>
    <w:rsid w:val="00146345"/>
    <w:rsid w:val="00150E90"/>
    <w:rsid w:val="0015132E"/>
    <w:rsid w:val="001519D2"/>
    <w:rsid w:val="00152684"/>
    <w:rsid w:val="00152C39"/>
    <w:rsid w:val="00153D39"/>
    <w:rsid w:val="00154886"/>
    <w:rsid w:val="00154C30"/>
    <w:rsid w:val="00154C71"/>
    <w:rsid w:val="001551EA"/>
    <w:rsid w:val="001553E4"/>
    <w:rsid w:val="00156292"/>
    <w:rsid w:val="001563D0"/>
    <w:rsid w:val="0015686E"/>
    <w:rsid w:val="00160149"/>
    <w:rsid w:val="00160DE1"/>
    <w:rsid w:val="00161297"/>
    <w:rsid w:val="00161324"/>
    <w:rsid w:val="00161CBD"/>
    <w:rsid w:val="0016215A"/>
    <w:rsid w:val="00162D9B"/>
    <w:rsid w:val="001630A8"/>
    <w:rsid w:val="001632AB"/>
    <w:rsid w:val="0016419A"/>
    <w:rsid w:val="001643E8"/>
    <w:rsid w:val="0016445C"/>
    <w:rsid w:val="00165197"/>
    <w:rsid w:val="001666D8"/>
    <w:rsid w:val="00166EE9"/>
    <w:rsid w:val="00170230"/>
    <w:rsid w:val="00170C02"/>
    <w:rsid w:val="00171743"/>
    <w:rsid w:val="00171E57"/>
    <w:rsid w:val="00172872"/>
    <w:rsid w:val="001740DF"/>
    <w:rsid w:val="00175C43"/>
    <w:rsid w:val="00175DFF"/>
    <w:rsid w:val="00176E39"/>
    <w:rsid w:val="00177295"/>
    <w:rsid w:val="001772DD"/>
    <w:rsid w:val="00177493"/>
    <w:rsid w:val="0018090E"/>
    <w:rsid w:val="00180C76"/>
    <w:rsid w:val="001816A1"/>
    <w:rsid w:val="00181B5A"/>
    <w:rsid w:val="001856B7"/>
    <w:rsid w:val="00185F34"/>
    <w:rsid w:val="0018650A"/>
    <w:rsid w:val="001866EE"/>
    <w:rsid w:val="00186FA6"/>
    <w:rsid w:val="0018762D"/>
    <w:rsid w:val="001877CA"/>
    <w:rsid w:val="00190597"/>
    <w:rsid w:val="0019127D"/>
    <w:rsid w:val="001927CC"/>
    <w:rsid w:val="00192DC4"/>
    <w:rsid w:val="001933DD"/>
    <w:rsid w:val="0019373E"/>
    <w:rsid w:val="00193C51"/>
    <w:rsid w:val="00194AD1"/>
    <w:rsid w:val="00194FE0"/>
    <w:rsid w:val="00196762"/>
    <w:rsid w:val="00196B27"/>
    <w:rsid w:val="00196D01"/>
    <w:rsid w:val="001971C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3DEA"/>
    <w:rsid w:val="001B40DE"/>
    <w:rsid w:val="001B476F"/>
    <w:rsid w:val="001C0ABC"/>
    <w:rsid w:val="001C125C"/>
    <w:rsid w:val="001C1557"/>
    <w:rsid w:val="001C265D"/>
    <w:rsid w:val="001C29CD"/>
    <w:rsid w:val="001C3D63"/>
    <w:rsid w:val="001C3F29"/>
    <w:rsid w:val="001C4789"/>
    <w:rsid w:val="001C4FC8"/>
    <w:rsid w:val="001C5E08"/>
    <w:rsid w:val="001C6058"/>
    <w:rsid w:val="001C617B"/>
    <w:rsid w:val="001C65F5"/>
    <w:rsid w:val="001C7644"/>
    <w:rsid w:val="001D1BC4"/>
    <w:rsid w:val="001D200A"/>
    <w:rsid w:val="001D220E"/>
    <w:rsid w:val="001D3B88"/>
    <w:rsid w:val="001D409D"/>
    <w:rsid w:val="001D4460"/>
    <w:rsid w:val="001D458D"/>
    <w:rsid w:val="001D519C"/>
    <w:rsid w:val="001D5906"/>
    <w:rsid w:val="001D65B4"/>
    <w:rsid w:val="001D7F39"/>
    <w:rsid w:val="001E070A"/>
    <w:rsid w:val="001E21EA"/>
    <w:rsid w:val="001E2290"/>
    <w:rsid w:val="001E25A0"/>
    <w:rsid w:val="001E2CC9"/>
    <w:rsid w:val="001E3D2B"/>
    <w:rsid w:val="001E5A0D"/>
    <w:rsid w:val="001E5BF1"/>
    <w:rsid w:val="001E5C22"/>
    <w:rsid w:val="001E6040"/>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FD5"/>
    <w:rsid w:val="00206427"/>
    <w:rsid w:val="00206B50"/>
    <w:rsid w:val="0020737B"/>
    <w:rsid w:val="00207C31"/>
    <w:rsid w:val="00211542"/>
    <w:rsid w:val="002115E2"/>
    <w:rsid w:val="00211890"/>
    <w:rsid w:val="00211CD5"/>
    <w:rsid w:val="00212C70"/>
    <w:rsid w:val="00212CC9"/>
    <w:rsid w:val="002164D6"/>
    <w:rsid w:val="00216564"/>
    <w:rsid w:val="00216CE4"/>
    <w:rsid w:val="00216E18"/>
    <w:rsid w:val="00217002"/>
    <w:rsid w:val="0021765C"/>
    <w:rsid w:val="00217D25"/>
    <w:rsid w:val="00220150"/>
    <w:rsid w:val="00220B1E"/>
    <w:rsid w:val="00221B6D"/>
    <w:rsid w:val="00222EFD"/>
    <w:rsid w:val="00223E18"/>
    <w:rsid w:val="00225614"/>
    <w:rsid w:val="00225E4F"/>
    <w:rsid w:val="00226BE5"/>
    <w:rsid w:val="00226D6C"/>
    <w:rsid w:val="002303B8"/>
    <w:rsid w:val="00230D48"/>
    <w:rsid w:val="0023147E"/>
    <w:rsid w:val="002314C8"/>
    <w:rsid w:val="00232156"/>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5E5"/>
    <w:rsid w:val="002438EA"/>
    <w:rsid w:val="00243FB3"/>
    <w:rsid w:val="002449A8"/>
    <w:rsid w:val="00244F89"/>
    <w:rsid w:val="00245388"/>
    <w:rsid w:val="002455D9"/>
    <w:rsid w:val="002511A2"/>
    <w:rsid w:val="002518DB"/>
    <w:rsid w:val="0025240C"/>
    <w:rsid w:val="002530C2"/>
    <w:rsid w:val="00255959"/>
    <w:rsid w:val="00255CC3"/>
    <w:rsid w:val="00260172"/>
    <w:rsid w:val="002630E9"/>
    <w:rsid w:val="002634FC"/>
    <w:rsid w:val="00264588"/>
    <w:rsid w:val="002647FF"/>
    <w:rsid w:val="00264915"/>
    <w:rsid w:val="00265813"/>
    <w:rsid w:val="002658C1"/>
    <w:rsid w:val="002665EC"/>
    <w:rsid w:val="00266740"/>
    <w:rsid w:val="0026692E"/>
    <w:rsid w:val="0027002F"/>
    <w:rsid w:val="00270AD8"/>
    <w:rsid w:val="002712C2"/>
    <w:rsid w:val="002717B8"/>
    <w:rsid w:val="00271BBF"/>
    <w:rsid w:val="002722F1"/>
    <w:rsid w:val="00272DCB"/>
    <w:rsid w:val="00273C82"/>
    <w:rsid w:val="00274D7E"/>
    <w:rsid w:val="00277717"/>
    <w:rsid w:val="00277BC2"/>
    <w:rsid w:val="00277E0B"/>
    <w:rsid w:val="00277E6A"/>
    <w:rsid w:val="002805E4"/>
    <w:rsid w:val="00280A33"/>
    <w:rsid w:val="00280F37"/>
    <w:rsid w:val="00281CA7"/>
    <w:rsid w:val="00281E80"/>
    <w:rsid w:val="002821A4"/>
    <w:rsid w:val="0028253B"/>
    <w:rsid w:val="00283054"/>
    <w:rsid w:val="00283C5E"/>
    <w:rsid w:val="00284052"/>
    <w:rsid w:val="0028477B"/>
    <w:rsid w:val="00285736"/>
    <w:rsid w:val="002861DE"/>
    <w:rsid w:val="00286F9F"/>
    <w:rsid w:val="00287413"/>
    <w:rsid w:val="0028785B"/>
    <w:rsid w:val="002908EC"/>
    <w:rsid w:val="002917D1"/>
    <w:rsid w:val="00293C1D"/>
    <w:rsid w:val="00293DD8"/>
    <w:rsid w:val="00294765"/>
    <w:rsid w:val="0029606C"/>
    <w:rsid w:val="002963FC"/>
    <w:rsid w:val="0029657A"/>
    <w:rsid w:val="00296C96"/>
    <w:rsid w:val="00297F9D"/>
    <w:rsid w:val="002A0F5E"/>
    <w:rsid w:val="002A11BD"/>
    <w:rsid w:val="002A122A"/>
    <w:rsid w:val="002A38DF"/>
    <w:rsid w:val="002A4062"/>
    <w:rsid w:val="002A4C50"/>
    <w:rsid w:val="002A51A3"/>
    <w:rsid w:val="002A6515"/>
    <w:rsid w:val="002A7A49"/>
    <w:rsid w:val="002A7A4A"/>
    <w:rsid w:val="002A7C14"/>
    <w:rsid w:val="002B0204"/>
    <w:rsid w:val="002B064A"/>
    <w:rsid w:val="002B0758"/>
    <w:rsid w:val="002B07BA"/>
    <w:rsid w:val="002B0A10"/>
    <w:rsid w:val="002B0BE5"/>
    <w:rsid w:val="002B1D68"/>
    <w:rsid w:val="002B285B"/>
    <w:rsid w:val="002B3C5B"/>
    <w:rsid w:val="002B5441"/>
    <w:rsid w:val="002B5517"/>
    <w:rsid w:val="002B5743"/>
    <w:rsid w:val="002B6920"/>
    <w:rsid w:val="002B6B84"/>
    <w:rsid w:val="002C0374"/>
    <w:rsid w:val="002C0D01"/>
    <w:rsid w:val="002C167F"/>
    <w:rsid w:val="002C1805"/>
    <w:rsid w:val="002C3001"/>
    <w:rsid w:val="002C307C"/>
    <w:rsid w:val="002C3A61"/>
    <w:rsid w:val="002C53F1"/>
    <w:rsid w:val="002C59C6"/>
    <w:rsid w:val="002C5D25"/>
    <w:rsid w:val="002C6165"/>
    <w:rsid w:val="002C6364"/>
    <w:rsid w:val="002C68CB"/>
    <w:rsid w:val="002C6F0A"/>
    <w:rsid w:val="002D1462"/>
    <w:rsid w:val="002D1F63"/>
    <w:rsid w:val="002D2002"/>
    <w:rsid w:val="002D238D"/>
    <w:rsid w:val="002D239D"/>
    <w:rsid w:val="002D2A02"/>
    <w:rsid w:val="002D2A09"/>
    <w:rsid w:val="002D2B39"/>
    <w:rsid w:val="002D3CF6"/>
    <w:rsid w:val="002D41DC"/>
    <w:rsid w:val="002D4324"/>
    <w:rsid w:val="002D54F5"/>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754"/>
    <w:rsid w:val="002F3251"/>
    <w:rsid w:val="002F4818"/>
    <w:rsid w:val="003006EA"/>
    <w:rsid w:val="00300D4A"/>
    <w:rsid w:val="00300E9F"/>
    <w:rsid w:val="00301280"/>
    <w:rsid w:val="003027AA"/>
    <w:rsid w:val="00302CDA"/>
    <w:rsid w:val="003043F6"/>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36BE3"/>
    <w:rsid w:val="00341EDA"/>
    <w:rsid w:val="00342E41"/>
    <w:rsid w:val="00342F9F"/>
    <w:rsid w:val="003437E8"/>
    <w:rsid w:val="00344900"/>
    <w:rsid w:val="00345A36"/>
    <w:rsid w:val="003466C7"/>
    <w:rsid w:val="00346DF9"/>
    <w:rsid w:val="0035029E"/>
    <w:rsid w:val="003504AD"/>
    <w:rsid w:val="00351463"/>
    <w:rsid w:val="00352F48"/>
    <w:rsid w:val="00353326"/>
    <w:rsid w:val="0035361A"/>
    <w:rsid w:val="003541A3"/>
    <w:rsid w:val="0035442A"/>
    <w:rsid w:val="00354900"/>
    <w:rsid w:val="00357D06"/>
    <w:rsid w:val="00357F66"/>
    <w:rsid w:val="003609E2"/>
    <w:rsid w:val="0036185E"/>
    <w:rsid w:val="00361B78"/>
    <w:rsid w:val="00361CD3"/>
    <w:rsid w:val="0036393B"/>
    <w:rsid w:val="00363DBE"/>
    <w:rsid w:val="00364230"/>
    <w:rsid w:val="003645C2"/>
    <w:rsid w:val="00364FDF"/>
    <w:rsid w:val="00366DF1"/>
    <w:rsid w:val="00367BD8"/>
    <w:rsid w:val="00370725"/>
    <w:rsid w:val="003707D3"/>
    <w:rsid w:val="00371543"/>
    <w:rsid w:val="00373C76"/>
    <w:rsid w:val="0037422E"/>
    <w:rsid w:val="00374550"/>
    <w:rsid w:val="0037507E"/>
    <w:rsid w:val="00375407"/>
    <w:rsid w:val="003757ED"/>
    <w:rsid w:val="00375D53"/>
    <w:rsid w:val="00377C93"/>
    <w:rsid w:val="0038008D"/>
    <w:rsid w:val="003807F4"/>
    <w:rsid w:val="00380913"/>
    <w:rsid w:val="00381451"/>
    <w:rsid w:val="00381B6E"/>
    <w:rsid w:val="00381C43"/>
    <w:rsid w:val="00381C86"/>
    <w:rsid w:val="00381F88"/>
    <w:rsid w:val="0038206D"/>
    <w:rsid w:val="00382614"/>
    <w:rsid w:val="00382CE6"/>
    <w:rsid w:val="00383BAA"/>
    <w:rsid w:val="00384065"/>
    <w:rsid w:val="00384B2A"/>
    <w:rsid w:val="003850F7"/>
    <w:rsid w:val="0038515B"/>
    <w:rsid w:val="00385249"/>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54BF"/>
    <w:rsid w:val="00396C01"/>
    <w:rsid w:val="0039764C"/>
    <w:rsid w:val="003976F4"/>
    <w:rsid w:val="003A082D"/>
    <w:rsid w:val="003A0B69"/>
    <w:rsid w:val="003A0F7A"/>
    <w:rsid w:val="003A10E7"/>
    <w:rsid w:val="003A16B7"/>
    <w:rsid w:val="003A1745"/>
    <w:rsid w:val="003A2E56"/>
    <w:rsid w:val="003A3862"/>
    <w:rsid w:val="003A436D"/>
    <w:rsid w:val="003B0565"/>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0B0"/>
    <w:rsid w:val="003C57DC"/>
    <w:rsid w:val="003C5926"/>
    <w:rsid w:val="003C5929"/>
    <w:rsid w:val="003C67A4"/>
    <w:rsid w:val="003D04FC"/>
    <w:rsid w:val="003D0701"/>
    <w:rsid w:val="003D09D3"/>
    <w:rsid w:val="003D0A8D"/>
    <w:rsid w:val="003D14AF"/>
    <w:rsid w:val="003D15EC"/>
    <w:rsid w:val="003D4208"/>
    <w:rsid w:val="003D4441"/>
    <w:rsid w:val="003D4A2A"/>
    <w:rsid w:val="003D4DAC"/>
    <w:rsid w:val="003D4FDE"/>
    <w:rsid w:val="003D5F15"/>
    <w:rsid w:val="003D6FF8"/>
    <w:rsid w:val="003D7986"/>
    <w:rsid w:val="003E04AC"/>
    <w:rsid w:val="003E06C7"/>
    <w:rsid w:val="003E08B0"/>
    <w:rsid w:val="003E0C5E"/>
    <w:rsid w:val="003E1352"/>
    <w:rsid w:val="003E1383"/>
    <w:rsid w:val="003E323C"/>
    <w:rsid w:val="003E5430"/>
    <w:rsid w:val="003E6078"/>
    <w:rsid w:val="003E709A"/>
    <w:rsid w:val="003F0A5C"/>
    <w:rsid w:val="003F0C3A"/>
    <w:rsid w:val="003F112F"/>
    <w:rsid w:val="003F2367"/>
    <w:rsid w:val="003F2902"/>
    <w:rsid w:val="003F2CA1"/>
    <w:rsid w:val="003F2E86"/>
    <w:rsid w:val="003F2FA6"/>
    <w:rsid w:val="003F4201"/>
    <w:rsid w:val="003F566D"/>
    <w:rsid w:val="003F5CC7"/>
    <w:rsid w:val="003F5E93"/>
    <w:rsid w:val="003F6C4B"/>
    <w:rsid w:val="003F6E1A"/>
    <w:rsid w:val="0040161B"/>
    <w:rsid w:val="004018FE"/>
    <w:rsid w:val="00402710"/>
    <w:rsid w:val="00402ABD"/>
    <w:rsid w:val="00403B07"/>
    <w:rsid w:val="00403F22"/>
    <w:rsid w:val="00404D52"/>
    <w:rsid w:val="00405C49"/>
    <w:rsid w:val="00406622"/>
    <w:rsid w:val="00406649"/>
    <w:rsid w:val="00406A0E"/>
    <w:rsid w:val="004101F3"/>
    <w:rsid w:val="00410B08"/>
    <w:rsid w:val="004113F4"/>
    <w:rsid w:val="00411D15"/>
    <w:rsid w:val="00412094"/>
    <w:rsid w:val="004128AD"/>
    <w:rsid w:val="004134B9"/>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2EF"/>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5D6"/>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359"/>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A7BD6"/>
    <w:rsid w:val="004B02B5"/>
    <w:rsid w:val="004B1AC6"/>
    <w:rsid w:val="004B2AE7"/>
    <w:rsid w:val="004B2F00"/>
    <w:rsid w:val="004B4F74"/>
    <w:rsid w:val="004B5BE6"/>
    <w:rsid w:val="004B6CE7"/>
    <w:rsid w:val="004B781B"/>
    <w:rsid w:val="004B7EE2"/>
    <w:rsid w:val="004C0065"/>
    <w:rsid w:val="004C1982"/>
    <w:rsid w:val="004C24BD"/>
    <w:rsid w:val="004C2BED"/>
    <w:rsid w:val="004C41A4"/>
    <w:rsid w:val="004C5249"/>
    <w:rsid w:val="004C646D"/>
    <w:rsid w:val="004C777F"/>
    <w:rsid w:val="004D04A5"/>
    <w:rsid w:val="004D2DF0"/>
    <w:rsid w:val="004D2DF8"/>
    <w:rsid w:val="004D4132"/>
    <w:rsid w:val="004D496C"/>
    <w:rsid w:val="004D54CD"/>
    <w:rsid w:val="004D650D"/>
    <w:rsid w:val="004D67A8"/>
    <w:rsid w:val="004D753D"/>
    <w:rsid w:val="004D78FF"/>
    <w:rsid w:val="004D7DDE"/>
    <w:rsid w:val="004E018A"/>
    <w:rsid w:val="004E0FD4"/>
    <w:rsid w:val="004E106A"/>
    <w:rsid w:val="004E2013"/>
    <w:rsid w:val="004E382E"/>
    <w:rsid w:val="004E3B8C"/>
    <w:rsid w:val="004E3EFC"/>
    <w:rsid w:val="004E44CC"/>
    <w:rsid w:val="004E4AC4"/>
    <w:rsid w:val="004E55BE"/>
    <w:rsid w:val="004E5760"/>
    <w:rsid w:val="004E5C99"/>
    <w:rsid w:val="004E7AEF"/>
    <w:rsid w:val="004F0150"/>
    <w:rsid w:val="004F08EA"/>
    <w:rsid w:val="004F287A"/>
    <w:rsid w:val="004F2A5F"/>
    <w:rsid w:val="004F3A7A"/>
    <w:rsid w:val="004F417B"/>
    <w:rsid w:val="004F41E1"/>
    <w:rsid w:val="004F44AB"/>
    <w:rsid w:val="004F4586"/>
    <w:rsid w:val="004F47FA"/>
    <w:rsid w:val="004F4842"/>
    <w:rsid w:val="004F49B8"/>
    <w:rsid w:val="004F4D11"/>
    <w:rsid w:val="004F52F1"/>
    <w:rsid w:val="004F58FF"/>
    <w:rsid w:val="004F5A33"/>
    <w:rsid w:val="004F6702"/>
    <w:rsid w:val="005000F1"/>
    <w:rsid w:val="00501EBE"/>
    <w:rsid w:val="00502E1B"/>
    <w:rsid w:val="00503016"/>
    <w:rsid w:val="00503346"/>
    <w:rsid w:val="00503914"/>
    <w:rsid w:val="00505054"/>
    <w:rsid w:val="00505951"/>
    <w:rsid w:val="00505E67"/>
    <w:rsid w:val="00505EE4"/>
    <w:rsid w:val="00505EE7"/>
    <w:rsid w:val="00506823"/>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109"/>
    <w:rsid w:val="00522AB2"/>
    <w:rsid w:val="00523A2E"/>
    <w:rsid w:val="00523BBF"/>
    <w:rsid w:val="00524050"/>
    <w:rsid w:val="0052427E"/>
    <w:rsid w:val="005256F3"/>
    <w:rsid w:val="00525FAC"/>
    <w:rsid w:val="0052621D"/>
    <w:rsid w:val="0052641D"/>
    <w:rsid w:val="00527462"/>
    <w:rsid w:val="00527873"/>
    <w:rsid w:val="00530040"/>
    <w:rsid w:val="005302AB"/>
    <w:rsid w:val="00530A7F"/>
    <w:rsid w:val="00531652"/>
    <w:rsid w:val="00532AAB"/>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46EF7"/>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244C"/>
    <w:rsid w:val="005733A6"/>
    <w:rsid w:val="005733F3"/>
    <w:rsid w:val="00575075"/>
    <w:rsid w:val="00575AD1"/>
    <w:rsid w:val="005765C7"/>
    <w:rsid w:val="00576828"/>
    <w:rsid w:val="00577182"/>
    <w:rsid w:val="0057796D"/>
    <w:rsid w:val="00580C39"/>
    <w:rsid w:val="005818ED"/>
    <w:rsid w:val="00582EEE"/>
    <w:rsid w:val="00584627"/>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544"/>
    <w:rsid w:val="005A4DBF"/>
    <w:rsid w:val="005B0219"/>
    <w:rsid w:val="005B03A1"/>
    <w:rsid w:val="005B07DE"/>
    <w:rsid w:val="005B0DFE"/>
    <w:rsid w:val="005B12E9"/>
    <w:rsid w:val="005B1713"/>
    <w:rsid w:val="005B2281"/>
    <w:rsid w:val="005B2537"/>
    <w:rsid w:val="005B3350"/>
    <w:rsid w:val="005B426A"/>
    <w:rsid w:val="005B463B"/>
    <w:rsid w:val="005B515A"/>
    <w:rsid w:val="005B5C18"/>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5F9"/>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8CF"/>
    <w:rsid w:val="005F6FCA"/>
    <w:rsid w:val="006007AC"/>
    <w:rsid w:val="00601C39"/>
    <w:rsid w:val="00601FC8"/>
    <w:rsid w:val="00602B4F"/>
    <w:rsid w:val="0060384E"/>
    <w:rsid w:val="00605EF8"/>
    <w:rsid w:val="00606EC8"/>
    <w:rsid w:val="00607172"/>
    <w:rsid w:val="00607298"/>
    <w:rsid w:val="00610160"/>
    <w:rsid w:val="0061155B"/>
    <w:rsid w:val="00611F89"/>
    <w:rsid w:val="0061200A"/>
    <w:rsid w:val="0061213D"/>
    <w:rsid w:val="00613B46"/>
    <w:rsid w:val="00613B94"/>
    <w:rsid w:val="0061400C"/>
    <w:rsid w:val="00614331"/>
    <w:rsid w:val="006152BC"/>
    <w:rsid w:val="00615AE7"/>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5C8F"/>
    <w:rsid w:val="0063632E"/>
    <w:rsid w:val="00640298"/>
    <w:rsid w:val="00641FC6"/>
    <w:rsid w:val="006423C5"/>
    <w:rsid w:val="0064502B"/>
    <w:rsid w:val="006453AA"/>
    <w:rsid w:val="00646854"/>
    <w:rsid w:val="00646CF4"/>
    <w:rsid w:val="006474EC"/>
    <w:rsid w:val="00650187"/>
    <w:rsid w:val="0065147A"/>
    <w:rsid w:val="00651AFD"/>
    <w:rsid w:val="00652312"/>
    <w:rsid w:val="00652A0E"/>
    <w:rsid w:val="00652ADF"/>
    <w:rsid w:val="00653A1C"/>
    <w:rsid w:val="00653DD4"/>
    <w:rsid w:val="00655A3C"/>
    <w:rsid w:val="00655C9A"/>
    <w:rsid w:val="006562BE"/>
    <w:rsid w:val="00656936"/>
    <w:rsid w:val="00656EF1"/>
    <w:rsid w:val="006571FD"/>
    <w:rsid w:val="006600F0"/>
    <w:rsid w:val="00660683"/>
    <w:rsid w:val="006620DC"/>
    <w:rsid w:val="006638D7"/>
    <w:rsid w:val="00663E81"/>
    <w:rsid w:val="0066553D"/>
    <w:rsid w:val="006655A1"/>
    <w:rsid w:val="00665D04"/>
    <w:rsid w:val="00665F32"/>
    <w:rsid w:val="00666CF6"/>
    <w:rsid w:val="006706C3"/>
    <w:rsid w:val="006716C5"/>
    <w:rsid w:val="00672A57"/>
    <w:rsid w:val="0067322C"/>
    <w:rsid w:val="00673BC8"/>
    <w:rsid w:val="00674685"/>
    <w:rsid w:val="00674B39"/>
    <w:rsid w:val="00674CB4"/>
    <w:rsid w:val="00676370"/>
    <w:rsid w:val="00677315"/>
    <w:rsid w:val="006779F2"/>
    <w:rsid w:val="00677C89"/>
    <w:rsid w:val="00680880"/>
    <w:rsid w:val="00682ADB"/>
    <w:rsid w:val="0068493A"/>
    <w:rsid w:val="00685F36"/>
    <w:rsid w:val="006864D0"/>
    <w:rsid w:val="00686AC9"/>
    <w:rsid w:val="00687560"/>
    <w:rsid w:val="006879DE"/>
    <w:rsid w:val="006915EC"/>
    <w:rsid w:val="006917A2"/>
    <w:rsid w:val="00692071"/>
    <w:rsid w:val="0069266B"/>
    <w:rsid w:val="00692787"/>
    <w:rsid w:val="006928C5"/>
    <w:rsid w:val="00692AB8"/>
    <w:rsid w:val="00692C63"/>
    <w:rsid w:val="006953FC"/>
    <w:rsid w:val="00696B9F"/>
    <w:rsid w:val="00696D29"/>
    <w:rsid w:val="006977B2"/>
    <w:rsid w:val="00697BF1"/>
    <w:rsid w:val="00697F56"/>
    <w:rsid w:val="006A019B"/>
    <w:rsid w:val="006A257A"/>
    <w:rsid w:val="006A2939"/>
    <w:rsid w:val="006A3A3C"/>
    <w:rsid w:val="006A639B"/>
    <w:rsid w:val="006A6659"/>
    <w:rsid w:val="006A7055"/>
    <w:rsid w:val="006A77B5"/>
    <w:rsid w:val="006B1191"/>
    <w:rsid w:val="006B1C39"/>
    <w:rsid w:val="006B3631"/>
    <w:rsid w:val="006B5117"/>
    <w:rsid w:val="006B5429"/>
    <w:rsid w:val="006B59CA"/>
    <w:rsid w:val="006B5D69"/>
    <w:rsid w:val="006B6E97"/>
    <w:rsid w:val="006B77AC"/>
    <w:rsid w:val="006B78C5"/>
    <w:rsid w:val="006C3610"/>
    <w:rsid w:val="006C3674"/>
    <w:rsid w:val="006C3907"/>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69EC"/>
    <w:rsid w:val="006D738E"/>
    <w:rsid w:val="006D7F0F"/>
    <w:rsid w:val="006E139E"/>
    <w:rsid w:val="006E1EA3"/>
    <w:rsid w:val="006E32AD"/>
    <w:rsid w:val="006E4CAE"/>
    <w:rsid w:val="006E53DD"/>
    <w:rsid w:val="006E6A69"/>
    <w:rsid w:val="006E6BDB"/>
    <w:rsid w:val="006E78D2"/>
    <w:rsid w:val="006F011F"/>
    <w:rsid w:val="006F06E2"/>
    <w:rsid w:val="006F1A23"/>
    <w:rsid w:val="006F3869"/>
    <w:rsid w:val="006F3D59"/>
    <w:rsid w:val="006F4319"/>
    <w:rsid w:val="006F5088"/>
    <w:rsid w:val="006F52D7"/>
    <w:rsid w:val="006F580D"/>
    <w:rsid w:val="006F6AA7"/>
    <w:rsid w:val="006F738C"/>
    <w:rsid w:val="006F75B9"/>
    <w:rsid w:val="006F7845"/>
    <w:rsid w:val="0070047D"/>
    <w:rsid w:val="00700AAE"/>
    <w:rsid w:val="00701BD8"/>
    <w:rsid w:val="007020A2"/>
    <w:rsid w:val="00702D9F"/>
    <w:rsid w:val="007034C9"/>
    <w:rsid w:val="00703639"/>
    <w:rsid w:val="00703667"/>
    <w:rsid w:val="00703D4D"/>
    <w:rsid w:val="007046B8"/>
    <w:rsid w:val="007046BF"/>
    <w:rsid w:val="007050EE"/>
    <w:rsid w:val="007052DE"/>
    <w:rsid w:val="00705470"/>
    <w:rsid w:val="0070658D"/>
    <w:rsid w:val="00707B71"/>
    <w:rsid w:val="0071065C"/>
    <w:rsid w:val="00710A24"/>
    <w:rsid w:val="00710B0D"/>
    <w:rsid w:val="00710F9E"/>
    <w:rsid w:val="0071172E"/>
    <w:rsid w:val="007117B7"/>
    <w:rsid w:val="00711A26"/>
    <w:rsid w:val="007121A5"/>
    <w:rsid w:val="00712AAD"/>
    <w:rsid w:val="0071362B"/>
    <w:rsid w:val="00714130"/>
    <w:rsid w:val="0071436C"/>
    <w:rsid w:val="007151B8"/>
    <w:rsid w:val="0071538E"/>
    <w:rsid w:val="00715C5C"/>
    <w:rsid w:val="00717591"/>
    <w:rsid w:val="007177E4"/>
    <w:rsid w:val="007215EA"/>
    <w:rsid w:val="007256CC"/>
    <w:rsid w:val="00725709"/>
    <w:rsid w:val="00726A8E"/>
    <w:rsid w:val="00726E7C"/>
    <w:rsid w:val="007300D5"/>
    <w:rsid w:val="007310D1"/>
    <w:rsid w:val="00731258"/>
    <w:rsid w:val="00731C66"/>
    <w:rsid w:val="00731F92"/>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1D1"/>
    <w:rsid w:val="00745414"/>
    <w:rsid w:val="007457FE"/>
    <w:rsid w:val="00745E61"/>
    <w:rsid w:val="00747605"/>
    <w:rsid w:val="007478C9"/>
    <w:rsid w:val="00747A16"/>
    <w:rsid w:val="00747C60"/>
    <w:rsid w:val="00747FE0"/>
    <w:rsid w:val="007508DF"/>
    <w:rsid w:val="007509FE"/>
    <w:rsid w:val="00750CA6"/>
    <w:rsid w:val="00751401"/>
    <w:rsid w:val="0075152D"/>
    <w:rsid w:val="00751CE2"/>
    <w:rsid w:val="00752D9A"/>
    <w:rsid w:val="00752EFD"/>
    <w:rsid w:val="00754C8A"/>
    <w:rsid w:val="00755174"/>
    <w:rsid w:val="00755361"/>
    <w:rsid w:val="0075563D"/>
    <w:rsid w:val="007568D6"/>
    <w:rsid w:val="00757121"/>
    <w:rsid w:val="007579EE"/>
    <w:rsid w:val="0076145B"/>
    <w:rsid w:val="00761ACC"/>
    <w:rsid w:val="007621B6"/>
    <w:rsid w:val="00762B63"/>
    <w:rsid w:val="00763840"/>
    <w:rsid w:val="00763FE4"/>
    <w:rsid w:val="0076417E"/>
    <w:rsid w:val="00764940"/>
    <w:rsid w:val="00764C43"/>
    <w:rsid w:val="00766F23"/>
    <w:rsid w:val="00767C08"/>
    <w:rsid w:val="00770607"/>
    <w:rsid w:val="00770C49"/>
    <w:rsid w:val="00770FE5"/>
    <w:rsid w:val="00772C78"/>
    <w:rsid w:val="00772DF5"/>
    <w:rsid w:val="00774831"/>
    <w:rsid w:val="007763DB"/>
    <w:rsid w:val="007774F6"/>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490"/>
    <w:rsid w:val="00792932"/>
    <w:rsid w:val="00793681"/>
    <w:rsid w:val="00796B9C"/>
    <w:rsid w:val="00796C2E"/>
    <w:rsid w:val="007A071F"/>
    <w:rsid w:val="007A2601"/>
    <w:rsid w:val="007A6F7E"/>
    <w:rsid w:val="007A73F1"/>
    <w:rsid w:val="007A76BA"/>
    <w:rsid w:val="007B1194"/>
    <w:rsid w:val="007B1532"/>
    <w:rsid w:val="007B24B1"/>
    <w:rsid w:val="007B2A3E"/>
    <w:rsid w:val="007B3E10"/>
    <w:rsid w:val="007B4ADC"/>
    <w:rsid w:val="007B55B2"/>
    <w:rsid w:val="007B654B"/>
    <w:rsid w:val="007B65F0"/>
    <w:rsid w:val="007B7880"/>
    <w:rsid w:val="007C08FF"/>
    <w:rsid w:val="007C1B63"/>
    <w:rsid w:val="007C206C"/>
    <w:rsid w:val="007C270F"/>
    <w:rsid w:val="007C2B52"/>
    <w:rsid w:val="007C375F"/>
    <w:rsid w:val="007C4083"/>
    <w:rsid w:val="007C444C"/>
    <w:rsid w:val="007C52C8"/>
    <w:rsid w:val="007C62E0"/>
    <w:rsid w:val="007C657C"/>
    <w:rsid w:val="007C6963"/>
    <w:rsid w:val="007C6F21"/>
    <w:rsid w:val="007D0177"/>
    <w:rsid w:val="007D0B84"/>
    <w:rsid w:val="007D0CD4"/>
    <w:rsid w:val="007D12CB"/>
    <w:rsid w:val="007D156D"/>
    <w:rsid w:val="007D1E41"/>
    <w:rsid w:val="007D20AC"/>
    <w:rsid w:val="007D3698"/>
    <w:rsid w:val="007D3D17"/>
    <w:rsid w:val="007D3E7B"/>
    <w:rsid w:val="007D4375"/>
    <w:rsid w:val="007D5A8B"/>
    <w:rsid w:val="007D5EA7"/>
    <w:rsid w:val="007D65FD"/>
    <w:rsid w:val="007D72BE"/>
    <w:rsid w:val="007D7362"/>
    <w:rsid w:val="007E13D8"/>
    <w:rsid w:val="007E2125"/>
    <w:rsid w:val="007E277B"/>
    <w:rsid w:val="007E38A7"/>
    <w:rsid w:val="007E3DC8"/>
    <w:rsid w:val="007E5CB0"/>
    <w:rsid w:val="007E7DCC"/>
    <w:rsid w:val="007F0371"/>
    <w:rsid w:val="007F1528"/>
    <w:rsid w:val="007F1C80"/>
    <w:rsid w:val="007F25D7"/>
    <w:rsid w:val="007F2E2C"/>
    <w:rsid w:val="007F3DD9"/>
    <w:rsid w:val="007F4D25"/>
    <w:rsid w:val="007F4EF2"/>
    <w:rsid w:val="007F58F7"/>
    <w:rsid w:val="007F5F57"/>
    <w:rsid w:val="007F6279"/>
    <w:rsid w:val="007F7121"/>
    <w:rsid w:val="007F7833"/>
    <w:rsid w:val="00800A36"/>
    <w:rsid w:val="008011FB"/>
    <w:rsid w:val="00801750"/>
    <w:rsid w:val="00801B26"/>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19C6"/>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B61"/>
    <w:rsid w:val="00837D6E"/>
    <w:rsid w:val="008405E1"/>
    <w:rsid w:val="00840A50"/>
    <w:rsid w:val="00841411"/>
    <w:rsid w:val="008435D2"/>
    <w:rsid w:val="00843AF4"/>
    <w:rsid w:val="00843FC0"/>
    <w:rsid w:val="0084415B"/>
    <w:rsid w:val="008446DF"/>
    <w:rsid w:val="008460DC"/>
    <w:rsid w:val="00846236"/>
    <w:rsid w:val="00850504"/>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1175"/>
    <w:rsid w:val="00862036"/>
    <w:rsid w:val="00862168"/>
    <w:rsid w:val="0086284D"/>
    <w:rsid w:val="008635A7"/>
    <w:rsid w:val="00865CCF"/>
    <w:rsid w:val="00865D67"/>
    <w:rsid w:val="00865F8B"/>
    <w:rsid w:val="00866E36"/>
    <w:rsid w:val="008672D0"/>
    <w:rsid w:val="00870102"/>
    <w:rsid w:val="00874CE4"/>
    <w:rsid w:val="00875335"/>
    <w:rsid w:val="0087623D"/>
    <w:rsid w:val="008767F9"/>
    <w:rsid w:val="008769A8"/>
    <w:rsid w:val="008809B1"/>
    <w:rsid w:val="00881ACD"/>
    <w:rsid w:val="00882BBF"/>
    <w:rsid w:val="00882DEC"/>
    <w:rsid w:val="00884819"/>
    <w:rsid w:val="00884846"/>
    <w:rsid w:val="00885759"/>
    <w:rsid w:val="008862D2"/>
    <w:rsid w:val="0088680D"/>
    <w:rsid w:val="00886893"/>
    <w:rsid w:val="008917FE"/>
    <w:rsid w:val="00891992"/>
    <w:rsid w:val="00891D46"/>
    <w:rsid w:val="00891FD5"/>
    <w:rsid w:val="00892F15"/>
    <w:rsid w:val="00892F61"/>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300"/>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B96"/>
    <w:rsid w:val="008C6DE4"/>
    <w:rsid w:val="008D0753"/>
    <w:rsid w:val="008D14B1"/>
    <w:rsid w:val="008D1C34"/>
    <w:rsid w:val="008D3AE9"/>
    <w:rsid w:val="008D405B"/>
    <w:rsid w:val="008D629E"/>
    <w:rsid w:val="008D7A33"/>
    <w:rsid w:val="008E0A00"/>
    <w:rsid w:val="008E1387"/>
    <w:rsid w:val="008E1DB9"/>
    <w:rsid w:val="008E20FC"/>
    <w:rsid w:val="008E389C"/>
    <w:rsid w:val="008E3AF7"/>
    <w:rsid w:val="008E405A"/>
    <w:rsid w:val="008E6454"/>
    <w:rsid w:val="008E71D2"/>
    <w:rsid w:val="008E76BF"/>
    <w:rsid w:val="008F0135"/>
    <w:rsid w:val="008F0C1C"/>
    <w:rsid w:val="008F1460"/>
    <w:rsid w:val="008F2459"/>
    <w:rsid w:val="008F2C31"/>
    <w:rsid w:val="008F3566"/>
    <w:rsid w:val="008F4DD2"/>
    <w:rsid w:val="008F4F78"/>
    <w:rsid w:val="008F5897"/>
    <w:rsid w:val="008F6EB4"/>
    <w:rsid w:val="008F6EFC"/>
    <w:rsid w:val="008F7A3A"/>
    <w:rsid w:val="00901329"/>
    <w:rsid w:val="009014A4"/>
    <w:rsid w:val="009016E3"/>
    <w:rsid w:val="00902085"/>
    <w:rsid w:val="00902426"/>
    <w:rsid w:val="00903071"/>
    <w:rsid w:val="00903450"/>
    <w:rsid w:val="009050D0"/>
    <w:rsid w:val="009053DA"/>
    <w:rsid w:val="009059FF"/>
    <w:rsid w:val="009060FE"/>
    <w:rsid w:val="00910747"/>
    <w:rsid w:val="00910A12"/>
    <w:rsid w:val="00910E3B"/>
    <w:rsid w:val="009122D0"/>
    <w:rsid w:val="009125B7"/>
    <w:rsid w:val="00912CFB"/>
    <w:rsid w:val="009139E6"/>
    <w:rsid w:val="009175E4"/>
    <w:rsid w:val="00917AF0"/>
    <w:rsid w:val="00917C5F"/>
    <w:rsid w:val="00920A37"/>
    <w:rsid w:val="00920ACC"/>
    <w:rsid w:val="00920F8A"/>
    <w:rsid w:val="00922D49"/>
    <w:rsid w:val="0092402C"/>
    <w:rsid w:val="009243D2"/>
    <w:rsid w:val="0092481E"/>
    <w:rsid w:val="00925437"/>
    <w:rsid w:val="00925F1F"/>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00E9"/>
    <w:rsid w:val="00950EA7"/>
    <w:rsid w:val="009511E5"/>
    <w:rsid w:val="0095149D"/>
    <w:rsid w:val="009521C1"/>
    <w:rsid w:val="00952794"/>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325B"/>
    <w:rsid w:val="009752BE"/>
    <w:rsid w:val="0097535C"/>
    <w:rsid w:val="00975A23"/>
    <w:rsid w:val="009761D3"/>
    <w:rsid w:val="009762F4"/>
    <w:rsid w:val="00976F28"/>
    <w:rsid w:val="00976F4C"/>
    <w:rsid w:val="009822AB"/>
    <w:rsid w:val="009829FE"/>
    <w:rsid w:val="00982A00"/>
    <w:rsid w:val="00982CE5"/>
    <w:rsid w:val="00983048"/>
    <w:rsid w:val="0098318A"/>
    <w:rsid w:val="0098335A"/>
    <w:rsid w:val="00983B82"/>
    <w:rsid w:val="00986127"/>
    <w:rsid w:val="00986D7B"/>
    <w:rsid w:val="00987481"/>
    <w:rsid w:val="00987864"/>
    <w:rsid w:val="00987BF2"/>
    <w:rsid w:val="00990141"/>
    <w:rsid w:val="00993242"/>
    <w:rsid w:val="00993CF6"/>
    <w:rsid w:val="009943FA"/>
    <w:rsid w:val="009960EE"/>
    <w:rsid w:val="00996ACF"/>
    <w:rsid w:val="00996E46"/>
    <w:rsid w:val="00997F29"/>
    <w:rsid w:val="009A01B1"/>
    <w:rsid w:val="009A29D8"/>
    <w:rsid w:val="009A29E9"/>
    <w:rsid w:val="009A2D45"/>
    <w:rsid w:val="009A5000"/>
    <w:rsid w:val="009A56C0"/>
    <w:rsid w:val="009A6C25"/>
    <w:rsid w:val="009A6D2A"/>
    <w:rsid w:val="009A7FF9"/>
    <w:rsid w:val="009B015F"/>
    <w:rsid w:val="009B023B"/>
    <w:rsid w:val="009B0883"/>
    <w:rsid w:val="009B0AD1"/>
    <w:rsid w:val="009B0AF0"/>
    <w:rsid w:val="009B0CDF"/>
    <w:rsid w:val="009B2515"/>
    <w:rsid w:val="009B2CE1"/>
    <w:rsid w:val="009B3AFA"/>
    <w:rsid w:val="009B3B5C"/>
    <w:rsid w:val="009B6CD5"/>
    <w:rsid w:val="009B7053"/>
    <w:rsid w:val="009B778F"/>
    <w:rsid w:val="009B7CBB"/>
    <w:rsid w:val="009C0063"/>
    <w:rsid w:val="009C030B"/>
    <w:rsid w:val="009C0321"/>
    <w:rsid w:val="009C29DF"/>
    <w:rsid w:val="009C3181"/>
    <w:rsid w:val="009C555E"/>
    <w:rsid w:val="009C7936"/>
    <w:rsid w:val="009D0074"/>
    <w:rsid w:val="009D0ED1"/>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238"/>
    <w:rsid w:val="009E7C4C"/>
    <w:rsid w:val="009E7D67"/>
    <w:rsid w:val="009F0666"/>
    <w:rsid w:val="009F0ED9"/>
    <w:rsid w:val="009F1368"/>
    <w:rsid w:val="009F140E"/>
    <w:rsid w:val="009F1852"/>
    <w:rsid w:val="009F1AC6"/>
    <w:rsid w:val="009F1F39"/>
    <w:rsid w:val="009F1F98"/>
    <w:rsid w:val="009F2EE1"/>
    <w:rsid w:val="009F3081"/>
    <w:rsid w:val="009F35CA"/>
    <w:rsid w:val="009F3698"/>
    <w:rsid w:val="009F3D37"/>
    <w:rsid w:val="009F6428"/>
    <w:rsid w:val="009F64DC"/>
    <w:rsid w:val="00A0092D"/>
    <w:rsid w:val="00A00AB9"/>
    <w:rsid w:val="00A00F8F"/>
    <w:rsid w:val="00A018DB"/>
    <w:rsid w:val="00A018F9"/>
    <w:rsid w:val="00A01C8C"/>
    <w:rsid w:val="00A02A8E"/>
    <w:rsid w:val="00A02BE8"/>
    <w:rsid w:val="00A0304E"/>
    <w:rsid w:val="00A0323A"/>
    <w:rsid w:val="00A042C8"/>
    <w:rsid w:val="00A05E5D"/>
    <w:rsid w:val="00A069A8"/>
    <w:rsid w:val="00A079A4"/>
    <w:rsid w:val="00A1046C"/>
    <w:rsid w:val="00A10996"/>
    <w:rsid w:val="00A123E9"/>
    <w:rsid w:val="00A12A8C"/>
    <w:rsid w:val="00A12D45"/>
    <w:rsid w:val="00A134DC"/>
    <w:rsid w:val="00A137EE"/>
    <w:rsid w:val="00A15114"/>
    <w:rsid w:val="00A15ACE"/>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4584"/>
    <w:rsid w:val="00A36F15"/>
    <w:rsid w:val="00A371B5"/>
    <w:rsid w:val="00A41377"/>
    <w:rsid w:val="00A413BE"/>
    <w:rsid w:val="00A428DD"/>
    <w:rsid w:val="00A43126"/>
    <w:rsid w:val="00A4464E"/>
    <w:rsid w:val="00A44AA1"/>
    <w:rsid w:val="00A44DE9"/>
    <w:rsid w:val="00A44E82"/>
    <w:rsid w:val="00A460E1"/>
    <w:rsid w:val="00A479C4"/>
    <w:rsid w:val="00A50246"/>
    <w:rsid w:val="00A51691"/>
    <w:rsid w:val="00A51EC8"/>
    <w:rsid w:val="00A52274"/>
    <w:rsid w:val="00A52DF0"/>
    <w:rsid w:val="00A53A47"/>
    <w:rsid w:val="00A53D6E"/>
    <w:rsid w:val="00A548C5"/>
    <w:rsid w:val="00A54FBC"/>
    <w:rsid w:val="00A5509C"/>
    <w:rsid w:val="00A55649"/>
    <w:rsid w:val="00A557A7"/>
    <w:rsid w:val="00A56559"/>
    <w:rsid w:val="00A56B64"/>
    <w:rsid w:val="00A6114C"/>
    <w:rsid w:val="00A6310F"/>
    <w:rsid w:val="00A63741"/>
    <w:rsid w:val="00A63E2A"/>
    <w:rsid w:val="00A6401D"/>
    <w:rsid w:val="00A6494D"/>
    <w:rsid w:val="00A64AFA"/>
    <w:rsid w:val="00A64BC4"/>
    <w:rsid w:val="00A64E0C"/>
    <w:rsid w:val="00A65B5B"/>
    <w:rsid w:val="00A65E42"/>
    <w:rsid w:val="00A67EE2"/>
    <w:rsid w:val="00A67F8F"/>
    <w:rsid w:val="00A71215"/>
    <w:rsid w:val="00A71736"/>
    <w:rsid w:val="00A71870"/>
    <w:rsid w:val="00A71D0E"/>
    <w:rsid w:val="00A72A97"/>
    <w:rsid w:val="00A73EAD"/>
    <w:rsid w:val="00A740B1"/>
    <w:rsid w:val="00A74325"/>
    <w:rsid w:val="00A76915"/>
    <w:rsid w:val="00A776EA"/>
    <w:rsid w:val="00A80991"/>
    <w:rsid w:val="00A8099A"/>
    <w:rsid w:val="00A8199B"/>
    <w:rsid w:val="00A827F3"/>
    <w:rsid w:val="00A82A69"/>
    <w:rsid w:val="00A8379B"/>
    <w:rsid w:val="00A84A7A"/>
    <w:rsid w:val="00A863C1"/>
    <w:rsid w:val="00A8660E"/>
    <w:rsid w:val="00A879CC"/>
    <w:rsid w:val="00A90081"/>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862"/>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BD6"/>
    <w:rsid w:val="00AD4FCA"/>
    <w:rsid w:val="00AD5D8E"/>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71C"/>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6A10"/>
    <w:rsid w:val="00B278EC"/>
    <w:rsid w:val="00B30AF1"/>
    <w:rsid w:val="00B30C3B"/>
    <w:rsid w:val="00B3356E"/>
    <w:rsid w:val="00B3392D"/>
    <w:rsid w:val="00B33F95"/>
    <w:rsid w:val="00B353A7"/>
    <w:rsid w:val="00B367CB"/>
    <w:rsid w:val="00B37757"/>
    <w:rsid w:val="00B40D7B"/>
    <w:rsid w:val="00B4220B"/>
    <w:rsid w:val="00B42E84"/>
    <w:rsid w:val="00B42FD8"/>
    <w:rsid w:val="00B43740"/>
    <w:rsid w:val="00B43D6C"/>
    <w:rsid w:val="00B44475"/>
    <w:rsid w:val="00B44488"/>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76"/>
    <w:rsid w:val="00B570C1"/>
    <w:rsid w:val="00B572E8"/>
    <w:rsid w:val="00B57514"/>
    <w:rsid w:val="00B57CE4"/>
    <w:rsid w:val="00B616D3"/>
    <w:rsid w:val="00B634DD"/>
    <w:rsid w:val="00B638B6"/>
    <w:rsid w:val="00B6458A"/>
    <w:rsid w:val="00B658C4"/>
    <w:rsid w:val="00B66841"/>
    <w:rsid w:val="00B671C2"/>
    <w:rsid w:val="00B67321"/>
    <w:rsid w:val="00B70997"/>
    <w:rsid w:val="00B70ECE"/>
    <w:rsid w:val="00B71012"/>
    <w:rsid w:val="00B71099"/>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953"/>
    <w:rsid w:val="00BA2C23"/>
    <w:rsid w:val="00BA3299"/>
    <w:rsid w:val="00BA358D"/>
    <w:rsid w:val="00BA4104"/>
    <w:rsid w:val="00BA4CF3"/>
    <w:rsid w:val="00BA5F0A"/>
    <w:rsid w:val="00BA6595"/>
    <w:rsid w:val="00BA6861"/>
    <w:rsid w:val="00BA6B90"/>
    <w:rsid w:val="00BA6DE9"/>
    <w:rsid w:val="00BA74E6"/>
    <w:rsid w:val="00BA76BF"/>
    <w:rsid w:val="00BA797C"/>
    <w:rsid w:val="00BA7C7A"/>
    <w:rsid w:val="00BB0D0A"/>
    <w:rsid w:val="00BB0DD3"/>
    <w:rsid w:val="00BB143A"/>
    <w:rsid w:val="00BB162C"/>
    <w:rsid w:val="00BB2784"/>
    <w:rsid w:val="00BB4C95"/>
    <w:rsid w:val="00BB58FC"/>
    <w:rsid w:val="00BB6D1C"/>
    <w:rsid w:val="00BB7FD6"/>
    <w:rsid w:val="00BC0FC9"/>
    <w:rsid w:val="00BC4504"/>
    <w:rsid w:val="00BC54FE"/>
    <w:rsid w:val="00BC6C3B"/>
    <w:rsid w:val="00BC6F81"/>
    <w:rsid w:val="00BD0182"/>
    <w:rsid w:val="00BD01FC"/>
    <w:rsid w:val="00BD1505"/>
    <w:rsid w:val="00BD178B"/>
    <w:rsid w:val="00BD296C"/>
    <w:rsid w:val="00BD2B58"/>
    <w:rsid w:val="00BD38C5"/>
    <w:rsid w:val="00BD3B30"/>
    <w:rsid w:val="00BD675C"/>
    <w:rsid w:val="00BD6C42"/>
    <w:rsid w:val="00BD71E6"/>
    <w:rsid w:val="00BE03E9"/>
    <w:rsid w:val="00BE0988"/>
    <w:rsid w:val="00BE37E0"/>
    <w:rsid w:val="00BE531E"/>
    <w:rsid w:val="00BE5EA7"/>
    <w:rsid w:val="00BE630D"/>
    <w:rsid w:val="00BF044F"/>
    <w:rsid w:val="00BF1F74"/>
    <w:rsid w:val="00BF3CC5"/>
    <w:rsid w:val="00BF42A4"/>
    <w:rsid w:val="00BF4B2D"/>
    <w:rsid w:val="00BF6CCE"/>
    <w:rsid w:val="00BF7116"/>
    <w:rsid w:val="00BF7EF8"/>
    <w:rsid w:val="00C00A84"/>
    <w:rsid w:val="00C010F3"/>
    <w:rsid w:val="00C01558"/>
    <w:rsid w:val="00C01C0D"/>
    <w:rsid w:val="00C02754"/>
    <w:rsid w:val="00C03083"/>
    <w:rsid w:val="00C034B6"/>
    <w:rsid w:val="00C03C73"/>
    <w:rsid w:val="00C040D9"/>
    <w:rsid w:val="00C04981"/>
    <w:rsid w:val="00C04A0A"/>
    <w:rsid w:val="00C05394"/>
    <w:rsid w:val="00C10A0D"/>
    <w:rsid w:val="00C11811"/>
    <w:rsid w:val="00C11A43"/>
    <w:rsid w:val="00C11B96"/>
    <w:rsid w:val="00C126AB"/>
    <w:rsid w:val="00C127DB"/>
    <w:rsid w:val="00C12A34"/>
    <w:rsid w:val="00C13C3C"/>
    <w:rsid w:val="00C13EF4"/>
    <w:rsid w:val="00C1490B"/>
    <w:rsid w:val="00C15051"/>
    <w:rsid w:val="00C15108"/>
    <w:rsid w:val="00C15687"/>
    <w:rsid w:val="00C15B25"/>
    <w:rsid w:val="00C162F8"/>
    <w:rsid w:val="00C17387"/>
    <w:rsid w:val="00C176C8"/>
    <w:rsid w:val="00C20217"/>
    <w:rsid w:val="00C20D4E"/>
    <w:rsid w:val="00C22444"/>
    <w:rsid w:val="00C22E13"/>
    <w:rsid w:val="00C22EB5"/>
    <w:rsid w:val="00C243CF"/>
    <w:rsid w:val="00C244FC"/>
    <w:rsid w:val="00C24A39"/>
    <w:rsid w:val="00C257A6"/>
    <w:rsid w:val="00C257E1"/>
    <w:rsid w:val="00C25ABF"/>
    <w:rsid w:val="00C3070D"/>
    <w:rsid w:val="00C308C8"/>
    <w:rsid w:val="00C31D0F"/>
    <w:rsid w:val="00C320E7"/>
    <w:rsid w:val="00C353BF"/>
    <w:rsid w:val="00C35E3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5D28"/>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1F8"/>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60B0"/>
    <w:rsid w:val="00CB72B9"/>
    <w:rsid w:val="00CB7B7E"/>
    <w:rsid w:val="00CC28DB"/>
    <w:rsid w:val="00CC2CB6"/>
    <w:rsid w:val="00CC3425"/>
    <w:rsid w:val="00CC3662"/>
    <w:rsid w:val="00CC407A"/>
    <w:rsid w:val="00CC4549"/>
    <w:rsid w:val="00CC4947"/>
    <w:rsid w:val="00CC6E6D"/>
    <w:rsid w:val="00CC710B"/>
    <w:rsid w:val="00CC758B"/>
    <w:rsid w:val="00CD133E"/>
    <w:rsid w:val="00CD1B85"/>
    <w:rsid w:val="00CD22E6"/>
    <w:rsid w:val="00CD2727"/>
    <w:rsid w:val="00CD293F"/>
    <w:rsid w:val="00CD3559"/>
    <w:rsid w:val="00CD3FC9"/>
    <w:rsid w:val="00CD632A"/>
    <w:rsid w:val="00CD63F0"/>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3F6"/>
    <w:rsid w:val="00CF3645"/>
    <w:rsid w:val="00CF3EF0"/>
    <w:rsid w:val="00CF3FF4"/>
    <w:rsid w:val="00CF455A"/>
    <w:rsid w:val="00CF4F0D"/>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14FE"/>
    <w:rsid w:val="00D11AF0"/>
    <w:rsid w:val="00D13421"/>
    <w:rsid w:val="00D13727"/>
    <w:rsid w:val="00D1425A"/>
    <w:rsid w:val="00D15224"/>
    <w:rsid w:val="00D162B8"/>
    <w:rsid w:val="00D17D22"/>
    <w:rsid w:val="00D20A92"/>
    <w:rsid w:val="00D21745"/>
    <w:rsid w:val="00D228C5"/>
    <w:rsid w:val="00D228EE"/>
    <w:rsid w:val="00D2438E"/>
    <w:rsid w:val="00D255A3"/>
    <w:rsid w:val="00D25F82"/>
    <w:rsid w:val="00D27368"/>
    <w:rsid w:val="00D3198F"/>
    <w:rsid w:val="00D31CB3"/>
    <w:rsid w:val="00D325B7"/>
    <w:rsid w:val="00D33D8A"/>
    <w:rsid w:val="00D343EC"/>
    <w:rsid w:val="00D373E5"/>
    <w:rsid w:val="00D37527"/>
    <w:rsid w:val="00D3772C"/>
    <w:rsid w:val="00D40268"/>
    <w:rsid w:val="00D40382"/>
    <w:rsid w:val="00D40B22"/>
    <w:rsid w:val="00D40DD4"/>
    <w:rsid w:val="00D4121F"/>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BB"/>
    <w:rsid w:val="00D61C87"/>
    <w:rsid w:val="00D61CAC"/>
    <w:rsid w:val="00D63A85"/>
    <w:rsid w:val="00D63A93"/>
    <w:rsid w:val="00D64269"/>
    <w:rsid w:val="00D6487C"/>
    <w:rsid w:val="00D64BAB"/>
    <w:rsid w:val="00D6576C"/>
    <w:rsid w:val="00D6685C"/>
    <w:rsid w:val="00D70430"/>
    <w:rsid w:val="00D704B0"/>
    <w:rsid w:val="00D707E1"/>
    <w:rsid w:val="00D70CA7"/>
    <w:rsid w:val="00D714D0"/>
    <w:rsid w:val="00D7180F"/>
    <w:rsid w:val="00D719EC"/>
    <w:rsid w:val="00D71DD0"/>
    <w:rsid w:val="00D7311C"/>
    <w:rsid w:val="00D73FED"/>
    <w:rsid w:val="00D74906"/>
    <w:rsid w:val="00D74C73"/>
    <w:rsid w:val="00D74F71"/>
    <w:rsid w:val="00D7554B"/>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5378"/>
    <w:rsid w:val="00D864F9"/>
    <w:rsid w:val="00D86A15"/>
    <w:rsid w:val="00D86B3D"/>
    <w:rsid w:val="00D86FC5"/>
    <w:rsid w:val="00D87793"/>
    <w:rsid w:val="00D90BFD"/>
    <w:rsid w:val="00D90EA9"/>
    <w:rsid w:val="00D91633"/>
    <w:rsid w:val="00D91DAA"/>
    <w:rsid w:val="00D91F36"/>
    <w:rsid w:val="00D92695"/>
    <w:rsid w:val="00D92CD5"/>
    <w:rsid w:val="00D93F3B"/>
    <w:rsid w:val="00D94743"/>
    <w:rsid w:val="00D94783"/>
    <w:rsid w:val="00D949DF"/>
    <w:rsid w:val="00D94B67"/>
    <w:rsid w:val="00D94BA9"/>
    <w:rsid w:val="00D9505F"/>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0913"/>
    <w:rsid w:val="00DB1106"/>
    <w:rsid w:val="00DB12CA"/>
    <w:rsid w:val="00DB19C5"/>
    <w:rsid w:val="00DB1D55"/>
    <w:rsid w:val="00DB212F"/>
    <w:rsid w:val="00DB348A"/>
    <w:rsid w:val="00DB46F4"/>
    <w:rsid w:val="00DB514B"/>
    <w:rsid w:val="00DB553B"/>
    <w:rsid w:val="00DB6C5A"/>
    <w:rsid w:val="00DC00AE"/>
    <w:rsid w:val="00DC01A4"/>
    <w:rsid w:val="00DC0DE9"/>
    <w:rsid w:val="00DC20F7"/>
    <w:rsid w:val="00DC2820"/>
    <w:rsid w:val="00DC3224"/>
    <w:rsid w:val="00DC445E"/>
    <w:rsid w:val="00DC4B1B"/>
    <w:rsid w:val="00DC5533"/>
    <w:rsid w:val="00DC59F9"/>
    <w:rsid w:val="00DC5DD9"/>
    <w:rsid w:val="00DC7FAB"/>
    <w:rsid w:val="00DD0BE7"/>
    <w:rsid w:val="00DD0D1F"/>
    <w:rsid w:val="00DD1477"/>
    <w:rsid w:val="00DD29E9"/>
    <w:rsid w:val="00DD31F3"/>
    <w:rsid w:val="00DD3938"/>
    <w:rsid w:val="00DD5D7C"/>
    <w:rsid w:val="00DD7E98"/>
    <w:rsid w:val="00DD7F36"/>
    <w:rsid w:val="00DD7F4E"/>
    <w:rsid w:val="00DE0589"/>
    <w:rsid w:val="00DE145B"/>
    <w:rsid w:val="00DE1685"/>
    <w:rsid w:val="00DE1AE0"/>
    <w:rsid w:val="00DE1C0C"/>
    <w:rsid w:val="00DE3984"/>
    <w:rsid w:val="00DE3B4A"/>
    <w:rsid w:val="00DE3C4A"/>
    <w:rsid w:val="00DE4168"/>
    <w:rsid w:val="00DE447F"/>
    <w:rsid w:val="00DE4D21"/>
    <w:rsid w:val="00DE5565"/>
    <w:rsid w:val="00DE575A"/>
    <w:rsid w:val="00DE5E8E"/>
    <w:rsid w:val="00DE63CA"/>
    <w:rsid w:val="00DE7757"/>
    <w:rsid w:val="00DE7947"/>
    <w:rsid w:val="00DF009A"/>
    <w:rsid w:val="00DF0608"/>
    <w:rsid w:val="00DF0A38"/>
    <w:rsid w:val="00DF0FE3"/>
    <w:rsid w:val="00DF13A8"/>
    <w:rsid w:val="00DF21D0"/>
    <w:rsid w:val="00DF34C1"/>
    <w:rsid w:val="00DF40FD"/>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2BB"/>
    <w:rsid w:val="00E055FA"/>
    <w:rsid w:val="00E05B99"/>
    <w:rsid w:val="00E05BCE"/>
    <w:rsid w:val="00E0603A"/>
    <w:rsid w:val="00E0693F"/>
    <w:rsid w:val="00E07061"/>
    <w:rsid w:val="00E077B7"/>
    <w:rsid w:val="00E10A13"/>
    <w:rsid w:val="00E1199E"/>
    <w:rsid w:val="00E11DD7"/>
    <w:rsid w:val="00E11F05"/>
    <w:rsid w:val="00E12809"/>
    <w:rsid w:val="00E12A1D"/>
    <w:rsid w:val="00E12EE0"/>
    <w:rsid w:val="00E12F4E"/>
    <w:rsid w:val="00E12FFB"/>
    <w:rsid w:val="00E13798"/>
    <w:rsid w:val="00E138C6"/>
    <w:rsid w:val="00E14358"/>
    <w:rsid w:val="00E14804"/>
    <w:rsid w:val="00E15AE5"/>
    <w:rsid w:val="00E167E6"/>
    <w:rsid w:val="00E170B7"/>
    <w:rsid w:val="00E1723C"/>
    <w:rsid w:val="00E2018D"/>
    <w:rsid w:val="00E20419"/>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56D"/>
    <w:rsid w:val="00E3779D"/>
    <w:rsid w:val="00E377F7"/>
    <w:rsid w:val="00E40305"/>
    <w:rsid w:val="00E414D1"/>
    <w:rsid w:val="00E41D67"/>
    <w:rsid w:val="00E43F01"/>
    <w:rsid w:val="00E46189"/>
    <w:rsid w:val="00E46878"/>
    <w:rsid w:val="00E46C28"/>
    <w:rsid w:val="00E50BA5"/>
    <w:rsid w:val="00E5254D"/>
    <w:rsid w:val="00E5284F"/>
    <w:rsid w:val="00E53108"/>
    <w:rsid w:val="00E53841"/>
    <w:rsid w:val="00E53BBE"/>
    <w:rsid w:val="00E549F2"/>
    <w:rsid w:val="00E54EB6"/>
    <w:rsid w:val="00E5529E"/>
    <w:rsid w:val="00E56791"/>
    <w:rsid w:val="00E56EA4"/>
    <w:rsid w:val="00E57291"/>
    <w:rsid w:val="00E6240F"/>
    <w:rsid w:val="00E63677"/>
    <w:rsid w:val="00E657A9"/>
    <w:rsid w:val="00E66DCA"/>
    <w:rsid w:val="00E67B27"/>
    <w:rsid w:val="00E67E7C"/>
    <w:rsid w:val="00E721AF"/>
    <w:rsid w:val="00E72DE0"/>
    <w:rsid w:val="00E74DC3"/>
    <w:rsid w:val="00E74E55"/>
    <w:rsid w:val="00E76C73"/>
    <w:rsid w:val="00E81429"/>
    <w:rsid w:val="00E81824"/>
    <w:rsid w:val="00E8357C"/>
    <w:rsid w:val="00E83B42"/>
    <w:rsid w:val="00E84771"/>
    <w:rsid w:val="00E87438"/>
    <w:rsid w:val="00E901AF"/>
    <w:rsid w:val="00E90BF4"/>
    <w:rsid w:val="00E91008"/>
    <w:rsid w:val="00E91741"/>
    <w:rsid w:val="00E91833"/>
    <w:rsid w:val="00E92409"/>
    <w:rsid w:val="00E96931"/>
    <w:rsid w:val="00E97C36"/>
    <w:rsid w:val="00EA0079"/>
    <w:rsid w:val="00EA0837"/>
    <w:rsid w:val="00EA16CA"/>
    <w:rsid w:val="00EA20BC"/>
    <w:rsid w:val="00EA3740"/>
    <w:rsid w:val="00EA4173"/>
    <w:rsid w:val="00EA4174"/>
    <w:rsid w:val="00EA423E"/>
    <w:rsid w:val="00EA4A3B"/>
    <w:rsid w:val="00EA4D8E"/>
    <w:rsid w:val="00EA4F5A"/>
    <w:rsid w:val="00EA5DE9"/>
    <w:rsid w:val="00EA62D3"/>
    <w:rsid w:val="00EA6C41"/>
    <w:rsid w:val="00EA6D15"/>
    <w:rsid w:val="00EA7E5E"/>
    <w:rsid w:val="00EA7F23"/>
    <w:rsid w:val="00EB048C"/>
    <w:rsid w:val="00EB081A"/>
    <w:rsid w:val="00EB098C"/>
    <w:rsid w:val="00EB216C"/>
    <w:rsid w:val="00EB2255"/>
    <w:rsid w:val="00EB2A81"/>
    <w:rsid w:val="00EB39D4"/>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1768"/>
    <w:rsid w:val="00EE2409"/>
    <w:rsid w:val="00EE3042"/>
    <w:rsid w:val="00EE30FD"/>
    <w:rsid w:val="00EE3C5A"/>
    <w:rsid w:val="00EE4547"/>
    <w:rsid w:val="00EE45A6"/>
    <w:rsid w:val="00EE4822"/>
    <w:rsid w:val="00EE4D72"/>
    <w:rsid w:val="00EE5292"/>
    <w:rsid w:val="00EE658F"/>
    <w:rsid w:val="00EE6649"/>
    <w:rsid w:val="00EE6B18"/>
    <w:rsid w:val="00EE7D3F"/>
    <w:rsid w:val="00EF020B"/>
    <w:rsid w:val="00EF05F9"/>
    <w:rsid w:val="00EF2B60"/>
    <w:rsid w:val="00EF2C79"/>
    <w:rsid w:val="00EF3241"/>
    <w:rsid w:val="00EF41CD"/>
    <w:rsid w:val="00EF524B"/>
    <w:rsid w:val="00EF58D8"/>
    <w:rsid w:val="00EF6212"/>
    <w:rsid w:val="00F00126"/>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174BA"/>
    <w:rsid w:val="00F20BD8"/>
    <w:rsid w:val="00F20EBB"/>
    <w:rsid w:val="00F2229D"/>
    <w:rsid w:val="00F22B38"/>
    <w:rsid w:val="00F22C95"/>
    <w:rsid w:val="00F23538"/>
    <w:rsid w:val="00F2356D"/>
    <w:rsid w:val="00F24631"/>
    <w:rsid w:val="00F2504F"/>
    <w:rsid w:val="00F2553B"/>
    <w:rsid w:val="00F25B9A"/>
    <w:rsid w:val="00F268B5"/>
    <w:rsid w:val="00F27488"/>
    <w:rsid w:val="00F30756"/>
    <w:rsid w:val="00F308C8"/>
    <w:rsid w:val="00F30D7F"/>
    <w:rsid w:val="00F313AE"/>
    <w:rsid w:val="00F314F5"/>
    <w:rsid w:val="00F32AFF"/>
    <w:rsid w:val="00F32B41"/>
    <w:rsid w:val="00F340BA"/>
    <w:rsid w:val="00F34FA4"/>
    <w:rsid w:val="00F3514E"/>
    <w:rsid w:val="00F3577A"/>
    <w:rsid w:val="00F36A56"/>
    <w:rsid w:val="00F3702E"/>
    <w:rsid w:val="00F379A8"/>
    <w:rsid w:val="00F404B0"/>
    <w:rsid w:val="00F40C61"/>
    <w:rsid w:val="00F41298"/>
    <w:rsid w:val="00F413CE"/>
    <w:rsid w:val="00F42536"/>
    <w:rsid w:val="00F42D72"/>
    <w:rsid w:val="00F42E00"/>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4E26"/>
    <w:rsid w:val="00F55B59"/>
    <w:rsid w:val="00F56BEB"/>
    <w:rsid w:val="00F6171E"/>
    <w:rsid w:val="00F62F4B"/>
    <w:rsid w:val="00F64120"/>
    <w:rsid w:val="00F646CD"/>
    <w:rsid w:val="00F65293"/>
    <w:rsid w:val="00F65969"/>
    <w:rsid w:val="00F65E52"/>
    <w:rsid w:val="00F65E5D"/>
    <w:rsid w:val="00F66794"/>
    <w:rsid w:val="00F66C8C"/>
    <w:rsid w:val="00F70F31"/>
    <w:rsid w:val="00F71CB3"/>
    <w:rsid w:val="00F72A6B"/>
    <w:rsid w:val="00F73DC1"/>
    <w:rsid w:val="00F744C3"/>
    <w:rsid w:val="00F75043"/>
    <w:rsid w:val="00F7554E"/>
    <w:rsid w:val="00F76CF7"/>
    <w:rsid w:val="00F77502"/>
    <w:rsid w:val="00F7768E"/>
    <w:rsid w:val="00F77CE9"/>
    <w:rsid w:val="00F800FB"/>
    <w:rsid w:val="00F8029A"/>
    <w:rsid w:val="00F80A42"/>
    <w:rsid w:val="00F829DA"/>
    <w:rsid w:val="00F8432A"/>
    <w:rsid w:val="00F865D0"/>
    <w:rsid w:val="00F8705E"/>
    <w:rsid w:val="00F870DE"/>
    <w:rsid w:val="00F87698"/>
    <w:rsid w:val="00F87ED6"/>
    <w:rsid w:val="00F901E3"/>
    <w:rsid w:val="00F90FEF"/>
    <w:rsid w:val="00F9180A"/>
    <w:rsid w:val="00F91BEA"/>
    <w:rsid w:val="00F92254"/>
    <w:rsid w:val="00F926D1"/>
    <w:rsid w:val="00F92DC1"/>
    <w:rsid w:val="00F92DFD"/>
    <w:rsid w:val="00F92FE3"/>
    <w:rsid w:val="00F932FB"/>
    <w:rsid w:val="00F939CC"/>
    <w:rsid w:val="00F93B4A"/>
    <w:rsid w:val="00F93FE7"/>
    <w:rsid w:val="00F94E21"/>
    <w:rsid w:val="00F94F2E"/>
    <w:rsid w:val="00F951FA"/>
    <w:rsid w:val="00F95FB8"/>
    <w:rsid w:val="00F96DDE"/>
    <w:rsid w:val="00F96EE0"/>
    <w:rsid w:val="00F9763C"/>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301D"/>
    <w:rsid w:val="00FB3070"/>
    <w:rsid w:val="00FB3B5A"/>
    <w:rsid w:val="00FB4664"/>
    <w:rsid w:val="00FB4797"/>
    <w:rsid w:val="00FB5D10"/>
    <w:rsid w:val="00FC0456"/>
    <w:rsid w:val="00FC0A33"/>
    <w:rsid w:val="00FC10A2"/>
    <w:rsid w:val="00FC11B6"/>
    <w:rsid w:val="00FC149D"/>
    <w:rsid w:val="00FC1512"/>
    <w:rsid w:val="00FC1B41"/>
    <w:rsid w:val="00FC2CE7"/>
    <w:rsid w:val="00FC2E4B"/>
    <w:rsid w:val="00FC4D11"/>
    <w:rsid w:val="00FC5175"/>
    <w:rsid w:val="00FC6B5B"/>
    <w:rsid w:val="00FC6C0B"/>
    <w:rsid w:val="00FC7539"/>
    <w:rsid w:val="00FC778C"/>
    <w:rsid w:val="00FC7EC0"/>
    <w:rsid w:val="00FD0A22"/>
    <w:rsid w:val="00FD0CA5"/>
    <w:rsid w:val="00FD15E8"/>
    <w:rsid w:val="00FD32D1"/>
    <w:rsid w:val="00FD3AAE"/>
    <w:rsid w:val="00FD3F95"/>
    <w:rsid w:val="00FD4271"/>
    <w:rsid w:val="00FD56E8"/>
    <w:rsid w:val="00FE1FB9"/>
    <w:rsid w:val="00FE2588"/>
    <w:rsid w:val="00FE28E3"/>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15:docId w15:val="{5F63473A-882C-4D40-A8E8-3EF79E79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F41"/>
    <w:pPr>
      <w:bidi/>
    </w:pPr>
  </w:style>
  <w:style w:type="paragraph" w:styleId="Heading1">
    <w:name w:val="heading 1"/>
    <w:basedOn w:val="Normal"/>
    <w:next w:val="Normal"/>
    <w:link w:val="11"/>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21"/>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31"/>
    <w:uiPriority w:val="1"/>
    <w:unhideWhenUsed/>
    <w:qFormat/>
    <w:rsid w:val="00C43CDD"/>
    <w:pPr>
      <w:keepNext/>
      <w:keepLines/>
      <w:numPr>
        <w:ilvl w:val="2"/>
        <w:numId w:val="2"/>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41"/>
    <w:uiPriority w:val="1"/>
    <w:unhideWhenUsed/>
    <w:qFormat/>
    <w:rsid w:val="005C0F41"/>
    <w:pPr>
      <w:keepNext/>
      <w:keepLines/>
      <w:numPr>
        <w:ilvl w:val="3"/>
        <w:numId w:val="2"/>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53"/>
    <w:uiPriority w:val="1"/>
    <w:unhideWhenUsed/>
    <w:qFormat/>
    <w:rsid w:val="005C0F41"/>
    <w:pPr>
      <w:keepNext/>
      <w:keepLines/>
      <w:numPr>
        <w:ilvl w:val="4"/>
        <w:numId w:val="2"/>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62"/>
    <w:uiPriority w:val="1"/>
    <w:unhideWhenUsed/>
    <w:qFormat/>
    <w:rsid w:val="005C0F41"/>
    <w:pPr>
      <w:keepNext/>
      <w:keepLines/>
      <w:numPr>
        <w:ilvl w:val="5"/>
        <w:numId w:val="2"/>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73"/>
    <w:uiPriority w:val="1"/>
    <w:unhideWhenUsed/>
    <w:qFormat/>
    <w:rsid w:val="005C0F41"/>
    <w:pPr>
      <w:keepNext/>
      <w:keepLines/>
      <w:numPr>
        <w:ilvl w:val="6"/>
        <w:numId w:val="2"/>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81"/>
    <w:uiPriority w:val="1"/>
    <w:unhideWhenUsed/>
    <w:qFormat/>
    <w:rsid w:val="005C0F41"/>
    <w:pPr>
      <w:keepNext/>
      <w:keepLines/>
      <w:numPr>
        <w:ilvl w:val="7"/>
        <w:numId w:val="2"/>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91"/>
    <w:unhideWhenUsed/>
    <w:qFormat/>
    <w:rsid w:val="005C0F41"/>
    <w:pPr>
      <w:keepNext/>
      <w:keepLines/>
      <w:numPr>
        <w:ilvl w:val="8"/>
        <w:numId w:val="2"/>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21">
    <w:name w:val="כותרת 2 תו1"/>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31">
    <w:name w:val="כותרת 3 תו1"/>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41">
    <w:name w:val="כותרת 4 תו1"/>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53">
    <w:name w:val="כותרת 5 תו3"/>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62">
    <w:name w:val="כותרת 6 תו2"/>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73">
    <w:name w:val="כותרת 7 תו3"/>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81">
    <w:name w:val="כותרת 8 תו1"/>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91">
    <w:name w:val="כותרת 9 תו1"/>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a"/>
    <w:uiPriority w:val="34"/>
    <w:qFormat/>
    <w:rsid w:val="004F49B8"/>
    <w:pPr>
      <w:numPr>
        <w:numId w:val="4"/>
      </w:numPr>
      <w:autoSpaceDE w:val="0"/>
      <w:autoSpaceDN w:val="0"/>
      <w:adjustRightInd w:val="0"/>
      <w:spacing w:line="320" w:lineRule="exact"/>
      <w:jc w:val="both"/>
    </w:pPr>
    <w:rPr>
      <w:rFonts w:ascii="Tahoma" w:hAnsi="Tahoma" w:cs="Tahoma"/>
      <w:sz w:val="20"/>
    </w:rPr>
  </w:style>
  <w:style w:type="character" w:customStyle="1" w:styleId="a">
    <w:name w:val="פיסקת רשימה תו"/>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1"/>
    <w:uiPriority w:val="99"/>
    <w:unhideWhenUsed/>
    <w:rsid w:val="00CB3322"/>
    <w:pPr>
      <w:tabs>
        <w:tab w:val="center" w:pos="4320"/>
        <w:tab w:val="right" w:pos="8640"/>
      </w:tabs>
      <w:spacing w:after="0" w:line="240" w:lineRule="auto"/>
    </w:pPr>
  </w:style>
  <w:style w:type="character" w:customStyle="1" w:styleId="1">
    <w:name w:val="כותרת עליונה תו1"/>
    <w:basedOn w:val="DefaultParagraphFont"/>
    <w:link w:val="Header"/>
    <w:uiPriority w:val="99"/>
    <w:rsid w:val="00CB3322"/>
    <w:rPr>
      <w:rFonts w:cs="David"/>
      <w:sz w:val="24"/>
      <w:szCs w:val="24"/>
    </w:rPr>
  </w:style>
  <w:style w:type="paragraph" w:styleId="Footer">
    <w:name w:val="footer"/>
    <w:basedOn w:val="Normal"/>
    <w:link w:val="10"/>
    <w:uiPriority w:val="99"/>
    <w:unhideWhenUsed/>
    <w:rsid w:val="00CB3322"/>
    <w:pPr>
      <w:tabs>
        <w:tab w:val="center" w:pos="4320"/>
        <w:tab w:val="right" w:pos="8640"/>
      </w:tabs>
      <w:spacing w:after="0" w:line="240" w:lineRule="auto"/>
    </w:pPr>
  </w:style>
  <w:style w:type="character" w:customStyle="1" w:styleId="10">
    <w:name w:val="כותרת תחתונה תו1"/>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a0"/>
    <w:uiPriority w:val="99"/>
    <w:unhideWhenUsed/>
    <w:rsid w:val="00702D9F"/>
    <w:pPr>
      <w:spacing w:line="240" w:lineRule="auto"/>
    </w:pPr>
    <w:rPr>
      <w:sz w:val="20"/>
      <w:szCs w:val="20"/>
    </w:rPr>
  </w:style>
  <w:style w:type="character" w:customStyle="1" w:styleId="a0">
    <w:name w:val="טקסט הערה תו"/>
    <w:basedOn w:val="DefaultParagraphFont"/>
    <w:link w:val="CommentText"/>
    <w:uiPriority w:val="99"/>
    <w:rsid w:val="00702D9F"/>
    <w:rPr>
      <w:rFonts w:cs="David"/>
    </w:rPr>
  </w:style>
  <w:style w:type="paragraph" w:styleId="CommentSubject">
    <w:name w:val="annotation subject"/>
    <w:basedOn w:val="CommentText"/>
    <w:next w:val="CommentText"/>
    <w:link w:val="a1"/>
    <w:uiPriority w:val="99"/>
    <w:semiHidden/>
    <w:unhideWhenUsed/>
    <w:rsid w:val="00702D9F"/>
    <w:rPr>
      <w:b/>
      <w:bCs/>
    </w:rPr>
  </w:style>
  <w:style w:type="character" w:customStyle="1" w:styleId="a1">
    <w:name w:val="נושא הערה תו"/>
    <w:basedOn w:val="a0"/>
    <w:link w:val="CommentSubject"/>
    <w:uiPriority w:val="99"/>
    <w:semiHidden/>
    <w:rsid w:val="00702D9F"/>
    <w:rPr>
      <w:rFonts w:cs="David"/>
      <w:b/>
      <w:bCs/>
    </w:rPr>
  </w:style>
  <w:style w:type="paragraph" w:styleId="BalloonText">
    <w:name w:val="Balloon Text"/>
    <w:basedOn w:val="Normal"/>
    <w:link w:val="a2"/>
    <w:uiPriority w:val="99"/>
    <w:unhideWhenUsed/>
    <w:rsid w:val="00702D9F"/>
    <w:pPr>
      <w:spacing w:after="0" w:line="240" w:lineRule="auto"/>
    </w:pPr>
    <w:rPr>
      <w:rFonts w:ascii="Segoe UI" w:hAnsi="Segoe UI" w:cs="Segoe UI"/>
      <w:sz w:val="18"/>
      <w:szCs w:val="18"/>
    </w:rPr>
  </w:style>
  <w:style w:type="character" w:customStyle="1" w:styleId="a2">
    <w:name w:val="טקסט בלונים תו"/>
    <w:basedOn w:val="DefaultParagraphFont"/>
    <w:link w:val="BalloonText"/>
    <w:uiPriority w:val="99"/>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12"/>
    <w:uiPriority w:val="99"/>
    <w:unhideWhenUsed/>
    <w:rsid w:val="0023718D"/>
    <w:pPr>
      <w:spacing w:line="240" w:lineRule="auto"/>
    </w:pPr>
    <w:rPr>
      <w:rFonts w:cs="David"/>
      <w:sz w:val="20"/>
      <w:szCs w:val="20"/>
    </w:rPr>
  </w:style>
  <w:style w:type="character" w:customStyle="1" w:styleId="12">
    <w:name w:val="טקסט הערת שוליים תו1"/>
    <w:basedOn w:val="DefaultParagraphFont"/>
    <w:link w:val="FootnoteText"/>
    <w:uiPriority w:val="99"/>
    <w:rsid w:val="0023718D"/>
    <w:rPr>
      <w:rFonts w:cs="David"/>
      <w:sz w:val="20"/>
      <w:szCs w:val="20"/>
    </w:rPr>
  </w:style>
  <w:style w:type="character" w:styleId="FootnoteReference">
    <w:name w:val="footnote reference"/>
    <w:basedOn w:val="DefaultParagraphFont"/>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13"/>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13">
    <w:name w:val="כותרת טקסט תו1"/>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a3"/>
    <w:uiPriority w:val="11"/>
    <w:qFormat/>
    <w:rsid w:val="005C0F41"/>
    <w:pPr>
      <w:numPr>
        <w:ilvl w:val="1"/>
      </w:numPr>
      <w:bidi w:val="0"/>
      <w:spacing w:after="240"/>
    </w:pPr>
    <w:rPr>
      <w:caps/>
      <w:color w:val="404040" w:themeColor="text1" w:themeTint="BF"/>
      <w:spacing w:val="20"/>
      <w:sz w:val="28"/>
      <w:szCs w:val="28"/>
    </w:rPr>
  </w:style>
  <w:style w:type="character" w:customStyle="1" w:styleId="a3">
    <w:name w:val="כותרת משנה תו"/>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a4"/>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4">
    <w:name w:val="ציטוט תו"/>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a5"/>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5">
    <w:name w:val="ציטוט חזק תו"/>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a6"/>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a6">
    <w:name w:val="גוף טקסט תו"/>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2"/>
    <w:unhideWhenUsed/>
    <w:rsid w:val="00DB1D55"/>
    <w:pPr>
      <w:tabs>
        <w:tab w:val="left" w:pos="340"/>
      </w:tabs>
      <w:spacing w:line="360" w:lineRule="exact"/>
      <w:jc w:val="both"/>
    </w:pPr>
    <w:rPr>
      <w:rFonts w:ascii="Tahoma" w:hAnsi="Tahoma" w:cs="Tahoma"/>
      <w:sz w:val="22"/>
      <w:szCs w:val="22"/>
    </w:rPr>
  </w:style>
  <w:style w:type="character" w:customStyle="1" w:styleId="2">
    <w:name w:val="גוף טקסט 2 תו"/>
    <w:basedOn w:val="DefaultParagraphFont"/>
    <w:link w:val="BodyText2"/>
    <w:uiPriority w:val="99"/>
    <w:rsid w:val="00DB1D55"/>
    <w:rPr>
      <w:rFonts w:ascii="Tahoma" w:hAnsi="Tahoma" w:cs="Tahoma"/>
      <w:sz w:val="22"/>
      <w:szCs w:val="22"/>
    </w:rPr>
  </w:style>
  <w:style w:type="character" w:customStyle="1" w:styleId="14">
    <w:name w:val="כותרת 1 תו"/>
    <w:locked/>
    <w:rsid w:val="00F1368B"/>
    <w:rPr>
      <w:rFonts w:ascii="Cambria" w:hAnsi="Cambria" w:cs="Times New Roman"/>
      <w:b/>
      <w:bCs/>
      <w:kern w:val="32"/>
      <w:sz w:val="32"/>
      <w:szCs w:val="32"/>
    </w:rPr>
  </w:style>
  <w:style w:type="character" w:customStyle="1" w:styleId="20">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7">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021662"/>
    <w:pPr>
      <w:keepNext/>
      <w:pageBreakBefore/>
      <w:spacing w:before="360" w:after="240" w:line="480" w:lineRule="exact"/>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8">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9">
    <w:name w:val="כותרת עליונה תו"/>
    <w:locked/>
    <w:rsid w:val="00F1368B"/>
    <w:rPr>
      <w:rFonts w:cs="David"/>
      <w:sz w:val="24"/>
      <w:szCs w:val="24"/>
      <w:lang w:bidi="he-IL"/>
    </w:rPr>
  </w:style>
  <w:style w:type="character" w:customStyle="1" w:styleId="a10">
    <w:name w:val="כותרת תחתונה תו"/>
    <w:locked/>
    <w:rsid w:val="00F1368B"/>
    <w:rPr>
      <w:rFonts w:cs="David"/>
      <w:sz w:val="24"/>
      <w:szCs w:val="24"/>
      <w:lang w:bidi="he-IL"/>
    </w:rPr>
  </w:style>
  <w:style w:type="character" w:customStyle="1" w:styleId="a11">
    <w:name w:val="טקסט הערת סיום תו"/>
    <w:basedOn w:val="DefaultParagraphFont"/>
    <w:link w:val="EndnoteText"/>
    <w:semiHidden/>
    <w:rsid w:val="00F1368B"/>
    <w:rPr>
      <w:rFonts w:ascii="Times New Roman" w:eastAsia="Times New Roman" w:hAnsi="Times New Roman" w:cs="David"/>
      <w:sz w:val="24"/>
      <w:szCs w:val="20"/>
    </w:rPr>
  </w:style>
  <w:style w:type="paragraph" w:styleId="EndnoteText">
    <w:name w:val="endnote text"/>
    <w:basedOn w:val="Normal"/>
    <w:link w:val="a11"/>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semiHidden/>
    <w:rsid w:val="00F1368B"/>
    <w:rPr>
      <w:rFonts w:cs="Times New Roman"/>
      <w:vertAlign w:val="superscript"/>
    </w:rPr>
  </w:style>
  <w:style w:type="character" w:customStyle="1" w:styleId="32">
    <w:name w:val="גוף טקסט 3 תו"/>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32"/>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3D09D3"/>
    <w:pPr>
      <w:spacing w:before="480" w:after="240"/>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D1425A"/>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a12"/>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a12">
    <w:name w:val="טקסט רגיל תו"/>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13">
    <w:name w:val="ממוספר"/>
    <w:basedOn w:val="Normal"/>
    <w:rsid w:val="00F1368B"/>
    <w:pPr>
      <w:numPr>
        <w:numId w:val="3"/>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1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5">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22">
    <w:name w:val="כניסה בגוף טקסט 2 תו"/>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22"/>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15">
    <w:name w:val="טקסט הערות שוליים תו"/>
    <w:rsid w:val="00F1368B"/>
    <w:rPr>
      <w:lang w:val="en-US" w:eastAsia="en-US"/>
    </w:rPr>
  </w:style>
  <w:style w:type="character" w:customStyle="1" w:styleId="a16">
    <w:name w:val="טקסט הערת שוליים תו"/>
    <w:locked/>
    <w:rsid w:val="00F1368B"/>
    <w:rPr>
      <w:lang w:val="en-US" w:eastAsia="en-US"/>
    </w:rPr>
  </w:style>
  <w:style w:type="character" w:customStyle="1" w:styleId="33">
    <w:name w:val="כניסה בגוף טקסט 3 תו"/>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33"/>
    <w:semiHidden/>
    <w:rsid w:val="00F1368B"/>
    <w:pPr>
      <w:spacing w:line="240" w:lineRule="exact"/>
      <w:ind w:left="283"/>
    </w:pPr>
    <w:rPr>
      <w:rFonts w:ascii="Times New Roman" w:eastAsia="Times New Roman" w:hAnsi="Times New Roman" w:cs="David"/>
      <w:sz w:val="16"/>
      <w:szCs w:val="16"/>
    </w:rPr>
  </w:style>
  <w:style w:type="paragraph" w:customStyle="1" w:styleId="16">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a17">
    <w:name w:val="כניסה בגוף טקסט תו"/>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a17"/>
    <w:semiHidden/>
    <w:rsid w:val="00F1368B"/>
    <w:pPr>
      <w:spacing w:line="240" w:lineRule="exact"/>
      <w:ind w:left="283"/>
    </w:pPr>
    <w:rPr>
      <w:rFonts w:ascii="Times New Roman" w:eastAsia="Times New Roman" w:hAnsi="Times New Roman" w:cs="David"/>
      <w:sz w:val="24"/>
      <w:szCs w:val="24"/>
    </w:rPr>
  </w:style>
  <w:style w:type="paragraph" w:customStyle="1" w:styleId="310">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0">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3">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3D09D3"/>
    <w:pPr>
      <w:spacing w:before="240"/>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0">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1">
    <w:name w:val="כותרת 41 תו"/>
    <w:rsid w:val="00F1368B"/>
    <w:rPr>
      <w:rFonts w:cs="David"/>
      <w:b/>
      <w:bCs/>
      <w:sz w:val="22"/>
      <w:szCs w:val="26"/>
    </w:rPr>
  </w:style>
  <w:style w:type="character" w:customStyle="1" w:styleId="a18">
    <w:name w:val="מפת מסמך תו"/>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a18"/>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19">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20">
    <w:name w:val="נבנצאל תו"/>
    <w:uiPriority w:val="99"/>
    <w:locked/>
    <w:rsid w:val="00F1368B"/>
    <w:rPr>
      <w:rFonts w:ascii="Rockwell" w:eastAsia="Rockwell" w:hAnsi="Rockwell" w:cs="David"/>
      <w:sz w:val="22"/>
    </w:rPr>
  </w:style>
  <w:style w:type="paragraph" w:styleId="Date">
    <w:name w:val="Date"/>
    <w:basedOn w:val="Normal"/>
    <w:next w:val="Normal"/>
    <w:link w:val="17"/>
    <w:uiPriority w:val="99"/>
    <w:rsid w:val="00F1368B"/>
    <w:pPr>
      <w:spacing w:before="120" w:after="200" w:line="240" w:lineRule="auto"/>
    </w:pPr>
    <w:rPr>
      <w:rFonts w:ascii="Rockwell" w:eastAsia="Rockwell" w:hAnsi="Rockwell" w:cs="David"/>
      <w:sz w:val="22"/>
      <w:szCs w:val="22"/>
    </w:rPr>
  </w:style>
  <w:style w:type="character" w:customStyle="1" w:styleId="17">
    <w:name w:val="תאריך תו1"/>
    <w:basedOn w:val="DefaultParagraphFont"/>
    <w:link w:val="Date"/>
    <w:uiPriority w:val="99"/>
    <w:rsid w:val="00F1368B"/>
    <w:rPr>
      <w:rFonts w:ascii="Rockwell" w:eastAsia="Rockwell" w:hAnsi="Rockwell" w:cs="David"/>
      <w:sz w:val="22"/>
      <w:szCs w:val="22"/>
    </w:rPr>
  </w:style>
  <w:style w:type="character" w:customStyle="1" w:styleId="a21">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before="120" w:line="240" w:lineRule="atLeast"/>
      <w:ind w:right="2268"/>
    </w:pPr>
    <w:rPr>
      <w:color w:val="2A2AA6"/>
      <w:sz w:val="36"/>
      <w:szCs w:val="36"/>
    </w:rPr>
  </w:style>
  <w:style w:type="paragraph" w:customStyle="1" w:styleId="KOT4S">
    <w:name w:val="KOT4S"/>
    <w:basedOn w:val="KOT4"/>
    <w:qFormat/>
    <w:rsid w:val="00D94BA9"/>
    <w:pPr>
      <w:spacing w:before="120" w:line="240" w:lineRule="atLeast"/>
    </w:pPr>
    <w:rPr>
      <w:color w:val="6B2757"/>
      <w:sz w:val="36"/>
      <w:szCs w:val="36"/>
    </w:rPr>
  </w:style>
  <w:style w:type="paragraph" w:customStyle="1" w:styleId="KOT5T">
    <w:name w:val="KOT5T"/>
    <w:basedOn w:val="KOT5"/>
    <w:qFormat/>
    <w:rsid w:val="00F8029A"/>
    <w:pPr>
      <w:spacing w:before="120" w:after="60"/>
      <w:ind w:right="2268"/>
      <w:jc w:val="center"/>
    </w:pPr>
    <w:rPr>
      <w:sz w:val="24"/>
      <w:szCs w:val="24"/>
      <w:u w:color="FF0000"/>
    </w:rPr>
  </w:style>
  <w:style w:type="paragraph" w:customStyle="1" w:styleId="KOT6T">
    <w:name w:val="KOT6T"/>
    <w:basedOn w:val="KOT6"/>
    <w:qFormat/>
    <w:rsid w:val="002D3CF6"/>
    <w:pPr>
      <w:pBdr>
        <w:left w:val="single" w:sz="8" w:space="4" w:color="2A2AA6"/>
        <w:right w:val="single" w:sz="8" w:space="4" w:color="2A2AA6"/>
      </w:pBdr>
      <w:spacing w:before="120" w:after="60"/>
      <w:ind w:left="170" w:right="2268"/>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F56BEB"/>
    <w:pPr>
      <w:spacing w:before="0"/>
    </w:pPr>
    <w:rPr>
      <w:sz w:val="36"/>
      <w:szCs w:val="36"/>
    </w:rPr>
  </w:style>
  <w:style w:type="paragraph" w:styleId="HTMLPreformatted">
    <w:name w:val="HTML Preformatted"/>
    <w:basedOn w:val="Normal"/>
    <w:link w:val="HTML"/>
    <w:uiPriority w:val="99"/>
    <w:semiHidden/>
    <w:unhideWhenUsed/>
    <w:rsid w:val="0065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bidi="ar-SA"/>
    </w:rPr>
  </w:style>
  <w:style w:type="character" w:customStyle="1" w:styleId="HTML">
    <w:name w:val="HTML מעוצב מראש תו"/>
    <w:basedOn w:val="DefaultParagraphFont"/>
    <w:link w:val="HTMLPreformatted"/>
    <w:uiPriority w:val="99"/>
    <w:semiHidden/>
    <w:rsid w:val="00653DD4"/>
    <w:rPr>
      <w:rFonts w:ascii="Courier New" w:eastAsia="Times New Roman" w:hAnsi="Courier New" w:cs="Courier New"/>
      <w:sz w:val="20"/>
      <w:szCs w:val="20"/>
      <w:lang w:bidi="ar-SA"/>
    </w:rPr>
  </w:style>
  <w:style w:type="paragraph" w:customStyle="1" w:styleId="name-sub-2">
    <w:name w:val="name-sub-2"/>
    <w:basedOn w:val="Normal"/>
    <w:qFormat/>
    <w:rsid w:val="008219C6"/>
    <w:pPr>
      <w:spacing w:line="312" w:lineRule="auto"/>
      <w:jc w:val="center"/>
    </w:pPr>
    <w:rPr>
      <w:rFonts w:ascii="Tahoma" w:eastAsia="Times New Roman" w:hAnsi="Tahoma" w:cs="Tahoma"/>
      <w:color w:val="2A2AA6"/>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styles" Target="style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customXml/item1.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header" Target="header3.xml"/><Relationship Id="rId14" Type="http://schemas.openxmlformats.org/officeDocument/2006/relationships/customXml" Target="../customXml/item3.xml"/></Relationships>
</file>

<file path=word/theme/_rels/theme1.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EDAF67-0C38-41FD-9A15-0CE3CB962507}">
  <ds:schemaRefs>
    <ds:schemaRef ds:uri="http://schemas.openxmlformats.org/officeDocument/2006/bibliography"/>
  </ds:schemaRefs>
</ds:datastoreItem>
</file>

<file path=customXml/itemProps2.xml><?xml version="1.0" encoding="utf-8"?>
<ds:datastoreItem xmlns:ds="http://schemas.openxmlformats.org/officeDocument/2006/customXml" ds:itemID="{4F4C1D5D-9CAA-47B5-A88C-64EFE52EECB6}"/>
</file>

<file path=customXml/itemProps3.xml><?xml version="1.0" encoding="utf-8"?>
<ds:datastoreItem xmlns:ds="http://schemas.openxmlformats.org/officeDocument/2006/customXml" ds:itemID="{72EAFC43-D2C3-49ED-B41E-A108741BE07B}"/>
</file>

<file path=customXml/itemProps4.xml><?xml version="1.0" encoding="utf-8"?>
<ds:datastoreItem xmlns:ds="http://schemas.openxmlformats.org/officeDocument/2006/customXml" ds:itemID="{28E7D2F0-78C4-4C6C-BBEA-7F5AF9142662}"/>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