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1.xml" ContentType="application/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7.11 -->
  <w:body>
    <w:p w:rsidR="00F56BEB" w:rsidP="00211D07">
      <w:pPr>
        <w:pStyle w:val="NAME"/>
        <w:rPr>
          <w:rtl/>
        </w:rPr>
      </w:pPr>
      <w:bookmarkStart w:id="0" w:name="_Toc349122061"/>
      <w:bookmarkStart w:id="1" w:name="_Toc349136480"/>
      <w:bookmarkStart w:id="2" w:name="_Toc352831083"/>
      <w:bookmarkStart w:id="3" w:name="_Toc354324568"/>
      <w:bookmarkStart w:id="4" w:name="_Toc354661923"/>
      <w:r w:rsidRPr="009B6D36">
        <w:rPr>
          <w:rFonts w:hint="eastAsia"/>
          <w:rtl/>
        </w:rPr>
        <w:t>משרד</w:t>
      </w:r>
      <w:r w:rsidRPr="009B6D36">
        <w:rPr>
          <w:rtl/>
        </w:rPr>
        <w:t xml:space="preserve"> </w:t>
      </w:r>
      <w:r w:rsidRPr="009B6D36">
        <w:rPr>
          <w:rFonts w:hint="eastAsia"/>
          <w:rtl/>
        </w:rPr>
        <w:t>העבודה</w:t>
      </w:r>
      <w:r w:rsidRPr="009B6D36">
        <w:rPr>
          <w:rtl/>
        </w:rPr>
        <w:t xml:space="preserve">, </w:t>
      </w:r>
      <w:r w:rsidRPr="009B6D36">
        <w:rPr>
          <w:rFonts w:hint="eastAsia"/>
          <w:rtl/>
        </w:rPr>
        <w:t>הרווחה</w:t>
      </w:r>
      <w:r w:rsidRPr="009B6D36">
        <w:rPr>
          <w:rtl/>
        </w:rPr>
        <w:t xml:space="preserve"> </w:t>
      </w:r>
      <w:r w:rsidRPr="009B6D36">
        <w:rPr>
          <w:rFonts w:hint="eastAsia"/>
          <w:rtl/>
        </w:rPr>
        <w:t>והשירותים</w:t>
      </w:r>
      <w:r w:rsidRPr="009B6D36">
        <w:rPr>
          <w:rtl/>
        </w:rPr>
        <w:t xml:space="preserve"> </w:t>
      </w:r>
      <w:r w:rsidRPr="009B6D36">
        <w:rPr>
          <w:rFonts w:hint="eastAsia"/>
          <w:rtl/>
        </w:rPr>
        <w:t>החברתיים</w:t>
      </w:r>
    </w:p>
    <w:p w:rsidR="000217C4" w:rsidRPr="00C20745" w:rsidP="00211D07">
      <w:pPr>
        <w:pStyle w:val="name-sub"/>
      </w:pPr>
      <w:r w:rsidRPr="009B6D36">
        <w:rPr>
          <w:rFonts w:hint="eastAsia"/>
          <w:rtl/>
        </w:rPr>
        <w:t>‏היבטים</w:t>
      </w:r>
      <w:r w:rsidRPr="009B6D36">
        <w:rPr>
          <w:rtl/>
        </w:rPr>
        <w:t xml:space="preserve"> </w:t>
      </w:r>
      <w:r w:rsidRPr="009B6D36">
        <w:rPr>
          <w:rFonts w:hint="eastAsia"/>
          <w:rtl/>
        </w:rPr>
        <w:t>בטיפול</w:t>
      </w:r>
      <w:r w:rsidRPr="009B6D36">
        <w:rPr>
          <w:rtl/>
        </w:rPr>
        <w:t xml:space="preserve"> </w:t>
      </w:r>
      <w:r w:rsidRPr="009B6D36">
        <w:rPr>
          <w:rFonts w:hint="eastAsia"/>
          <w:rtl/>
        </w:rPr>
        <w:t>המדינה</w:t>
      </w:r>
      <w:r w:rsidRPr="009B6D36">
        <w:rPr>
          <w:rtl/>
        </w:rPr>
        <w:t xml:space="preserve"> </w:t>
      </w:r>
      <w:r w:rsidRPr="009B6D36">
        <w:rPr>
          <w:rFonts w:hint="eastAsia"/>
          <w:rtl/>
        </w:rPr>
        <w:t>בהתמכרויות</w:t>
      </w:r>
      <w:r w:rsidRPr="009B6D36">
        <w:rPr>
          <w:rtl/>
        </w:rPr>
        <w:t xml:space="preserve"> </w:t>
      </w:r>
      <w:r w:rsidRPr="009B6D36">
        <w:rPr>
          <w:rFonts w:hint="eastAsia"/>
          <w:rtl/>
        </w:rPr>
        <w:t>למיניהן</w:t>
      </w:r>
    </w:p>
    <w:p w:rsidR="00E077B7" w:rsidRPr="00F6155F" w:rsidP="00211D07">
      <w:pPr>
        <w:spacing w:line="240" w:lineRule="exact"/>
        <w:ind w:right="2268"/>
        <w:jc w:val="both"/>
        <w:rPr>
          <w:rFonts w:ascii="Tahoma" w:hAnsi="Tahoma" w:cs="Tahoma"/>
          <w:sz w:val="18"/>
          <w:szCs w:val="18"/>
          <w:rtl/>
        </w:rPr>
      </w:pPr>
    </w:p>
    <w:p w:rsidR="006C5F46" w:rsidRPr="00E077B7" w:rsidP="00211D07">
      <w:pPr>
        <w:pStyle w:val="NAME"/>
        <w:rPr>
          <w:rtl/>
        </w:rPr>
        <w:sectPr w:rsidSect="00932FFD">
          <w:headerReference w:type="even" r:id="rId6"/>
          <w:headerReference w:type="default" r:id="rId7"/>
          <w:pgSz w:w="11906" w:h="16838" w:code="9"/>
          <w:pgMar w:top="3119" w:right="1701" w:bottom="3119" w:left="1701" w:header="1559" w:footer="709" w:gutter="0"/>
          <w:pgNumType w:start="1455"/>
          <w:cols w:space="708"/>
          <w:titlePg/>
          <w:bidi/>
          <w:rtlGutter/>
          <w:docGrid w:linePitch="360"/>
        </w:sectPr>
      </w:pPr>
    </w:p>
    <w:p w:rsidR="006C5F46" w:rsidRPr="00CF3645" w:rsidP="00211D07">
      <w:pPr>
        <w:pStyle w:val="Footer"/>
        <w:spacing w:after="120" w:line="230" w:lineRule="exact"/>
        <w:jc w:val="both"/>
        <w:rPr>
          <w:rFonts w:ascii="Tahoma" w:hAnsi="Tahoma" w:cs="Tahoma"/>
          <w:color w:val="2A2AA6"/>
          <w:szCs w:val="22"/>
          <w:rtl/>
        </w:rPr>
      </w:pPr>
    </w:p>
    <w:p w:rsidR="006C5F46" w:rsidP="00211D07">
      <w:pPr>
        <w:pStyle w:val="KOT4"/>
        <w:rPr>
          <w:rtl/>
        </w:rPr>
        <w:sectPr w:rsidSect="00C20745">
          <w:pgSz w:w="11906" w:h="16838" w:code="9"/>
          <w:pgMar w:top="3119" w:right="1701" w:bottom="3119" w:left="1701" w:header="1559" w:footer="709" w:gutter="0"/>
          <w:cols w:space="708"/>
          <w:titlePg/>
          <w:bidi/>
          <w:rtlGutter/>
          <w:docGrid w:linePitch="360"/>
        </w:sectPr>
      </w:pPr>
    </w:p>
    <w:p w:rsidR="003D09D3" w:rsidRPr="00D94BA9" w:rsidP="00211D07">
      <w:pPr>
        <w:pStyle w:val="KOT3T"/>
        <w:keepLines/>
        <w:rPr>
          <w:rtl/>
        </w:rPr>
      </w:pPr>
      <w:r w:rsidRPr="00D94BA9">
        <w:rPr>
          <w:rtl/>
        </w:rPr>
        <w:t>תקציר</w:t>
      </w:r>
    </w:p>
    <w:p w:rsidR="00E77874" w:rsidRPr="003D09D3" w:rsidP="00211D07">
      <w:pPr>
        <w:pStyle w:val="KOT4T"/>
        <w:rPr>
          <w:rtl/>
        </w:rPr>
      </w:pPr>
      <w:r w:rsidRPr="00B12E08">
        <w:rPr>
          <w:rFonts w:hint="eastAsia"/>
          <w:rtl/>
        </w:rPr>
        <w:t>רקע</w:t>
      </w:r>
      <w:r w:rsidRPr="00B12E08">
        <w:rPr>
          <w:rtl/>
        </w:rPr>
        <w:t xml:space="preserve"> </w:t>
      </w:r>
      <w:r w:rsidRPr="00B12E08">
        <w:rPr>
          <w:rFonts w:hint="eastAsia"/>
          <w:rtl/>
        </w:rPr>
        <w:t>כללי</w:t>
      </w:r>
    </w:p>
    <w:p w:rsidR="001D6D5E" w:rsidRPr="007E10DE" w:rsidP="00211D07">
      <w:pPr>
        <w:pStyle w:val="takzir-text"/>
        <w:bidi/>
        <w:rPr>
          <w:rtl/>
        </w:rPr>
      </w:pPr>
      <w:r w:rsidRPr="00741AC7">
        <w:rPr>
          <w:rFonts w:eastAsia="Times New Roman"/>
          <w:sz w:val="24"/>
          <w:rtl/>
        </w:rPr>
        <w:t xml:space="preserve">התמכרות </w:t>
      </w:r>
      <w:r w:rsidRPr="00741AC7">
        <w:rPr>
          <w:rFonts w:eastAsia="Times New Roman" w:hint="cs"/>
          <w:sz w:val="24"/>
          <w:rtl/>
        </w:rPr>
        <w:t xml:space="preserve">היא </w:t>
      </w:r>
      <w:r>
        <w:rPr>
          <w:rFonts w:eastAsia="Times New Roman" w:hint="cs"/>
          <w:sz w:val="24"/>
          <w:rtl/>
        </w:rPr>
        <w:t xml:space="preserve">מצב של </w:t>
      </w:r>
      <w:r w:rsidRPr="00741AC7">
        <w:rPr>
          <w:rFonts w:eastAsia="Times New Roman"/>
          <w:sz w:val="24"/>
          <w:rtl/>
        </w:rPr>
        <w:t>תלות נפשית ופיזית בחומר</w:t>
      </w:r>
      <w:r>
        <w:rPr>
          <w:rFonts w:eastAsia="Times New Roman" w:hint="cs"/>
          <w:sz w:val="24"/>
          <w:rtl/>
        </w:rPr>
        <w:t>ים</w:t>
      </w:r>
      <w:r w:rsidRPr="00741AC7">
        <w:rPr>
          <w:rFonts w:eastAsia="Times New Roman"/>
          <w:sz w:val="24"/>
          <w:rtl/>
        </w:rPr>
        <w:t xml:space="preserve"> פסיכו-אקטיבי</w:t>
      </w:r>
      <w:r>
        <w:rPr>
          <w:rFonts w:eastAsia="Times New Roman" w:hint="cs"/>
          <w:sz w:val="24"/>
          <w:rtl/>
        </w:rPr>
        <w:t>ים</w:t>
      </w:r>
      <w:r w:rsidRPr="00741AC7">
        <w:rPr>
          <w:rFonts w:eastAsia="Times New Roman"/>
          <w:sz w:val="24"/>
          <w:rtl/>
        </w:rPr>
        <w:t xml:space="preserve"> </w:t>
      </w:r>
      <w:r>
        <w:rPr>
          <w:rFonts w:eastAsia="Times New Roman" w:hint="cs"/>
          <w:sz w:val="24"/>
          <w:rtl/>
        </w:rPr>
        <w:t xml:space="preserve">כמו </w:t>
      </w:r>
      <w:r w:rsidRPr="00741AC7">
        <w:rPr>
          <w:rFonts w:eastAsia="Times New Roman" w:hint="cs"/>
          <w:sz w:val="24"/>
          <w:rtl/>
        </w:rPr>
        <w:t>סמים או אלכוהול (להלן - חומרים</w:t>
      </w:r>
      <w:r>
        <w:rPr>
          <w:rFonts w:eastAsia="Times New Roman" w:hint="cs"/>
          <w:sz w:val="24"/>
          <w:rtl/>
        </w:rPr>
        <w:t xml:space="preserve"> ממכרים</w:t>
      </w:r>
      <w:r w:rsidRPr="00741AC7">
        <w:rPr>
          <w:rFonts w:eastAsia="Times New Roman" w:hint="cs"/>
          <w:sz w:val="24"/>
          <w:rtl/>
        </w:rPr>
        <w:t xml:space="preserve">) </w:t>
      </w:r>
      <w:r w:rsidRPr="00741AC7">
        <w:rPr>
          <w:rFonts w:eastAsia="Times New Roman"/>
          <w:sz w:val="24"/>
          <w:rtl/>
        </w:rPr>
        <w:t>או בהתנהגות</w:t>
      </w:r>
      <w:r w:rsidRPr="00741AC7">
        <w:rPr>
          <w:rFonts w:eastAsia="Times New Roman" w:hint="cs"/>
          <w:sz w:val="24"/>
          <w:rtl/>
        </w:rPr>
        <w:t xml:space="preserve"> מסוימת כגון הימורים</w:t>
      </w:r>
      <w:r>
        <w:rPr>
          <w:rStyle w:val="FootnoteReference0"/>
          <w:rFonts w:eastAsia="Times New Roman"/>
          <w:sz w:val="24"/>
          <w:rtl/>
        </w:rPr>
        <w:footnoteReference w:id="2"/>
      </w:r>
      <w:r>
        <w:rPr>
          <w:rFonts w:eastAsia="Times New Roman" w:hint="cs"/>
          <w:sz w:val="24"/>
          <w:rtl/>
        </w:rPr>
        <w:t>.</w:t>
      </w:r>
      <w:r w:rsidRPr="00741AC7">
        <w:rPr>
          <w:rFonts w:eastAsia="Times New Roman" w:hint="cs"/>
          <w:sz w:val="24"/>
          <w:rtl/>
        </w:rPr>
        <w:t xml:space="preserve"> </w:t>
      </w:r>
      <w:r>
        <w:rPr>
          <w:rFonts w:eastAsia="Times New Roman" w:hint="cs"/>
          <w:sz w:val="24"/>
          <w:rtl/>
        </w:rPr>
        <w:t xml:space="preserve">היא </w:t>
      </w:r>
      <w:r w:rsidRPr="00741AC7">
        <w:rPr>
          <w:rFonts w:eastAsia="Times New Roman" w:hint="cs"/>
          <w:sz w:val="24"/>
          <w:rtl/>
        </w:rPr>
        <w:t xml:space="preserve">מתבטאת בחוסר יכולת </w:t>
      </w:r>
      <w:r w:rsidRPr="00013FBB">
        <w:rPr>
          <w:rFonts w:eastAsia="Times New Roman" w:hint="eastAsia"/>
          <w:sz w:val="24"/>
          <w:rtl/>
        </w:rPr>
        <w:t>ל</w:t>
      </w:r>
      <w:r w:rsidRPr="00013FBB">
        <w:rPr>
          <w:rFonts w:eastAsia="Times New Roman" w:hint="cs"/>
          <w:sz w:val="24"/>
          <w:rtl/>
        </w:rPr>
        <w:t>צאת</w:t>
      </w:r>
      <w:r w:rsidRPr="00741AC7">
        <w:rPr>
          <w:rFonts w:eastAsia="Times New Roman" w:hint="cs"/>
          <w:sz w:val="24"/>
          <w:rtl/>
        </w:rPr>
        <w:t xml:space="preserve"> </w:t>
      </w:r>
      <w:r>
        <w:rPr>
          <w:rFonts w:eastAsia="Times New Roman" w:hint="cs"/>
          <w:sz w:val="24"/>
          <w:rtl/>
        </w:rPr>
        <w:t>מ</w:t>
      </w:r>
      <w:r w:rsidRPr="00741AC7">
        <w:rPr>
          <w:rFonts w:eastAsia="Times New Roman" w:hint="cs"/>
          <w:sz w:val="24"/>
          <w:rtl/>
        </w:rPr>
        <w:t xml:space="preserve">מעגל השימוש החוזר בחומרים </w:t>
      </w:r>
      <w:r>
        <w:rPr>
          <w:rFonts w:eastAsia="Times New Roman" w:hint="cs"/>
          <w:sz w:val="24"/>
          <w:rtl/>
        </w:rPr>
        <w:t xml:space="preserve">הממכרים </w:t>
      </w:r>
      <w:r w:rsidRPr="00741AC7">
        <w:rPr>
          <w:rFonts w:eastAsia="Times New Roman" w:hint="cs"/>
          <w:sz w:val="24"/>
          <w:rtl/>
        </w:rPr>
        <w:t>או</w:t>
      </w:r>
      <w:r>
        <w:rPr>
          <w:rFonts w:eastAsia="Times New Roman" w:hint="cs"/>
          <w:sz w:val="24"/>
          <w:rtl/>
        </w:rPr>
        <w:t xml:space="preserve"> להפסיק את</w:t>
      </w:r>
      <w:r w:rsidRPr="00741AC7">
        <w:rPr>
          <w:rFonts w:eastAsia="Times New Roman" w:hint="cs"/>
          <w:sz w:val="24"/>
          <w:rtl/>
        </w:rPr>
        <w:t xml:space="preserve"> </w:t>
      </w:r>
      <w:r>
        <w:rPr>
          <w:rFonts w:eastAsia="Times New Roman" w:hint="cs"/>
          <w:sz w:val="24"/>
          <w:rtl/>
        </w:rPr>
        <w:t>ה</w:t>
      </w:r>
      <w:r w:rsidRPr="00741AC7">
        <w:rPr>
          <w:rFonts w:eastAsia="Times New Roman" w:hint="cs"/>
          <w:sz w:val="24"/>
          <w:rtl/>
        </w:rPr>
        <w:t>התנהגות</w:t>
      </w:r>
      <w:r w:rsidRPr="00013FBB">
        <w:rPr>
          <w:rFonts w:eastAsia="Times New Roman" w:hint="cs"/>
          <w:sz w:val="24"/>
          <w:rtl/>
        </w:rPr>
        <w:t xml:space="preserve"> </w:t>
      </w:r>
      <w:r w:rsidRPr="00013FBB">
        <w:rPr>
          <w:rFonts w:eastAsia="Times New Roman" w:hint="eastAsia"/>
          <w:sz w:val="24"/>
          <w:rtl/>
        </w:rPr>
        <w:t>המזיקה</w:t>
      </w:r>
      <w:r w:rsidRPr="00013FBB">
        <w:rPr>
          <w:rFonts w:eastAsia="Times New Roman" w:hint="cs"/>
          <w:sz w:val="24"/>
          <w:rtl/>
        </w:rPr>
        <w:t xml:space="preserve"> </w:t>
      </w:r>
      <w:r>
        <w:rPr>
          <w:rFonts w:eastAsia="Times New Roman" w:hint="cs"/>
          <w:sz w:val="24"/>
          <w:rtl/>
        </w:rPr>
        <w:t>ו</w:t>
      </w:r>
      <w:r w:rsidRPr="00741AC7">
        <w:rPr>
          <w:rFonts w:eastAsia="Times New Roman" w:hint="cs"/>
          <w:sz w:val="24"/>
          <w:rtl/>
        </w:rPr>
        <w:t>לשלוט</w:t>
      </w:r>
      <w:r>
        <w:rPr>
          <w:rFonts w:eastAsia="Times New Roman" w:hint="cs"/>
          <w:sz w:val="24"/>
          <w:rtl/>
        </w:rPr>
        <w:t xml:space="preserve"> בתלות הזאת</w:t>
      </w:r>
      <w:r w:rsidRPr="00741AC7">
        <w:rPr>
          <w:rFonts w:eastAsia="Times New Roman" w:hint="cs"/>
          <w:sz w:val="24"/>
          <w:rtl/>
        </w:rPr>
        <w:t xml:space="preserve">. במקרים רבים ההתמכרות </w:t>
      </w:r>
      <w:r>
        <w:rPr>
          <w:rFonts w:eastAsia="Times New Roman" w:hint="cs"/>
          <w:sz w:val="24"/>
          <w:rtl/>
        </w:rPr>
        <w:t>מביאה ל</w:t>
      </w:r>
      <w:r w:rsidRPr="00741AC7">
        <w:rPr>
          <w:rFonts w:eastAsia="Times New Roman" w:hint="cs"/>
          <w:sz w:val="24"/>
          <w:rtl/>
        </w:rPr>
        <w:t>הידרדרות במצב ה</w:t>
      </w:r>
      <w:r w:rsidRPr="00741AC7">
        <w:rPr>
          <w:rFonts w:eastAsia="Times New Roman"/>
          <w:sz w:val="24"/>
          <w:rtl/>
        </w:rPr>
        <w:t>כלכלי</w:t>
      </w:r>
      <w:r>
        <w:rPr>
          <w:rFonts w:eastAsia="Times New Roman" w:hint="cs"/>
          <w:sz w:val="24"/>
          <w:rtl/>
        </w:rPr>
        <w:t xml:space="preserve"> </w:t>
      </w:r>
      <w:r w:rsidRPr="00741AC7">
        <w:rPr>
          <w:rFonts w:eastAsia="Times New Roman" w:hint="cs"/>
          <w:sz w:val="24"/>
          <w:rtl/>
        </w:rPr>
        <w:t>והחברתי</w:t>
      </w:r>
      <w:r>
        <w:rPr>
          <w:rFonts w:eastAsia="Times New Roman" w:hint="cs"/>
          <w:sz w:val="24"/>
          <w:rtl/>
        </w:rPr>
        <w:t>, ל</w:t>
      </w:r>
      <w:r w:rsidRPr="00741AC7">
        <w:rPr>
          <w:rFonts w:eastAsia="Times New Roman"/>
          <w:sz w:val="24"/>
          <w:rtl/>
        </w:rPr>
        <w:t>סיכון מוגבר למוות ולתחלואה</w:t>
      </w:r>
      <w:r>
        <w:rPr>
          <w:rFonts w:eastAsia="Times New Roman" w:hint="cs"/>
          <w:sz w:val="24"/>
          <w:rtl/>
        </w:rPr>
        <w:t>,</w:t>
      </w:r>
      <w:r w:rsidRPr="00741AC7">
        <w:rPr>
          <w:rFonts w:eastAsia="Times New Roman"/>
          <w:sz w:val="24"/>
          <w:rtl/>
        </w:rPr>
        <w:t xml:space="preserve"> </w:t>
      </w:r>
      <w:r>
        <w:rPr>
          <w:rFonts w:eastAsia="Times New Roman"/>
          <w:sz w:val="24"/>
          <w:rtl/>
        </w:rPr>
        <w:t>להתנהגות אנטי חברתית</w:t>
      </w:r>
      <w:r>
        <w:rPr>
          <w:rFonts w:eastAsia="Times New Roman" w:hint="cs"/>
          <w:sz w:val="24"/>
          <w:rtl/>
        </w:rPr>
        <w:t xml:space="preserve"> ולפגיעה במשפחה</w:t>
      </w:r>
      <w:r w:rsidRPr="00741AC7">
        <w:rPr>
          <w:rFonts w:eastAsia="Times New Roman"/>
          <w:sz w:val="24"/>
          <w:rtl/>
        </w:rPr>
        <w:t>.</w:t>
      </w:r>
      <w:r>
        <w:rPr>
          <w:rFonts w:eastAsia="Times New Roman" w:hint="cs"/>
          <w:sz w:val="24"/>
          <w:rtl/>
        </w:rPr>
        <w:t xml:space="preserve"> </w:t>
      </w:r>
      <w:r w:rsidRPr="00741AC7">
        <w:rPr>
          <w:rFonts w:eastAsia="Times New Roman" w:hint="cs"/>
          <w:sz w:val="24"/>
          <w:rtl/>
        </w:rPr>
        <w:t xml:space="preserve">לפי הערכה של </w:t>
      </w:r>
      <w:r w:rsidRPr="00902561">
        <w:rPr>
          <w:rtl/>
          <w:lang w:eastAsia="he-IL"/>
        </w:rPr>
        <w:t>משרד העבודה, הרווחה והשירותים החברתיים</w:t>
      </w:r>
      <w:r w:rsidRPr="00902561">
        <w:rPr>
          <w:rFonts w:hint="cs"/>
          <w:rtl/>
          <w:lang w:eastAsia="he-IL"/>
        </w:rPr>
        <w:t xml:space="preserve"> </w:t>
      </w:r>
      <w:r>
        <w:rPr>
          <w:rFonts w:hint="cs"/>
          <w:rtl/>
          <w:lang w:eastAsia="he-IL"/>
        </w:rPr>
        <w:t xml:space="preserve">(להלן - </w:t>
      </w:r>
      <w:r w:rsidRPr="00741AC7">
        <w:rPr>
          <w:rFonts w:eastAsia="Times New Roman" w:hint="cs"/>
          <w:sz w:val="24"/>
          <w:rtl/>
        </w:rPr>
        <w:t>משרד הרווחה</w:t>
      </w:r>
      <w:r>
        <w:rPr>
          <w:rFonts w:eastAsia="Times New Roman" w:hint="cs"/>
          <w:sz w:val="24"/>
          <w:rtl/>
        </w:rPr>
        <w:t>)</w:t>
      </w:r>
      <w:r w:rsidRPr="00741AC7">
        <w:rPr>
          <w:rFonts w:eastAsia="Times New Roman" w:hint="cs"/>
          <w:sz w:val="24"/>
          <w:rtl/>
        </w:rPr>
        <w:t xml:space="preserve"> </w:t>
      </w:r>
      <w:r>
        <w:rPr>
          <w:rFonts w:eastAsia="Times New Roman"/>
          <w:sz w:val="24"/>
          <w:rtl/>
        </w:rPr>
        <w:br/>
      </w:r>
      <w:r w:rsidRPr="00B71287">
        <w:rPr>
          <w:rFonts w:eastAsia="Times New Roman" w:hint="cs"/>
          <w:sz w:val="24"/>
          <w:rtl/>
        </w:rPr>
        <w:t>כ-120,000 איש</w:t>
      </w:r>
      <w:r w:rsidRPr="00741AC7">
        <w:rPr>
          <w:rFonts w:eastAsia="Times New Roman" w:hint="cs"/>
          <w:sz w:val="24"/>
          <w:rtl/>
        </w:rPr>
        <w:t xml:space="preserve"> בישראל סובלים מבעיית התמכרות</w:t>
      </w:r>
      <w:r>
        <w:rPr>
          <w:rStyle w:val="FootnoteReference0"/>
          <w:rFonts w:eastAsia="Times New Roman"/>
          <w:sz w:val="24"/>
          <w:rtl/>
        </w:rPr>
        <w:footnoteReference w:id="3"/>
      </w:r>
      <w:r w:rsidRPr="00741AC7">
        <w:rPr>
          <w:rFonts w:eastAsia="Times New Roman" w:hint="cs"/>
          <w:sz w:val="24"/>
          <w:rtl/>
        </w:rPr>
        <w:t>.</w:t>
      </w:r>
    </w:p>
    <w:p w:rsidR="001D6D5E" w:rsidRPr="007E10DE" w:rsidP="00335CD4">
      <w:pPr>
        <w:pStyle w:val="takzir-text"/>
        <w:bidi/>
        <w:rPr>
          <w:rtl/>
        </w:rPr>
      </w:pPr>
      <w:r>
        <w:rPr>
          <w:rFonts w:hint="cs"/>
          <w:rtl/>
          <w:lang w:eastAsia="he-IL"/>
        </w:rPr>
        <w:t>מטרת הטיפול בהתמכרות היא</w:t>
      </w:r>
      <w:r w:rsidRPr="00741AC7">
        <w:rPr>
          <w:rFonts w:hint="cs"/>
          <w:rtl/>
          <w:lang w:eastAsia="he-IL"/>
        </w:rPr>
        <w:t xml:space="preserve"> לסייע </w:t>
      </w:r>
      <w:r w:rsidRPr="00263865">
        <w:rPr>
          <w:rtl/>
          <w:lang w:eastAsia="he-IL"/>
        </w:rPr>
        <w:t>ל</w:t>
      </w:r>
      <w:r>
        <w:rPr>
          <w:rFonts w:hint="cs"/>
          <w:rtl/>
          <w:lang w:eastAsia="he-IL"/>
        </w:rPr>
        <w:t xml:space="preserve">אלו </w:t>
      </w:r>
      <w:r w:rsidRPr="006F7E7F">
        <w:rPr>
          <w:rtl/>
          <w:lang w:eastAsia="he-IL"/>
        </w:rPr>
        <w:t>שמשתמשים לרעה בחומרים או מכורים להם או להתנהגות מזיקה (להלן - מכורים)</w:t>
      </w:r>
      <w:r>
        <w:rPr>
          <w:rFonts w:hint="cs"/>
          <w:rtl/>
          <w:lang w:eastAsia="he-IL"/>
        </w:rPr>
        <w:t xml:space="preserve"> </w:t>
      </w:r>
      <w:r w:rsidRPr="00741AC7">
        <w:rPr>
          <w:rFonts w:hint="cs"/>
          <w:rtl/>
          <w:lang w:eastAsia="he-IL"/>
        </w:rPr>
        <w:t xml:space="preserve">לשנות </w:t>
      </w:r>
      <w:r>
        <w:rPr>
          <w:rFonts w:hint="cs"/>
          <w:rtl/>
          <w:lang w:eastAsia="he-IL"/>
        </w:rPr>
        <w:t xml:space="preserve">את </w:t>
      </w:r>
      <w:r w:rsidRPr="00741AC7">
        <w:rPr>
          <w:rFonts w:hint="cs"/>
          <w:rtl/>
          <w:lang w:eastAsia="he-IL"/>
        </w:rPr>
        <w:t xml:space="preserve">דפוסי </w:t>
      </w:r>
      <w:r>
        <w:rPr>
          <w:rFonts w:hint="cs"/>
          <w:rtl/>
          <w:lang w:eastAsia="he-IL"/>
        </w:rPr>
        <w:t>ה</w:t>
      </w:r>
      <w:r w:rsidRPr="00741AC7">
        <w:rPr>
          <w:rFonts w:hint="cs"/>
          <w:rtl/>
          <w:lang w:eastAsia="he-IL"/>
        </w:rPr>
        <w:t>חשיבה ו</w:t>
      </w:r>
      <w:r>
        <w:rPr>
          <w:rFonts w:hint="cs"/>
          <w:rtl/>
          <w:lang w:eastAsia="he-IL"/>
        </w:rPr>
        <w:t>ה</w:t>
      </w:r>
      <w:r w:rsidRPr="00741AC7">
        <w:rPr>
          <w:rFonts w:hint="cs"/>
          <w:rtl/>
          <w:lang w:eastAsia="he-IL"/>
        </w:rPr>
        <w:t>התנהגות</w:t>
      </w:r>
      <w:r>
        <w:rPr>
          <w:rFonts w:hint="cs"/>
          <w:rtl/>
          <w:lang w:eastAsia="he-IL"/>
        </w:rPr>
        <w:t xml:space="preserve"> שלהם ולסייע להם</w:t>
      </w:r>
      <w:r w:rsidRPr="00741AC7">
        <w:rPr>
          <w:rFonts w:hint="cs"/>
          <w:rtl/>
          <w:lang w:eastAsia="he-IL"/>
        </w:rPr>
        <w:t xml:space="preserve"> לחזור ולתפקד באופן נורמטיבי</w:t>
      </w:r>
      <w:r w:rsidRPr="00741AC7">
        <w:rPr>
          <w:rFonts w:hint="cs"/>
          <w:rtl/>
        </w:rPr>
        <w:t>.</w:t>
      </w:r>
      <w:r>
        <w:rPr>
          <w:rFonts w:hint="cs"/>
          <w:rtl/>
          <w:lang w:eastAsia="he-IL"/>
        </w:rPr>
        <w:t xml:space="preserve"> השלב הראשון בטיפול במכור לאחר איתורו הוא שלב הגמילה הגופנית. </w:t>
      </w:r>
      <w:r w:rsidRPr="00F2494C">
        <w:rPr>
          <w:rFonts w:hint="cs"/>
          <w:rtl/>
        </w:rPr>
        <w:t>המחלקה לטיפול בהתמכרויות במשרד הבריאות</w:t>
      </w:r>
      <w:r>
        <w:rPr>
          <w:rFonts w:hint="cs"/>
          <w:rtl/>
        </w:rPr>
        <w:t xml:space="preserve"> (להלן - המחלקה להתמכרויות) אחראית לקביעת מדיניות משרד הבריאות בתחום הטיפול בהתמכרויות ולמתן ייעוץ מקצועי וארגוני למערך הרפואה הארצי.</w:t>
      </w:r>
      <w:r>
        <w:rPr>
          <w:rFonts w:hint="cs"/>
          <w:rtl/>
          <w:lang w:eastAsia="he-IL"/>
        </w:rPr>
        <w:t xml:space="preserve"> השלב השני בטיפול הוא טיפול פסיכו-סוציאלי. </w:t>
      </w:r>
      <w:r>
        <w:rPr>
          <w:rtl/>
        </w:rPr>
        <w:t>הש</w:t>
      </w:r>
      <w:r>
        <w:rPr>
          <w:rFonts w:hint="cs"/>
          <w:rtl/>
        </w:rPr>
        <w:t>י</w:t>
      </w:r>
      <w:r>
        <w:rPr>
          <w:rtl/>
        </w:rPr>
        <w:t xml:space="preserve">רות </w:t>
      </w:r>
      <w:r>
        <w:rPr>
          <w:rFonts w:hint="cs"/>
          <w:rtl/>
          <w:lang w:eastAsia="he-IL"/>
        </w:rPr>
        <w:t xml:space="preserve">לטיפול בהתמכרויות במשרד הרווחה (להלן - השירות </w:t>
      </w:r>
      <w:r>
        <w:rPr>
          <w:rFonts w:hint="cs"/>
          <w:rtl/>
        </w:rPr>
        <w:t>להתמכרויות) אחראי לקביעת</w:t>
      </w:r>
      <w:r>
        <w:rPr>
          <w:rtl/>
        </w:rPr>
        <w:t xml:space="preserve"> מדיניות ארצית בתחום הטיפול במכורים, </w:t>
      </w:r>
      <w:r>
        <w:rPr>
          <w:rFonts w:hint="cs"/>
          <w:rtl/>
        </w:rPr>
        <w:t xml:space="preserve">ומתפקידו ליזום ולקדם </w:t>
      </w:r>
      <w:r>
        <w:rPr>
          <w:rtl/>
        </w:rPr>
        <w:t xml:space="preserve">הקמת מסגרות לטיפול במכורים </w:t>
      </w:r>
      <w:r>
        <w:rPr>
          <w:rFonts w:hint="cs"/>
          <w:rtl/>
        </w:rPr>
        <w:t>ולממן את</w:t>
      </w:r>
      <w:r>
        <w:rPr>
          <w:rtl/>
        </w:rPr>
        <w:t xml:space="preserve"> הפעלתן</w:t>
      </w:r>
      <w:r>
        <w:rPr>
          <w:rFonts w:hint="cs"/>
          <w:rtl/>
        </w:rPr>
        <w:t>,</w:t>
      </w:r>
      <w:r>
        <w:rPr>
          <w:rtl/>
        </w:rPr>
        <w:t xml:space="preserve"> </w:t>
      </w:r>
      <w:r>
        <w:rPr>
          <w:rFonts w:hint="cs"/>
          <w:rtl/>
        </w:rPr>
        <w:t>וכן ליזום ולפתח</w:t>
      </w:r>
      <w:r>
        <w:rPr>
          <w:rtl/>
        </w:rPr>
        <w:t xml:space="preserve"> </w:t>
      </w:r>
      <w:r>
        <w:rPr>
          <w:rtl/>
        </w:rPr>
        <w:t>ת</w:t>
      </w:r>
      <w:r>
        <w:rPr>
          <w:rFonts w:hint="cs"/>
          <w:rtl/>
        </w:rPr>
        <w:t>ו</w:t>
      </w:r>
      <w:r>
        <w:rPr>
          <w:rtl/>
        </w:rPr>
        <w:t>כניות</w:t>
      </w:r>
      <w:r>
        <w:rPr>
          <w:rtl/>
        </w:rPr>
        <w:t xml:space="preserve"> </w:t>
      </w:r>
      <w:r>
        <w:rPr>
          <w:rFonts w:hint="cs"/>
          <w:rtl/>
        </w:rPr>
        <w:t>ל</w:t>
      </w:r>
      <w:r>
        <w:rPr>
          <w:rtl/>
        </w:rPr>
        <w:t>טיפול</w:t>
      </w:r>
      <w:r>
        <w:rPr>
          <w:rFonts w:hint="cs"/>
          <w:rtl/>
        </w:rPr>
        <w:t xml:space="preserve"> במכורים</w:t>
      </w:r>
      <w:r>
        <w:rPr>
          <w:rtl/>
        </w:rPr>
        <w:t xml:space="preserve"> ו</w:t>
      </w:r>
      <w:r>
        <w:rPr>
          <w:rFonts w:hint="cs"/>
          <w:rtl/>
        </w:rPr>
        <w:t>ל</w:t>
      </w:r>
      <w:r>
        <w:rPr>
          <w:rtl/>
        </w:rPr>
        <w:t>שיקו</w:t>
      </w:r>
      <w:r>
        <w:rPr>
          <w:rFonts w:hint="cs"/>
          <w:rtl/>
        </w:rPr>
        <w:t>מ</w:t>
      </w:r>
      <w:r>
        <w:rPr>
          <w:rtl/>
        </w:rPr>
        <w:t>ם.</w:t>
      </w:r>
      <w:r w:rsidRPr="00290C9B" w:rsidR="00290C9B">
        <w:rPr>
          <w:szCs w:val="17"/>
          <w:rtl/>
        </w:rPr>
        <w:t xml:space="preserve"> </w:t>
      </w:r>
      <w:r w:rsidRPr="0012789B" w:rsidR="00290C9B">
        <w:rPr>
          <w:noProof/>
          <w:szCs w:val="17"/>
          <w:rtl/>
        </w:rPr>
        <mc:AlternateContent>
          <mc:Choice Requires="wps">
            <w:drawing>
              <wp:anchor distT="0" distB="0" distL="114300" distR="114300" simplePos="0" relativeHeight="251688960" behindDoc="1" locked="0" layoutInCell="1" allowOverlap="1">
                <wp:simplePos x="0" y="0"/>
                <wp:positionH relativeFrom="margin">
                  <wp:posOffset>-431800</wp:posOffset>
                </wp:positionH>
                <wp:positionV relativeFrom="margin">
                  <wp:align>top</wp:align>
                </wp:positionV>
                <wp:extent cx="1512000" cy="4590000"/>
                <wp:effectExtent l="0" t="0" r="0" b="1270"/>
                <wp:wrapNone/>
                <wp:docPr id="56"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512000" cy="4590000"/>
                        </a:xfrm>
                        <a:prstGeom prst="rect">
                          <a:avLst/>
                        </a:prstGeom>
                        <a:noFill/>
                        <a:ln w="9525">
                          <a:noFill/>
                          <a:miter lim="800000"/>
                          <a:headEnd/>
                          <a:tailEnd/>
                        </a:ln>
                      </wps:spPr>
                      <wps:txbx>
                        <w:txbxContent>
                          <w:p w:rsidR="00290C9B" w:rsidRPr="00373C5D" w:rsidP="00290C9B">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80962568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307220"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290C9B" w:rsidRPr="001762F4" w:rsidP="00290C9B">
                            <w:pPr>
                              <w:spacing w:after="0" w:line="240" w:lineRule="auto"/>
                              <w:rPr>
                                <w:rFonts w:cs="Tahoma"/>
                                <w:color w:val="0B5294"/>
                                <w:spacing w:val="-4"/>
                                <w:sz w:val="24"/>
                                <w:szCs w:val="24"/>
                                <w:rtl/>
                                <w:cs/>
                              </w:rPr>
                            </w:pPr>
                            <w:r w:rsidRPr="00335CD4">
                              <w:rPr>
                                <w:rFonts w:cs="Tahoma" w:hint="eastAsia"/>
                                <w:color w:val="0B5294"/>
                                <w:spacing w:val="-4"/>
                                <w:sz w:val="24"/>
                                <w:szCs w:val="24"/>
                                <w:rtl/>
                              </w:rPr>
                              <w:t>מטרת</w:t>
                            </w:r>
                            <w:r w:rsidRPr="00335CD4">
                              <w:rPr>
                                <w:rFonts w:cs="Tahoma"/>
                                <w:color w:val="0B5294"/>
                                <w:spacing w:val="-4"/>
                                <w:sz w:val="24"/>
                                <w:szCs w:val="24"/>
                                <w:rtl/>
                              </w:rPr>
                              <w:t xml:space="preserve"> </w:t>
                            </w:r>
                            <w:r w:rsidRPr="00335CD4">
                              <w:rPr>
                                <w:rFonts w:cs="Tahoma" w:hint="eastAsia"/>
                                <w:color w:val="0B5294"/>
                                <w:spacing w:val="-4"/>
                                <w:sz w:val="24"/>
                                <w:szCs w:val="24"/>
                                <w:rtl/>
                              </w:rPr>
                              <w:t>הטיפול</w:t>
                            </w:r>
                            <w:r w:rsidRPr="00335CD4">
                              <w:rPr>
                                <w:rFonts w:cs="Tahoma"/>
                                <w:color w:val="0B5294"/>
                                <w:spacing w:val="-4"/>
                                <w:sz w:val="24"/>
                                <w:szCs w:val="24"/>
                                <w:rtl/>
                              </w:rPr>
                              <w:t xml:space="preserve"> </w:t>
                            </w:r>
                            <w:r w:rsidRPr="00335CD4">
                              <w:rPr>
                                <w:rFonts w:cs="Tahoma" w:hint="eastAsia"/>
                                <w:color w:val="0B5294"/>
                                <w:spacing w:val="-4"/>
                                <w:sz w:val="24"/>
                                <w:szCs w:val="24"/>
                                <w:rtl/>
                              </w:rPr>
                              <w:t>בהתמכרות</w:t>
                            </w:r>
                            <w:r w:rsidRPr="00335CD4">
                              <w:rPr>
                                <w:rFonts w:cs="Tahoma"/>
                                <w:color w:val="0B5294"/>
                                <w:spacing w:val="-4"/>
                                <w:sz w:val="24"/>
                                <w:szCs w:val="24"/>
                                <w:rtl/>
                              </w:rPr>
                              <w:t xml:space="preserve"> </w:t>
                            </w:r>
                            <w:r w:rsidRPr="00335CD4">
                              <w:rPr>
                                <w:rFonts w:cs="Tahoma" w:hint="eastAsia"/>
                                <w:color w:val="0B5294"/>
                                <w:spacing w:val="-4"/>
                                <w:sz w:val="24"/>
                                <w:szCs w:val="24"/>
                                <w:rtl/>
                              </w:rPr>
                              <w:t>היא</w:t>
                            </w:r>
                            <w:r w:rsidRPr="00335CD4">
                              <w:rPr>
                                <w:rFonts w:cs="Tahoma"/>
                                <w:color w:val="0B5294"/>
                                <w:spacing w:val="-4"/>
                                <w:sz w:val="24"/>
                                <w:szCs w:val="24"/>
                                <w:rtl/>
                              </w:rPr>
                              <w:t xml:space="preserve"> </w:t>
                            </w:r>
                            <w:r w:rsidRPr="00335CD4">
                              <w:rPr>
                                <w:rFonts w:cs="Tahoma" w:hint="eastAsia"/>
                                <w:color w:val="0B5294"/>
                                <w:spacing w:val="-4"/>
                                <w:sz w:val="24"/>
                                <w:szCs w:val="24"/>
                                <w:rtl/>
                              </w:rPr>
                              <w:t>לסייע</w:t>
                            </w:r>
                            <w:r w:rsidRPr="00335CD4">
                              <w:rPr>
                                <w:rFonts w:cs="Tahoma"/>
                                <w:color w:val="0B5294"/>
                                <w:spacing w:val="-4"/>
                                <w:sz w:val="24"/>
                                <w:szCs w:val="24"/>
                                <w:rtl/>
                              </w:rPr>
                              <w:t xml:space="preserve"> </w:t>
                            </w:r>
                            <w:r w:rsidRPr="00335CD4">
                              <w:rPr>
                                <w:rFonts w:cs="Tahoma" w:hint="eastAsia"/>
                                <w:color w:val="0B5294"/>
                                <w:spacing w:val="-4"/>
                                <w:sz w:val="24"/>
                                <w:szCs w:val="24"/>
                                <w:rtl/>
                              </w:rPr>
                              <w:t>למכורים</w:t>
                            </w:r>
                            <w:r w:rsidRPr="00335CD4">
                              <w:rPr>
                                <w:rFonts w:cs="Tahoma"/>
                                <w:color w:val="0B5294"/>
                                <w:spacing w:val="-4"/>
                                <w:sz w:val="24"/>
                                <w:szCs w:val="24"/>
                                <w:rtl/>
                              </w:rPr>
                              <w:t xml:space="preserve"> </w:t>
                            </w:r>
                            <w:r w:rsidRPr="00335CD4">
                              <w:rPr>
                                <w:rFonts w:cs="Tahoma" w:hint="eastAsia"/>
                                <w:color w:val="0B5294"/>
                                <w:spacing w:val="-4"/>
                                <w:sz w:val="24"/>
                                <w:szCs w:val="24"/>
                                <w:rtl/>
                              </w:rPr>
                              <w:t>לחזור</w:t>
                            </w:r>
                            <w:r w:rsidRPr="00335CD4">
                              <w:rPr>
                                <w:rFonts w:cs="Tahoma"/>
                                <w:color w:val="0B5294"/>
                                <w:spacing w:val="-4"/>
                                <w:sz w:val="24"/>
                                <w:szCs w:val="24"/>
                                <w:rtl/>
                              </w:rPr>
                              <w:t xml:space="preserve"> </w:t>
                            </w:r>
                            <w:r w:rsidRPr="00335CD4">
                              <w:rPr>
                                <w:rFonts w:cs="Tahoma" w:hint="eastAsia"/>
                                <w:color w:val="0B5294"/>
                                <w:spacing w:val="-4"/>
                                <w:sz w:val="24"/>
                                <w:szCs w:val="24"/>
                                <w:rtl/>
                              </w:rPr>
                              <w:t>ולתפקד</w:t>
                            </w:r>
                            <w:r w:rsidRPr="00335CD4">
                              <w:rPr>
                                <w:rFonts w:cs="Tahoma"/>
                                <w:color w:val="0B5294"/>
                                <w:spacing w:val="-4"/>
                                <w:sz w:val="24"/>
                                <w:szCs w:val="24"/>
                                <w:rtl/>
                              </w:rPr>
                              <w:t xml:space="preserve"> </w:t>
                            </w:r>
                            <w:r w:rsidRPr="00335CD4">
                              <w:rPr>
                                <w:rFonts w:cs="Tahoma" w:hint="eastAsia"/>
                                <w:color w:val="0B5294"/>
                                <w:spacing w:val="-4"/>
                                <w:sz w:val="24"/>
                                <w:szCs w:val="24"/>
                                <w:rtl/>
                              </w:rPr>
                              <w:t>באופן</w:t>
                            </w:r>
                            <w:r w:rsidRPr="00335CD4">
                              <w:rPr>
                                <w:rFonts w:cs="Tahoma"/>
                                <w:color w:val="0B5294"/>
                                <w:spacing w:val="-4"/>
                                <w:sz w:val="24"/>
                                <w:szCs w:val="24"/>
                                <w:rtl/>
                              </w:rPr>
                              <w:t xml:space="preserve"> </w:t>
                            </w:r>
                            <w:r w:rsidRPr="00335CD4">
                              <w:rPr>
                                <w:rFonts w:cs="Tahoma" w:hint="eastAsia"/>
                                <w:color w:val="0B5294"/>
                                <w:spacing w:val="-4"/>
                                <w:sz w:val="24"/>
                                <w:szCs w:val="24"/>
                                <w:rtl/>
                              </w:rPr>
                              <w:t>נורמטיבי</w:t>
                            </w:r>
                          </w:p>
                          <w:p w:rsidR="00290C9B" w:rsidRPr="00373C5D" w:rsidP="00290C9B">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68045026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216053"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תיבת טקסט 2" o:spid="_x0000_s1025" type="#_x0000_t202" style="width:119.05pt;height:361.4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6496" filled="f" stroked="f">
                <v:textbox>
                  <w:txbxContent>
                    <w:p w:rsidR="00290C9B" w:rsidRPr="00373C5D" w:rsidP="00290C9B">
                      <w:pPr>
                        <w:spacing w:line="240" w:lineRule="atLeast"/>
                        <w:rPr>
                          <w:rFonts w:cs="Tahoma"/>
                          <w:b/>
                          <w:bCs/>
                          <w:color w:val="0B5294"/>
                          <w:sz w:val="48"/>
                          <w:szCs w:val="48"/>
                          <w:rtl/>
                        </w:rPr>
                      </w:pPr>
                      <w:drawing>
                        <wp:inline distT="0" distB="0" distL="0" distR="0">
                          <wp:extent cx="311150" cy="256800"/>
                          <wp:effectExtent l="0" t="0" r="0" b="0"/>
                          <wp:docPr id="5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287777"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290C9B" w:rsidRPr="001762F4" w:rsidP="00290C9B">
                      <w:pPr>
                        <w:spacing w:after="0" w:line="240" w:lineRule="auto"/>
                        <w:rPr>
                          <w:rFonts w:cs="Tahoma"/>
                          <w:color w:val="0B5294"/>
                          <w:spacing w:val="-4"/>
                          <w:sz w:val="24"/>
                          <w:szCs w:val="24"/>
                          <w:rtl/>
                          <w:cs/>
                        </w:rPr>
                      </w:pPr>
                      <w:r w:rsidRPr="00335CD4">
                        <w:rPr>
                          <w:rFonts w:cs="Tahoma" w:hint="eastAsia"/>
                          <w:color w:val="0B5294"/>
                          <w:spacing w:val="-4"/>
                          <w:sz w:val="24"/>
                          <w:szCs w:val="24"/>
                          <w:rtl/>
                        </w:rPr>
                        <w:t>מטרת</w:t>
                      </w:r>
                      <w:r w:rsidRPr="00335CD4">
                        <w:rPr>
                          <w:rFonts w:cs="Tahoma"/>
                          <w:color w:val="0B5294"/>
                          <w:spacing w:val="-4"/>
                          <w:sz w:val="24"/>
                          <w:szCs w:val="24"/>
                          <w:rtl/>
                        </w:rPr>
                        <w:t xml:space="preserve"> </w:t>
                      </w:r>
                      <w:r w:rsidRPr="00335CD4">
                        <w:rPr>
                          <w:rFonts w:cs="Tahoma" w:hint="eastAsia"/>
                          <w:color w:val="0B5294"/>
                          <w:spacing w:val="-4"/>
                          <w:sz w:val="24"/>
                          <w:szCs w:val="24"/>
                          <w:rtl/>
                        </w:rPr>
                        <w:t>הטיפול</w:t>
                      </w:r>
                      <w:r w:rsidRPr="00335CD4">
                        <w:rPr>
                          <w:rFonts w:cs="Tahoma"/>
                          <w:color w:val="0B5294"/>
                          <w:spacing w:val="-4"/>
                          <w:sz w:val="24"/>
                          <w:szCs w:val="24"/>
                          <w:rtl/>
                        </w:rPr>
                        <w:t xml:space="preserve"> </w:t>
                      </w:r>
                      <w:r w:rsidRPr="00335CD4">
                        <w:rPr>
                          <w:rFonts w:cs="Tahoma" w:hint="eastAsia"/>
                          <w:color w:val="0B5294"/>
                          <w:spacing w:val="-4"/>
                          <w:sz w:val="24"/>
                          <w:szCs w:val="24"/>
                          <w:rtl/>
                        </w:rPr>
                        <w:t>בהתמכרות</w:t>
                      </w:r>
                      <w:r w:rsidRPr="00335CD4">
                        <w:rPr>
                          <w:rFonts w:cs="Tahoma"/>
                          <w:color w:val="0B5294"/>
                          <w:spacing w:val="-4"/>
                          <w:sz w:val="24"/>
                          <w:szCs w:val="24"/>
                          <w:rtl/>
                        </w:rPr>
                        <w:t xml:space="preserve"> </w:t>
                      </w:r>
                      <w:r w:rsidRPr="00335CD4">
                        <w:rPr>
                          <w:rFonts w:cs="Tahoma" w:hint="eastAsia"/>
                          <w:color w:val="0B5294"/>
                          <w:spacing w:val="-4"/>
                          <w:sz w:val="24"/>
                          <w:szCs w:val="24"/>
                          <w:rtl/>
                        </w:rPr>
                        <w:t>היא</w:t>
                      </w:r>
                      <w:r w:rsidRPr="00335CD4">
                        <w:rPr>
                          <w:rFonts w:cs="Tahoma"/>
                          <w:color w:val="0B5294"/>
                          <w:spacing w:val="-4"/>
                          <w:sz w:val="24"/>
                          <w:szCs w:val="24"/>
                          <w:rtl/>
                        </w:rPr>
                        <w:t xml:space="preserve"> </w:t>
                      </w:r>
                      <w:r w:rsidRPr="00335CD4">
                        <w:rPr>
                          <w:rFonts w:cs="Tahoma" w:hint="eastAsia"/>
                          <w:color w:val="0B5294"/>
                          <w:spacing w:val="-4"/>
                          <w:sz w:val="24"/>
                          <w:szCs w:val="24"/>
                          <w:rtl/>
                        </w:rPr>
                        <w:t>לסייע</w:t>
                      </w:r>
                      <w:r w:rsidRPr="00335CD4">
                        <w:rPr>
                          <w:rFonts w:cs="Tahoma"/>
                          <w:color w:val="0B5294"/>
                          <w:spacing w:val="-4"/>
                          <w:sz w:val="24"/>
                          <w:szCs w:val="24"/>
                          <w:rtl/>
                        </w:rPr>
                        <w:t xml:space="preserve"> </w:t>
                      </w:r>
                      <w:r w:rsidRPr="00335CD4">
                        <w:rPr>
                          <w:rFonts w:cs="Tahoma" w:hint="eastAsia"/>
                          <w:color w:val="0B5294"/>
                          <w:spacing w:val="-4"/>
                          <w:sz w:val="24"/>
                          <w:szCs w:val="24"/>
                          <w:rtl/>
                        </w:rPr>
                        <w:t>למכורים</w:t>
                      </w:r>
                      <w:r w:rsidRPr="00335CD4">
                        <w:rPr>
                          <w:rFonts w:cs="Tahoma"/>
                          <w:color w:val="0B5294"/>
                          <w:spacing w:val="-4"/>
                          <w:sz w:val="24"/>
                          <w:szCs w:val="24"/>
                          <w:rtl/>
                        </w:rPr>
                        <w:t xml:space="preserve"> </w:t>
                      </w:r>
                      <w:r w:rsidRPr="00335CD4">
                        <w:rPr>
                          <w:rFonts w:cs="Tahoma" w:hint="eastAsia"/>
                          <w:color w:val="0B5294"/>
                          <w:spacing w:val="-4"/>
                          <w:sz w:val="24"/>
                          <w:szCs w:val="24"/>
                          <w:rtl/>
                        </w:rPr>
                        <w:t>לחזור</w:t>
                      </w:r>
                      <w:r w:rsidRPr="00335CD4">
                        <w:rPr>
                          <w:rFonts w:cs="Tahoma"/>
                          <w:color w:val="0B5294"/>
                          <w:spacing w:val="-4"/>
                          <w:sz w:val="24"/>
                          <w:szCs w:val="24"/>
                          <w:rtl/>
                        </w:rPr>
                        <w:t xml:space="preserve"> </w:t>
                      </w:r>
                      <w:r w:rsidRPr="00335CD4">
                        <w:rPr>
                          <w:rFonts w:cs="Tahoma" w:hint="eastAsia"/>
                          <w:color w:val="0B5294"/>
                          <w:spacing w:val="-4"/>
                          <w:sz w:val="24"/>
                          <w:szCs w:val="24"/>
                          <w:rtl/>
                        </w:rPr>
                        <w:t>ולתפקד</w:t>
                      </w:r>
                      <w:r w:rsidRPr="00335CD4">
                        <w:rPr>
                          <w:rFonts w:cs="Tahoma"/>
                          <w:color w:val="0B5294"/>
                          <w:spacing w:val="-4"/>
                          <w:sz w:val="24"/>
                          <w:szCs w:val="24"/>
                          <w:rtl/>
                        </w:rPr>
                        <w:t xml:space="preserve"> </w:t>
                      </w:r>
                      <w:r w:rsidRPr="00335CD4">
                        <w:rPr>
                          <w:rFonts w:cs="Tahoma" w:hint="eastAsia"/>
                          <w:color w:val="0B5294"/>
                          <w:spacing w:val="-4"/>
                          <w:sz w:val="24"/>
                          <w:szCs w:val="24"/>
                          <w:rtl/>
                        </w:rPr>
                        <w:t>באופן</w:t>
                      </w:r>
                      <w:r w:rsidRPr="00335CD4">
                        <w:rPr>
                          <w:rFonts w:cs="Tahoma"/>
                          <w:color w:val="0B5294"/>
                          <w:spacing w:val="-4"/>
                          <w:sz w:val="24"/>
                          <w:szCs w:val="24"/>
                          <w:rtl/>
                        </w:rPr>
                        <w:t xml:space="preserve"> </w:t>
                      </w:r>
                      <w:r w:rsidRPr="00335CD4">
                        <w:rPr>
                          <w:rFonts w:cs="Tahoma" w:hint="eastAsia"/>
                          <w:color w:val="0B5294"/>
                          <w:spacing w:val="-4"/>
                          <w:sz w:val="24"/>
                          <w:szCs w:val="24"/>
                          <w:rtl/>
                        </w:rPr>
                        <w:t>נורמטיבי</w:t>
                      </w:r>
                    </w:p>
                    <w:p w:rsidR="00290C9B" w:rsidRPr="00373C5D" w:rsidP="00290C9B">
                      <w:pPr>
                        <w:spacing w:before="120" w:after="0" w:line="240" w:lineRule="atLeast"/>
                        <w:rPr>
                          <w:rFonts w:cs="Tahoma"/>
                          <w:b/>
                          <w:bCs/>
                          <w:color w:val="0B5294"/>
                          <w:sz w:val="48"/>
                          <w:szCs w:val="48"/>
                          <w:rtl/>
                        </w:rPr>
                      </w:pPr>
                      <w:drawing>
                        <wp:inline distT="0" distB="0" distL="0" distR="0">
                          <wp:extent cx="288000" cy="31337"/>
                          <wp:effectExtent l="0" t="0" r="0" b="6985"/>
                          <wp:docPr id="5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045680"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E77874" w:rsidRPr="00492C38" w:rsidP="00211D07">
      <w:pPr>
        <w:pStyle w:val="takzir"/>
        <w:rPr>
          <w:rFonts w:ascii="Tahoma" w:hAnsi="Tahoma" w:cs="Tahoma"/>
          <w:noProof w:val="0"/>
          <w:sz w:val="28"/>
          <w:rtl/>
        </w:rPr>
      </w:pPr>
    </w:p>
    <w:p w:rsidR="00E77874" w:rsidRPr="003D09D3" w:rsidP="00211D07">
      <w:pPr>
        <w:pStyle w:val="KOT4T"/>
        <w:rPr>
          <w:rtl/>
        </w:rPr>
      </w:pPr>
      <w:r w:rsidRPr="00B12E08">
        <w:rPr>
          <w:rFonts w:hint="eastAsia"/>
          <w:rtl/>
        </w:rPr>
        <w:t>פעולות</w:t>
      </w:r>
      <w:r w:rsidRPr="00B12E08">
        <w:rPr>
          <w:rtl/>
        </w:rPr>
        <w:t xml:space="preserve"> </w:t>
      </w:r>
      <w:r w:rsidRPr="00B12E08">
        <w:rPr>
          <w:rFonts w:hint="eastAsia"/>
          <w:rtl/>
        </w:rPr>
        <w:t>הביקורת</w:t>
      </w:r>
    </w:p>
    <w:p w:rsidR="001D6D5E" w:rsidRPr="007E10DE" w:rsidP="00211D07">
      <w:pPr>
        <w:pStyle w:val="takzir-text"/>
        <w:bidi/>
        <w:rPr>
          <w:rtl/>
        </w:rPr>
      </w:pPr>
      <w:r>
        <w:rPr>
          <w:rFonts w:hint="cs"/>
          <w:rtl/>
        </w:rPr>
        <w:t xml:space="preserve">הטיפול בהתמכרויות ובמכורים נעשה על ידי כמה גופים ובכללם הרשויות המקומיות, משרדי הרווחה והבריאות, </w:t>
      </w:r>
      <w:r w:rsidRPr="00AF1A81">
        <w:rPr>
          <w:rFonts w:eastAsia="Times New Roman"/>
          <w:sz w:val="24"/>
          <w:rtl/>
        </w:rPr>
        <w:t>הרשות למאבק באלימות, בסמים ובאלכוהול</w:t>
      </w:r>
      <w:r>
        <w:rPr>
          <w:rStyle w:val="FootnoteReference0"/>
          <w:rFonts w:eastAsia="Times New Roman"/>
          <w:sz w:val="24"/>
          <w:rtl/>
        </w:rPr>
        <w:footnoteReference w:id="4"/>
      </w:r>
      <w:r>
        <w:rPr>
          <w:rFonts w:hint="cs"/>
          <w:rtl/>
        </w:rPr>
        <w:t xml:space="preserve"> במשרד לביטחון הפנים, משרד החינוך שמטפל בנושא המניעה בקרב תלמידים, וכן שירות בתי הסוהר והרשות לשיקום האסיר שמטפלים </w:t>
      </w:r>
      <w:r>
        <w:rPr>
          <w:rFonts w:hint="cs"/>
          <w:rtl/>
        </w:rPr>
        <w:t>באסירים מכורים</w:t>
      </w:r>
      <w:r w:rsidRPr="00AA3919">
        <w:rPr>
          <w:rtl/>
        </w:rPr>
        <w:t>.</w:t>
      </w:r>
      <w:r>
        <w:rPr>
          <w:rFonts w:hint="cs"/>
          <w:rtl/>
        </w:rPr>
        <w:t xml:space="preserve"> </w:t>
      </w:r>
      <w:r w:rsidRPr="00E12C57">
        <w:rPr>
          <w:rtl/>
        </w:rPr>
        <w:t xml:space="preserve">בחודשים </w:t>
      </w:r>
      <w:r w:rsidRPr="00E12C57">
        <w:rPr>
          <w:rFonts w:hint="cs"/>
          <w:rtl/>
        </w:rPr>
        <w:t xml:space="preserve">ינואר-אוגוסט 2018 </w:t>
      </w:r>
      <w:r w:rsidRPr="00E12C57">
        <w:rPr>
          <w:rtl/>
        </w:rPr>
        <w:t xml:space="preserve">בדק משרד מבקר המדינה את </w:t>
      </w:r>
      <w:r w:rsidRPr="00E12C57">
        <w:rPr>
          <w:rFonts w:hint="cs"/>
          <w:rtl/>
        </w:rPr>
        <w:t xml:space="preserve">שלבי הטיפול </w:t>
      </w:r>
      <w:r>
        <w:rPr>
          <w:rFonts w:hint="cs"/>
          <w:rtl/>
        </w:rPr>
        <w:t>בהתמכרויות הנפוצות לסמים, אלכוהול והימורים</w:t>
      </w:r>
      <w:r>
        <w:rPr>
          <w:rStyle w:val="FootnoteReference0"/>
          <w:rtl/>
        </w:rPr>
        <w:footnoteReference w:id="5"/>
      </w:r>
      <w:r w:rsidRPr="00E12C57">
        <w:rPr>
          <w:rFonts w:hint="cs"/>
          <w:rtl/>
        </w:rPr>
        <w:t xml:space="preserve">: איתור, טיפול ומניעה. </w:t>
      </w:r>
      <w:r w:rsidRPr="00E12C57">
        <w:rPr>
          <w:rtl/>
        </w:rPr>
        <w:t>הבדיק</w:t>
      </w:r>
      <w:r w:rsidRPr="00E12C57">
        <w:rPr>
          <w:rFonts w:hint="cs"/>
          <w:rtl/>
        </w:rPr>
        <w:t>ה</w:t>
      </w:r>
      <w:r w:rsidRPr="00E12C57">
        <w:rPr>
          <w:rtl/>
        </w:rPr>
        <w:t xml:space="preserve"> נעש</w:t>
      </w:r>
      <w:r w:rsidRPr="00E12C57">
        <w:rPr>
          <w:rFonts w:hint="cs"/>
          <w:rtl/>
        </w:rPr>
        <w:t>תה</w:t>
      </w:r>
      <w:r w:rsidRPr="00E12C57">
        <w:rPr>
          <w:rtl/>
        </w:rPr>
        <w:t xml:space="preserve"> ב</w:t>
      </w:r>
      <w:r>
        <w:rPr>
          <w:rFonts w:hint="cs"/>
          <w:rtl/>
        </w:rPr>
        <w:t xml:space="preserve">גופים מרכזיים שמטפלים בנושא: </w:t>
      </w:r>
      <w:r w:rsidRPr="00E12C57">
        <w:rPr>
          <w:rtl/>
        </w:rPr>
        <w:t>משרד הרווחה</w:t>
      </w:r>
      <w:r w:rsidRPr="00E12C57">
        <w:rPr>
          <w:rFonts w:hint="cs"/>
          <w:rtl/>
        </w:rPr>
        <w:t>, משרד הבריאות ומשרד החינוך</w:t>
      </w:r>
      <w:r w:rsidRPr="00E12C57">
        <w:rPr>
          <w:rtl/>
        </w:rPr>
        <w:t>. בדיקות השלמה נעשו במשרד האוצר, בשירותי בריאות כללית, במכבי שירותי בריאות</w:t>
      </w:r>
      <w:r>
        <w:rPr>
          <w:rFonts w:hint="cs"/>
          <w:rtl/>
        </w:rPr>
        <w:t>,</w:t>
      </w:r>
      <w:r w:rsidRPr="00E12C57">
        <w:rPr>
          <w:rtl/>
        </w:rPr>
        <w:t xml:space="preserve"> </w:t>
      </w:r>
      <w:r>
        <w:rPr>
          <w:rFonts w:hint="cs"/>
          <w:rtl/>
        </w:rPr>
        <w:t xml:space="preserve">בארבע עיריות (נס ציונה, נתיבות, ערד ורעננה) </w:t>
      </w:r>
      <w:r w:rsidRPr="00E12C57">
        <w:rPr>
          <w:rFonts w:hint="cs"/>
          <w:rtl/>
        </w:rPr>
        <w:t>ו</w:t>
      </w:r>
      <w:r w:rsidRPr="00E12C57">
        <w:rPr>
          <w:rtl/>
        </w:rPr>
        <w:t>במרכז השלטון המקומי בישראל</w:t>
      </w:r>
      <w:r w:rsidRPr="00E12C57">
        <w:rPr>
          <w:rFonts w:hint="cs"/>
          <w:rtl/>
        </w:rPr>
        <w:t>.</w:t>
      </w:r>
    </w:p>
    <w:p w:rsidR="00E77874" w:rsidRPr="00492C38" w:rsidP="00211D07">
      <w:pPr>
        <w:pStyle w:val="takzir"/>
        <w:rPr>
          <w:rFonts w:ascii="Tahoma" w:hAnsi="Tahoma" w:cs="Tahoma"/>
          <w:noProof w:val="0"/>
          <w:sz w:val="28"/>
          <w:rtl/>
        </w:rPr>
      </w:pPr>
    </w:p>
    <w:p w:rsidR="00384065" w:rsidRPr="00132FFC" w:rsidP="00211D07">
      <w:pPr>
        <w:pStyle w:val="KOT4T"/>
        <w:rPr>
          <w:rtl/>
        </w:rPr>
      </w:pPr>
      <w:r w:rsidRPr="00132FFC">
        <w:rPr>
          <w:rtl/>
        </w:rPr>
        <w:t>הליקויים העיקריים</w:t>
      </w:r>
    </w:p>
    <w:p w:rsidR="001D6D5E" w:rsidRPr="00777DAE" w:rsidP="00211D07">
      <w:pPr>
        <w:pStyle w:val="KOT5T"/>
        <w:rPr>
          <w:rtl/>
        </w:rPr>
      </w:pPr>
      <w:r w:rsidRPr="00777DAE">
        <w:rPr>
          <w:rtl/>
        </w:rPr>
        <w:t>איתור המכורים</w:t>
      </w:r>
    </w:p>
    <w:p w:rsidR="001D6D5E" w:rsidRPr="007E10DE" w:rsidP="00335CD4">
      <w:pPr>
        <w:pStyle w:val="takzir-text"/>
        <w:bidi/>
        <w:rPr>
          <w:rtl/>
        </w:rPr>
      </w:pPr>
      <w:r w:rsidRPr="00777DAE">
        <w:rPr>
          <w:rFonts w:hint="cs"/>
          <w:rtl/>
        </w:rPr>
        <w:t>לפי</w:t>
      </w:r>
      <w:r>
        <w:rPr>
          <w:rFonts w:eastAsia="Times New Roman" w:hint="cs"/>
          <w:sz w:val="24"/>
          <w:rtl/>
        </w:rPr>
        <w:t xml:space="preserve"> </w:t>
      </w:r>
      <w:r w:rsidRPr="00B7407A">
        <w:rPr>
          <w:rFonts w:eastAsia="Times New Roman" w:hint="cs"/>
          <w:sz w:val="24"/>
          <w:rtl/>
        </w:rPr>
        <w:t xml:space="preserve">הערכת </w:t>
      </w:r>
      <w:r w:rsidRPr="00B7407A">
        <w:rPr>
          <w:rtl/>
        </w:rPr>
        <w:t>השירות</w:t>
      </w:r>
      <w:r w:rsidRPr="00B7407A">
        <w:rPr>
          <w:rFonts w:hint="cs"/>
          <w:rtl/>
        </w:rPr>
        <w:t xml:space="preserve"> להתמכרויות</w:t>
      </w:r>
      <w:r w:rsidRPr="00B7407A">
        <w:rPr>
          <w:rtl/>
        </w:rPr>
        <w:t xml:space="preserve"> </w:t>
      </w:r>
      <w:r w:rsidRPr="00B7407A">
        <w:rPr>
          <w:rFonts w:eastAsia="Times New Roman" w:hint="cs"/>
          <w:sz w:val="24"/>
          <w:rtl/>
        </w:rPr>
        <w:t xml:space="preserve">כ-120,000 איש </w:t>
      </w:r>
      <w:r w:rsidRPr="00B7407A">
        <w:rPr>
          <w:rFonts w:eastAsia="Times New Roman" w:hint="eastAsia"/>
          <w:sz w:val="24"/>
          <w:rtl/>
        </w:rPr>
        <w:t>בישראל</w:t>
      </w:r>
      <w:r w:rsidRPr="00B7407A">
        <w:rPr>
          <w:rFonts w:eastAsia="Times New Roman" w:hint="cs"/>
          <w:sz w:val="24"/>
          <w:rtl/>
        </w:rPr>
        <w:t xml:space="preserve"> סובלים מבעיית התמכרות, </w:t>
      </w:r>
      <w:r w:rsidRPr="00B7407A">
        <w:rPr>
          <w:rFonts w:hint="cs"/>
          <w:rtl/>
        </w:rPr>
        <w:t>אך יותר</w:t>
      </w:r>
      <w:r w:rsidRPr="00B7407A">
        <w:rPr>
          <w:rtl/>
        </w:rPr>
        <w:t xml:space="preserve"> מ-80% מ</w:t>
      </w:r>
      <w:r w:rsidRPr="00B7407A">
        <w:rPr>
          <w:rFonts w:hint="cs"/>
          <w:rtl/>
        </w:rPr>
        <w:t>הם אינם</w:t>
      </w:r>
      <w:r w:rsidRPr="00B7407A">
        <w:rPr>
          <w:rtl/>
        </w:rPr>
        <w:t xml:space="preserve"> מקבלים מש</w:t>
      </w:r>
      <w:r w:rsidRPr="00B7407A">
        <w:rPr>
          <w:rFonts w:hint="cs"/>
          <w:rtl/>
        </w:rPr>
        <w:t>י</w:t>
      </w:r>
      <w:r w:rsidRPr="00B7407A">
        <w:rPr>
          <w:rtl/>
        </w:rPr>
        <w:t>רותי הרווחה והבריאות טיפול בבעיית</w:t>
      </w:r>
      <w:r w:rsidRPr="00B7407A">
        <w:rPr>
          <w:rFonts w:hint="cs"/>
          <w:rtl/>
        </w:rPr>
        <w:t>ם</w:t>
      </w:r>
      <w:r w:rsidRPr="00B7407A">
        <w:rPr>
          <w:rtl/>
        </w:rPr>
        <w:t>.</w:t>
      </w:r>
      <w:r w:rsidRPr="00290C9B" w:rsidR="00290C9B">
        <w:rPr>
          <w:szCs w:val="17"/>
          <w:rtl/>
        </w:rPr>
        <w:t xml:space="preserve"> </w:t>
      </w:r>
      <w:r w:rsidRPr="0012789B" w:rsidR="00290C9B">
        <w:rPr>
          <w:noProof/>
          <w:szCs w:val="17"/>
          <w:rtl/>
        </w:rPr>
        <mc:AlternateContent>
          <mc:Choice Requires="wps">
            <w:drawing>
              <wp:anchor distT="0" distB="0" distL="114300" distR="114300" simplePos="0" relativeHeight="251686912" behindDoc="1" locked="0" layoutInCell="1" allowOverlap="1">
                <wp:simplePos x="0" y="0"/>
                <wp:positionH relativeFrom="margin">
                  <wp:posOffset>-431800</wp:posOffset>
                </wp:positionH>
                <wp:positionV relativeFrom="margin">
                  <wp:align>top</wp:align>
                </wp:positionV>
                <wp:extent cx="1512000" cy="4590000"/>
                <wp:effectExtent l="0" t="0" r="0" b="1270"/>
                <wp:wrapNone/>
                <wp:docPr id="53"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512000" cy="4590000"/>
                        </a:xfrm>
                        <a:prstGeom prst="rect">
                          <a:avLst/>
                        </a:prstGeom>
                        <a:noFill/>
                        <a:ln w="9525">
                          <a:noFill/>
                          <a:miter lim="800000"/>
                          <a:headEnd/>
                          <a:tailEnd/>
                        </a:ln>
                      </wps:spPr>
                      <wps:txbx>
                        <w:txbxContent>
                          <w:p w:rsidR="00290C9B" w:rsidRPr="00373C5D" w:rsidP="00290C9B">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34078591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500682"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290C9B" w:rsidRPr="001762F4" w:rsidP="00290C9B">
                            <w:pPr>
                              <w:spacing w:after="0" w:line="240" w:lineRule="auto"/>
                              <w:rPr>
                                <w:rFonts w:cs="Tahoma"/>
                                <w:color w:val="0B5294"/>
                                <w:spacing w:val="-4"/>
                                <w:sz w:val="24"/>
                                <w:szCs w:val="24"/>
                                <w:rtl/>
                                <w:cs/>
                              </w:rPr>
                            </w:pPr>
                            <w:r w:rsidRPr="00335CD4">
                              <w:rPr>
                                <w:rFonts w:cs="Tahoma" w:hint="eastAsia"/>
                                <w:color w:val="0B5294"/>
                                <w:spacing w:val="-4"/>
                                <w:sz w:val="24"/>
                                <w:szCs w:val="24"/>
                                <w:rtl/>
                              </w:rPr>
                              <w:t>יותר</w:t>
                            </w:r>
                            <w:r w:rsidRPr="00335CD4">
                              <w:rPr>
                                <w:rFonts w:cs="Tahoma"/>
                                <w:color w:val="0B5294"/>
                                <w:spacing w:val="-4"/>
                                <w:sz w:val="24"/>
                                <w:szCs w:val="24"/>
                                <w:rtl/>
                              </w:rPr>
                              <w:t xml:space="preserve"> </w:t>
                            </w:r>
                            <w:r w:rsidRPr="00335CD4">
                              <w:rPr>
                                <w:rFonts w:cs="Tahoma" w:hint="eastAsia"/>
                                <w:color w:val="0B5294"/>
                                <w:spacing w:val="-4"/>
                                <w:sz w:val="24"/>
                                <w:szCs w:val="24"/>
                                <w:rtl/>
                              </w:rPr>
                              <w:t>מ</w:t>
                            </w:r>
                            <w:r w:rsidRPr="00335CD4">
                              <w:rPr>
                                <w:rFonts w:cs="Tahoma"/>
                                <w:color w:val="0B5294"/>
                                <w:spacing w:val="-4"/>
                                <w:sz w:val="24"/>
                                <w:szCs w:val="24"/>
                                <w:rtl/>
                              </w:rPr>
                              <w:t xml:space="preserve">-80% </w:t>
                            </w:r>
                            <w:r w:rsidRPr="00335CD4">
                              <w:rPr>
                                <w:rFonts w:cs="Tahoma" w:hint="eastAsia"/>
                                <w:color w:val="0B5294"/>
                                <w:spacing w:val="-4"/>
                                <w:sz w:val="24"/>
                                <w:szCs w:val="24"/>
                                <w:rtl/>
                              </w:rPr>
                              <w:t>מהסובלים</w:t>
                            </w:r>
                            <w:r w:rsidRPr="00335CD4">
                              <w:rPr>
                                <w:rFonts w:cs="Tahoma"/>
                                <w:color w:val="0B5294"/>
                                <w:spacing w:val="-4"/>
                                <w:sz w:val="24"/>
                                <w:szCs w:val="24"/>
                                <w:rtl/>
                              </w:rPr>
                              <w:t xml:space="preserve"> </w:t>
                            </w:r>
                            <w:r w:rsidRPr="00335CD4">
                              <w:rPr>
                                <w:rFonts w:cs="Tahoma" w:hint="eastAsia"/>
                                <w:color w:val="0B5294"/>
                                <w:spacing w:val="-4"/>
                                <w:sz w:val="24"/>
                                <w:szCs w:val="24"/>
                                <w:rtl/>
                              </w:rPr>
                              <w:t>מבעיית</w:t>
                            </w:r>
                            <w:r w:rsidRPr="00335CD4">
                              <w:rPr>
                                <w:rFonts w:cs="Tahoma"/>
                                <w:color w:val="0B5294"/>
                                <w:spacing w:val="-4"/>
                                <w:sz w:val="24"/>
                                <w:szCs w:val="24"/>
                                <w:rtl/>
                              </w:rPr>
                              <w:t xml:space="preserve"> </w:t>
                            </w:r>
                            <w:r w:rsidRPr="00335CD4">
                              <w:rPr>
                                <w:rFonts w:cs="Tahoma" w:hint="eastAsia"/>
                                <w:color w:val="0B5294"/>
                                <w:spacing w:val="-4"/>
                                <w:sz w:val="24"/>
                                <w:szCs w:val="24"/>
                                <w:rtl/>
                              </w:rPr>
                              <w:t>התמכרות</w:t>
                            </w:r>
                            <w:r w:rsidRPr="00335CD4">
                              <w:rPr>
                                <w:rFonts w:cs="Tahoma"/>
                                <w:color w:val="0B5294"/>
                                <w:spacing w:val="-4"/>
                                <w:sz w:val="24"/>
                                <w:szCs w:val="24"/>
                                <w:rtl/>
                              </w:rPr>
                              <w:t xml:space="preserve"> </w:t>
                            </w:r>
                            <w:r w:rsidRPr="00335CD4">
                              <w:rPr>
                                <w:rFonts w:cs="Tahoma" w:hint="eastAsia"/>
                                <w:color w:val="0B5294"/>
                                <w:spacing w:val="-4"/>
                                <w:sz w:val="24"/>
                                <w:szCs w:val="24"/>
                                <w:rtl/>
                              </w:rPr>
                              <w:t>אינם</w:t>
                            </w:r>
                            <w:r w:rsidRPr="00335CD4">
                              <w:rPr>
                                <w:rFonts w:cs="Tahoma"/>
                                <w:color w:val="0B5294"/>
                                <w:spacing w:val="-4"/>
                                <w:sz w:val="24"/>
                                <w:szCs w:val="24"/>
                                <w:rtl/>
                              </w:rPr>
                              <w:t xml:space="preserve"> </w:t>
                            </w:r>
                            <w:r w:rsidRPr="00335CD4">
                              <w:rPr>
                                <w:rFonts w:cs="Tahoma" w:hint="eastAsia"/>
                                <w:color w:val="0B5294"/>
                                <w:spacing w:val="-4"/>
                                <w:sz w:val="24"/>
                                <w:szCs w:val="24"/>
                                <w:rtl/>
                              </w:rPr>
                              <w:t>מקבלים</w:t>
                            </w:r>
                            <w:r w:rsidRPr="00335CD4">
                              <w:rPr>
                                <w:rFonts w:cs="Tahoma"/>
                                <w:color w:val="0B5294"/>
                                <w:spacing w:val="-4"/>
                                <w:sz w:val="24"/>
                                <w:szCs w:val="24"/>
                                <w:rtl/>
                              </w:rPr>
                              <w:t xml:space="preserve"> </w:t>
                            </w:r>
                            <w:r w:rsidRPr="00335CD4">
                              <w:rPr>
                                <w:rFonts w:cs="Tahoma" w:hint="eastAsia"/>
                                <w:color w:val="0B5294"/>
                                <w:spacing w:val="-4"/>
                                <w:sz w:val="24"/>
                                <w:szCs w:val="24"/>
                                <w:rtl/>
                              </w:rPr>
                              <w:t>משירותי</w:t>
                            </w:r>
                            <w:r w:rsidRPr="00335CD4">
                              <w:rPr>
                                <w:rFonts w:cs="Tahoma"/>
                                <w:color w:val="0B5294"/>
                                <w:spacing w:val="-4"/>
                                <w:sz w:val="24"/>
                                <w:szCs w:val="24"/>
                                <w:rtl/>
                              </w:rPr>
                              <w:t xml:space="preserve"> </w:t>
                            </w:r>
                            <w:r w:rsidRPr="00335CD4">
                              <w:rPr>
                                <w:rFonts w:cs="Tahoma" w:hint="eastAsia"/>
                                <w:color w:val="0B5294"/>
                                <w:spacing w:val="-4"/>
                                <w:sz w:val="24"/>
                                <w:szCs w:val="24"/>
                                <w:rtl/>
                              </w:rPr>
                              <w:t>הרווחה</w:t>
                            </w:r>
                            <w:r w:rsidRPr="00335CD4">
                              <w:rPr>
                                <w:rFonts w:cs="Tahoma"/>
                                <w:color w:val="0B5294"/>
                                <w:spacing w:val="-4"/>
                                <w:sz w:val="24"/>
                                <w:szCs w:val="24"/>
                                <w:rtl/>
                              </w:rPr>
                              <w:t xml:space="preserve"> </w:t>
                            </w:r>
                            <w:r w:rsidRPr="00335CD4">
                              <w:rPr>
                                <w:rFonts w:cs="Tahoma" w:hint="eastAsia"/>
                                <w:color w:val="0B5294"/>
                                <w:spacing w:val="-4"/>
                                <w:sz w:val="24"/>
                                <w:szCs w:val="24"/>
                                <w:rtl/>
                              </w:rPr>
                              <w:t>והבריאות</w:t>
                            </w:r>
                            <w:r w:rsidRPr="00335CD4">
                              <w:rPr>
                                <w:rFonts w:cs="Tahoma"/>
                                <w:color w:val="0B5294"/>
                                <w:spacing w:val="-4"/>
                                <w:sz w:val="24"/>
                                <w:szCs w:val="24"/>
                                <w:rtl/>
                              </w:rPr>
                              <w:t xml:space="preserve"> </w:t>
                            </w:r>
                            <w:r w:rsidRPr="00335CD4">
                              <w:rPr>
                                <w:rFonts w:cs="Tahoma" w:hint="eastAsia"/>
                                <w:color w:val="0B5294"/>
                                <w:spacing w:val="-4"/>
                                <w:sz w:val="24"/>
                                <w:szCs w:val="24"/>
                                <w:rtl/>
                              </w:rPr>
                              <w:t>טיפול</w:t>
                            </w:r>
                            <w:r w:rsidRPr="00335CD4">
                              <w:rPr>
                                <w:rFonts w:cs="Tahoma"/>
                                <w:color w:val="0B5294"/>
                                <w:spacing w:val="-4"/>
                                <w:sz w:val="24"/>
                                <w:szCs w:val="24"/>
                                <w:rtl/>
                              </w:rPr>
                              <w:t xml:space="preserve"> </w:t>
                            </w:r>
                            <w:r w:rsidRPr="00335CD4">
                              <w:rPr>
                                <w:rFonts w:cs="Tahoma" w:hint="eastAsia"/>
                                <w:color w:val="0B5294"/>
                                <w:spacing w:val="-4"/>
                                <w:sz w:val="24"/>
                                <w:szCs w:val="24"/>
                                <w:rtl/>
                              </w:rPr>
                              <w:t>בבעייתם</w:t>
                            </w:r>
                          </w:p>
                          <w:p w:rsidR="00290C9B" w:rsidRPr="00373C5D" w:rsidP="00290C9B">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67870999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862115"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6" type="#_x0000_t202" style="width:119.05pt;height:361.4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8544" filled="f" stroked="f">
                <v:textbox>
                  <w:txbxContent>
                    <w:p w:rsidR="00290C9B" w:rsidRPr="00373C5D" w:rsidP="00290C9B">
                      <w:pPr>
                        <w:spacing w:line="240" w:lineRule="atLeast"/>
                        <w:rPr>
                          <w:rFonts w:cs="Tahoma"/>
                          <w:b/>
                          <w:bCs/>
                          <w:color w:val="0B5294"/>
                          <w:sz w:val="48"/>
                          <w:szCs w:val="48"/>
                          <w:rtl/>
                        </w:rPr>
                      </w:pPr>
                      <w:drawing>
                        <wp:inline distT="0" distB="0" distL="0" distR="0">
                          <wp:extent cx="311150" cy="256800"/>
                          <wp:effectExtent l="0" t="0" r="0" b="0"/>
                          <wp:docPr id="5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926256"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290C9B" w:rsidRPr="001762F4" w:rsidP="00290C9B">
                      <w:pPr>
                        <w:spacing w:after="0" w:line="240" w:lineRule="auto"/>
                        <w:rPr>
                          <w:rFonts w:cs="Tahoma"/>
                          <w:color w:val="0B5294"/>
                          <w:spacing w:val="-4"/>
                          <w:sz w:val="24"/>
                          <w:szCs w:val="24"/>
                          <w:rtl/>
                          <w:cs/>
                        </w:rPr>
                      </w:pPr>
                      <w:r w:rsidRPr="00335CD4">
                        <w:rPr>
                          <w:rFonts w:cs="Tahoma" w:hint="eastAsia"/>
                          <w:color w:val="0B5294"/>
                          <w:spacing w:val="-4"/>
                          <w:sz w:val="24"/>
                          <w:szCs w:val="24"/>
                          <w:rtl/>
                        </w:rPr>
                        <w:t>יותר</w:t>
                      </w:r>
                      <w:r w:rsidRPr="00335CD4">
                        <w:rPr>
                          <w:rFonts w:cs="Tahoma"/>
                          <w:color w:val="0B5294"/>
                          <w:spacing w:val="-4"/>
                          <w:sz w:val="24"/>
                          <w:szCs w:val="24"/>
                          <w:rtl/>
                        </w:rPr>
                        <w:t xml:space="preserve"> </w:t>
                      </w:r>
                      <w:r w:rsidRPr="00335CD4">
                        <w:rPr>
                          <w:rFonts w:cs="Tahoma" w:hint="eastAsia"/>
                          <w:color w:val="0B5294"/>
                          <w:spacing w:val="-4"/>
                          <w:sz w:val="24"/>
                          <w:szCs w:val="24"/>
                          <w:rtl/>
                        </w:rPr>
                        <w:t>מ</w:t>
                      </w:r>
                      <w:r w:rsidRPr="00335CD4">
                        <w:rPr>
                          <w:rFonts w:cs="Tahoma"/>
                          <w:color w:val="0B5294"/>
                          <w:spacing w:val="-4"/>
                          <w:sz w:val="24"/>
                          <w:szCs w:val="24"/>
                          <w:rtl/>
                        </w:rPr>
                        <w:t xml:space="preserve">-80% </w:t>
                      </w:r>
                      <w:r w:rsidRPr="00335CD4">
                        <w:rPr>
                          <w:rFonts w:cs="Tahoma" w:hint="eastAsia"/>
                          <w:color w:val="0B5294"/>
                          <w:spacing w:val="-4"/>
                          <w:sz w:val="24"/>
                          <w:szCs w:val="24"/>
                          <w:rtl/>
                        </w:rPr>
                        <w:t>מהסובלים</w:t>
                      </w:r>
                      <w:r w:rsidRPr="00335CD4">
                        <w:rPr>
                          <w:rFonts w:cs="Tahoma"/>
                          <w:color w:val="0B5294"/>
                          <w:spacing w:val="-4"/>
                          <w:sz w:val="24"/>
                          <w:szCs w:val="24"/>
                          <w:rtl/>
                        </w:rPr>
                        <w:t xml:space="preserve"> </w:t>
                      </w:r>
                      <w:r w:rsidRPr="00335CD4">
                        <w:rPr>
                          <w:rFonts w:cs="Tahoma" w:hint="eastAsia"/>
                          <w:color w:val="0B5294"/>
                          <w:spacing w:val="-4"/>
                          <w:sz w:val="24"/>
                          <w:szCs w:val="24"/>
                          <w:rtl/>
                        </w:rPr>
                        <w:t>מבעיית</w:t>
                      </w:r>
                      <w:r w:rsidRPr="00335CD4">
                        <w:rPr>
                          <w:rFonts w:cs="Tahoma"/>
                          <w:color w:val="0B5294"/>
                          <w:spacing w:val="-4"/>
                          <w:sz w:val="24"/>
                          <w:szCs w:val="24"/>
                          <w:rtl/>
                        </w:rPr>
                        <w:t xml:space="preserve"> </w:t>
                      </w:r>
                      <w:r w:rsidRPr="00335CD4">
                        <w:rPr>
                          <w:rFonts w:cs="Tahoma" w:hint="eastAsia"/>
                          <w:color w:val="0B5294"/>
                          <w:spacing w:val="-4"/>
                          <w:sz w:val="24"/>
                          <w:szCs w:val="24"/>
                          <w:rtl/>
                        </w:rPr>
                        <w:t>התמכרות</w:t>
                      </w:r>
                      <w:r w:rsidRPr="00335CD4">
                        <w:rPr>
                          <w:rFonts w:cs="Tahoma"/>
                          <w:color w:val="0B5294"/>
                          <w:spacing w:val="-4"/>
                          <w:sz w:val="24"/>
                          <w:szCs w:val="24"/>
                          <w:rtl/>
                        </w:rPr>
                        <w:t xml:space="preserve"> </w:t>
                      </w:r>
                      <w:r w:rsidRPr="00335CD4">
                        <w:rPr>
                          <w:rFonts w:cs="Tahoma" w:hint="eastAsia"/>
                          <w:color w:val="0B5294"/>
                          <w:spacing w:val="-4"/>
                          <w:sz w:val="24"/>
                          <w:szCs w:val="24"/>
                          <w:rtl/>
                        </w:rPr>
                        <w:t>אינם</w:t>
                      </w:r>
                      <w:r w:rsidRPr="00335CD4">
                        <w:rPr>
                          <w:rFonts w:cs="Tahoma"/>
                          <w:color w:val="0B5294"/>
                          <w:spacing w:val="-4"/>
                          <w:sz w:val="24"/>
                          <w:szCs w:val="24"/>
                          <w:rtl/>
                        </w:rPr>
                        <w:t xml:space="preserve"> </w:t>
                      </w:r>
                      <w:r w:rsidRPr="00335CD4">
                        <w:rPr>
                          <w:rFonts w:cs="Tahoma" w:hint="eastAsia"/>
                          <w:color w:val="0B5294"/>
                          <w:spacing w:val="-4"/>
                          <w:sz w:val="24"/>
                          <w:szCs w:val="24"/>
                          <w:rtl/>
                        </w:rPr>
                        <w:t>מקבלים</w:t>
                      </w:r>
                      <w:r w:rsidRPr="00335CD4">
                        <w:rPr>
                          <w:rFonts w:cs="Tahoma"/>
                          <w:color w:val="0B5294"/>
                          <w:spacing w:val="-4"/>
                          <w:sz w:val="24"/>
                          <w:szCs w:val="24"/>
                          <w:rtl/>
                        </w:rPr>
                        <w:t xml:space="preserve"> </w:t>
                      </w:r>
                      <w:r w:rsidRPr="00335CD4">
                        <w:rPr>
                          <w:rFonts w:cs="Tahoma" w:hint="eastAsia"/>
                          <w:color w:val="0B5294"/>
                          <w:spacing w:val="-4"/>
                          <w:sz w:val="24"/>
                          <w:szCs w:val="24"/>
                          <w:rtl/>
                        </w:rPr>
                        <w:t>משירותי</w:t>
                      </w:r>
                      <w:r w:rsidRPr="00335CD4">
                        <w:rPr>
                          <w:rFonts w:cs="Tahoma"/>
                          <w:color w:val="0B5294"/>
                          <w:spacing w:val="-4"/>
                          <w:sz w:val="24"/>
                          <w:szCs w:val="24"/>
                          <w:rtl/>
                        </w:rPr>
                        <w:t xml:space="preserve"> </w:t>
                      </w:r>
                      <w:r w:rsidRPr="00335CD4">
                        <w:rPr>
                          <w:rFonts w:cs="Tahoma" w:hint="eastAsia"/>
                          <w:color w:val="0B5294"/>
                          <w:spacing w:val="-4"/>
                          <w:sz w:val="24"/>
                          <w:szCs w:val="24"/>
                          <w:rtl/>
                        </w:rPr>
                        <w:t>הרווחה</w:t>
                      </w:r>
                      <w:r w:rsidRPr="00335CD4">
                        <w:rPr>
                          <w:rFonts w:cs="Tahoma"/>
                          <w:color w:val="0B5294"/>
                          <w:spacing w:val="-4"/>
                          <w:sz w:val="24"/>
                          <w:szCs w:val="24"/>
                          <w:rtl/>
                        </w:rPr>
                        <w:t xml:space="preserve"> </w:t>
                      </w:r>
                      <w:r w:rsidRPr="00335CD4">
                        <w:rPr>
                          <w:rFonts w:cs="Tahoma" w:hint="eastAsia"/>
                          <w:color w:val="0B5294"/>
                          <w:spacing w:val="-4"/>
                          <w:sz w:val="24"/>
                          <w:szCs w:val="24"/>
                          <w:rtl/>
                        </w:rPr>
                        <w:t>והבריאות</w:t>
                      </w:r>
                      <w:r w:rsidRPr="00335CD4">
                        <w:rPr>
                          <w:rFonts w:cs="Tahoma"/>
                          <w:color w:val="0B5294"/>
                          <w:spacing w:val="-4"/>
                          <w:sz w:val="24"/>
                          <w:szCs w:val="24"/>
                          <w:rtl/>
                        </w:rPr>
                        <w:t xml:space="preserve"> </w:t>
                      </w:r>
                      <w:r w:rsidRPr="00335CD4">
                        <w:rPr>
                          <w:rFonts w:cs="Tahoma" w:hint="eastAsia"/>
                          <w:color w:val="0B5294"/>
                          <w:spacing w:val="-4"/>
                          <w:sz w:val="24"/>
                          <w:szCs w:val="24"/>
                          <w:rtl/>
                        </w:rPr>
                        <w:t>טיפול</w:t>
                      </w:r>
                      <w:r w:rsidRPr="00335CD4">
                        <w:rPr>
                          <w:rFonts w:cs="Tahoma"/>
                          <w:color w:val="0B5294"/>
                          <w:spacing w:val="-4"/>
                          <w:sz w:val="24"/>
                          <w:szCs w:val="24"/>
                          <w:rtl/>
                        </w:rPr>
                        <w:t xml:space="preserve"> </w:t>
                      </w:r>
                      <w:r w:rsidRPr="00335CD4">
                        <w:rPr>
                          <w:rFonts w:cs="Tahoma" w:hint="eastAsia"/>
                          <w:color w:val="0B5294"/>
                          <w:spacing w:val="-4"/>
                          <w:sz w:val="24"/>
                          <w:szCs w:val="24"/>
                          <w:rtl/>
                        </w:rPr>
                        <w:t>בבעייתם</w:t>
                      </w:r>
                    </w:p>
                    <w:p w:rsidR="00290C9B" w:rsidRPr="00373C5D" w:rsidP="00290C9B">
                      <w:pPr>
                        <w:spacing w:before="120" w:after="0" w:line="240" w:lineRule="atLeast"/>
                        <w:rPr>
                          <w:rFonts w:cs="Tahoma"/>
                          <w:b/>
                          <w:bCs/>
                          <w:color w:val="0B5294"/>
                          <w:sz w:val="48"/>
                          <w:szCs w:val="48"/>
                          <w:rtl/>
                        </w:rPr>
                      </w:pPr>
                      <w:drawing>
                        <wp:inline distT="0" distB="0" distL="0" distR="0">
                          <wp:extent cx="288000" cy="31337"/>
                          <wp:effectExtent l="0" t="0" r="0" b="6985"/>
                          <wp:docPr id="5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197677"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1D6D5E" w:rsidRPr="007E10DE" w:rsidP="00211D07">
      <w:pPr>
        <w:pStyle w:val="takzir-text"/>
        <w:bidi/>
        <w:rPr>
          <w:rtl/>
        </w:rPr>
      </w:pPr>
      <w:r w:rsidRPr="00777DAE">
        <w:rPr>
          <w:rStyle w:val="Heading7Char"/>
          <w:rFonts w:ascii="Tahoma" w:hAnsi="Tahoma" w:cs="Tahoma" w:hint="cs"/>
          <w:sz w:val="17"/>
          <w:szCs w:val="17"/>
          <w:rtl/>
        </w:rPr>
        <w:t>שירותי הרווחה:</w:t>
      </w:r>
      <w:r w:rsidRPr="00777DAE">
        <w:rPr>
          <w:rStyle w:val="Heading7Char"/>
          <w:rFonts w:ascii="Tahoma" w:hAnsi="Tahoma" w:cs="Tahoma" w:hint="cs"/>
          <w:b w:val="0"/>
          <w:bCs w:val="0"/>
          <w:sz w:val="17"/>
          <w:szCs w:val="17"/>
          <w:rtl/>
        </w:rPr>
        <w:t xml:space="preserve"> </w:t>
      </w:r>
      <w:r>
        <w:rPr>
          <w:rFonts w:hint="cs"/>
          <w:rtl/>
          <w:lang w:eastAsia="he-IL"/>
        </w:rPr>
        <w:t>אף</w:t>
      </w:r>
      <w:r w:rsidRPr="000D5D8A">
        <w:rPr>
          <w:rFonts w:hint="cs"/>
          <w:rtl/>
          <w:lang w:eastAsia="he-IL"/>
        </w:rPr>
        <w:t xml:space="preserve"> </w:t>
      </w:r>
      <w:r w:rsidRPr="000D5D8A">
        <w:rPr>
          <w:rtl/>
          <w:lang w:eastAsia="he-IL"/>
        </w:rPr>
        <w:t xml:space="preserve">שרבים מהמכורים </w:t>
      </w:r>
      <w:r>
        <w:rPr>
          <w:rFonts w:hint="cs"/>
          <w:rtl/>
          <w:lang w:eastAsia="he-IL"/>
        </w:rPr>
        <w:t>גרים</w:t>
      </w:r>
      <w:r w:rsidRPr="000D5D8A">
        <w:rPr>
          <w:rtl/>
          <w:lang w:eastAsia="he-IL"/>
        </w:rPr>
        <w:t xml:space="preserve"> </w:t>
      </w:r>
      <w:r>
        <w:rPr>
          <w:rFonts w:hint="cs"/>
          <w:rtl/>
          <w:lang w:eastAsia="he-IL"/>
        </w:rPr>
        <w:t xml:space="preserve">עם </w:t>
      </w:r>
      <w:r w:rsidRPr="000D5D8A">
        <w:rPr>
          <w:rtl/>
          <w:lang w:eastAsia="he-IL"/>
        </w:rPr>
        <w:t>משפח</w:t>
      </w:r>
      <w:r>
        <w:rPr>
          <w:rFonts w:hint="cs"/>
          <w:rtl/>
          <w:lang w:eastAsia="he-IL"/>
        </w:rPr>
        <w:t>תם</w:t>
      </w:r>
      <w:r w:rsidRPr="000D5D8A">
        <w:rPr>
          <w:rtl/>
          <w:lang w:eastAsia="he-IL"/>
        </w:rPr>
        <w:t xml:space="preserve"> </w:t>
      </w:r>
      <w:r w:rsidRPr="000D5D8A">
        <w:rPr>
          <w:rFonts w:hint="cs"/>
          <w:rtl/>
          <w:lang w:eastAsia="he-IL"/>
        </w:rPr>
        <w:t>ו</w:t>
      </w:r>
      <w:r>
        <w:rPr>
          <w:rFonts w:hint="cs"/>
          <w:rtl/>
          <w:lang w:eastAsia="he-IL"/>
        </w:rPr>
        <w:t xml:space="preserve">אף שידוע </w:t>
      </w:r>
      <w:r w:rsidRPr="000D5D8A">
        <w:rPr>
          <w:rFonts w:hint="cs"/>
          <w:rtl/>
          <w:lang w:eastAsia="he-IL"/>
        </w:rPr>
        <w:t xml:space="preserve">שהמשפחה היא גורם חשוב בהנעת המכור לקבל טיפול, משרד הרווחה לא עשה די כדי </w:t>
      </w:r>
      <w:r w:rsidRPr="00A16361">
        <w:rPr>
          <w:rtl/>
          <w:lang w:eastAsia="he-IL"/>
        </w:rPr>
        <w:t xml:space="preserve">לאתר את המכורים </w:t>
      </w:r>
      <w:r>
        <w:rPr>
          <w:rFonts w:hint="cs"/>
          <w:rtl/>
          <w:lang w:eastAsia="he-IL"/>
        </w:rPr>
        <w:t>בקרב ה</w:t>
      </w:r>
      <w:r w:rsidRPr="00A16361">
        <w:rPr>
          <w:rtl/>
          <w:lang w:eastAsia="he-IL"/>
        </w:rPr>
        <w:t xml:space="preserve">משפחות </w:t>
      </w:r>
      <w:r>
        <w:rPr>
          <w:rFonts w:hint="cs"/>
          <w:rtl/>
          <w:lang w:eastAsia="he-IL"/>
        </w:rPr>
        <w:t>ה</w:t>
      </w:r>
      <w:r w:rsidRPr="00A16361">
        <w:rPr>
          <w:rtl/>
          <w:lang w:eastAsia="he-IL"/>
        </w:rPr>
        <w:t>מט</w:t>
      </w:r>
      <w:r>
        <w:rPr>
          <w:rFonts w:hint="cs"/>
          <w:rtl/>
          <w:lang w:eastAsia="he-IL"/>
        </w:rPr>
        <w:t>ו</w:t>
      </w:r>
      <w:r w:rsidRPr="00A16361">
        <w:rPr>
          <w:rtl/>
          <w:lang w:eastAsia="he-IL"/>
        </w:rPr>
        <w:t>פלות</w:t>
      </w:r>
      <w:r>
        <w:rPr>
          <w:rFonts w:hint="cs"/>
          <w:rtl/>
          <w:lang w:eastAsia="he-IL"/>
        </w:rPr>
        <w:t xml:space="preserve"> במחלקות לשירותים חברתיים</w:t>
      </w:r>
      <w:r w:rsidRPr="00A16361">
        <w:rPr>
          <w:rtl/>
          <w:lang w:eastAsia="he-IL"/>
        </w:rPr>
        <w:t xml:space="preserve"> </w:t>
      </w:r>
      <w:r>
        <w:rPr>
          <w:rFonts w:hint="cs"/>
          <w:rtl/>
          <w:lang w:eastAsia="he-IL"/>
        </w:rPr>
        <w:t>(להלן - מש"ח)</w:t>
      </w:r>
      <w:r w:rsidRPr="00A16361">
        <w:rPr>
          <w:rtl/>
          <w:lang w:eastAsia="he-IL"/>
        </w:rPr>
        <w:t xml:space="preserve"> </w:t>
      </w:r>
      <w:r>
        <w:rPr>
          <w:rFonts w:hint="cs"/>
          <w:rtl/>
          <w:lang w:eastAsia="he-IL"/>
        </w:rPr>
        <w:t>ו</w:t>
      </w:r>
      <w:r w:rsidRPr="000D5D8A">
        <w:rPr>
          <w:rFonts w:hint="cs"/>
          <w:rtl/>
          <w:lang w:eastAsia="he-IL"/>
        </w:rPr>
        <w:t xml:space="preserve">למסד את שיתוף הפעולה בין </w:t>
      </w:r>
      <w:r>
        <w:rPr>
          <w:rFonts w:hint="cs"/>
          <w:rtl/>
          <w:lang w:eastAsia="he-IL"/>
        </w:rPr>
        <w:t>העובד הסוציאלי המטפל במשפחה (להלן - עו"ס ה</w:t>
      </w:r>
      <w:r w:rsidRPr="000D5D8A">
        <w:rPr>
          <w:rFonts w:hint="cs"/>
          <w:rtl/>
          <w:lang w:eastAsia="he-IL"/>
        </w:rPr>
        <w:t>משפחה</w:t>
      </w:r>
      <w:r>
        <w:rPr>
          <w:rFonts w:hint="cs"/>
          <w:rtl/>
          <w:lang w:eastAsia="he-IL"/>
        </w:rPr>
        <w:t>)</w:t>
      </w:r>
      <w:r w:rsidRPr="000D5D8A">
        <w:rPr>
          <w:rFonts w:hint="cs"/>
          <w:rtl/>
          <w:lang w:eastAsia="he-IL"/>
        </w:rPr>
        <w:t xml:space="preserve"> </w:t>
      </w:r>
      <w:r>
        <w:rPr>
          <w:rFonts w:hint="cs"/>
          <w:rtl/>
          <w:lang w:eastAsia="he-IL"/>
        </w:rPr>
        <w:t>לעובד הסוציאלי ה</w:t>
      </w:r>
      <w:r w:rsidRPr="00603E92">
        <w:rPr>
          <w:rtl/>
          <w:lang w:eastAsia="he-IL"/>
        </w:rPr>
        <w:t>ייעודי לטיפול במכורים</w:t>
      </w:r>
      <w:r>
        <w:rPr>
          <w:rFonts w:hint="cs"/>
          <w:rtl/>
          <w:lang w:eastAsia="he-IL"/>
        </w:rPr>
        <w:t xml:space="preserve"> (להלן - </w:t>
      </w:r>
      <w:r w:rsidRPr="000D5D8A">
        <w:rPr>
          <w:rFonts w:hint="cs"/>
          <w:rtl/>
          <w:lang w:eastAsia="he-IL"/>
        </w:rPr>
        <w:t>עו"ס ההתמכרויות</w:t>
      </w:r>
      <w:r>
        <w:rPr>
          <w:rFonts w:hint="cs"/>
          <w:rtl/>
          <w:lang w:eastAsia="he-IL"/>
        </w:rPr>
        <w:t>)</w:t>
      </w:r>
      <w:r w:rsidRPr="000D5D8A">
        <w:rPr>
          <w:rFonts w:hint="cs"/>
          <w:rtl/>
          <w:lang w:eastAsia="he-IL"/>
        </w:rPr>
        <w:t>. מכורים רבים מקבלים טיפול ב</w:t>
      </w:r>
      <w:r>
        <w:rPr>
          <w:rFonts w:hint="cs"/>
          <w:rtl/>
          <w:lang w:eastAsia="he-IL"/>
        </w:rPr>
        <w:t xml:space="preserve">גין </w:t>
      </w:r>
      <w:r w:rsidRPr="000D5D8A">
        <w:rPr>
          <w:rFonts w:hint="cs"/>
          <w:rtl/>
          <w:lang w:eastAsia="he-IL"/>
        </w:rPr>
        <w:t xml:space="preserve">התמכרותם, אך </w:t>
      </w:r>
      <w:r w:rsidRPr="001977DD">
        <w:rPr>
          <w:rtl/>
          <w:lang w:eastAsia="he-IL"/>
        </w:rPr>
        <w:t xml:space="preserve">לא פעם עו"ס </w:t>
      </w:r>
      <w:r w:rsidRPr="00A2460A">
        <w:rPr>
          <w:rtl/>
          <w:lang w:eastAsia="he-IL"/>
        </w:rPr>
        <w:t xml:space="preserve">המשפחה </w:t>
      </w:r>
      <w:r w:rsidRPr="00A2460A">
        <w:rPr>
          <w:rFonts w:hint="cs"/>
          <w:rtl/>
          <w:lang w:eastAsia="he-IL"/>
        </w:rPr>
        <w:t xml:space="preserve">אינו מודע לבעיית ההתמכרות ולכן אינו </w:t>
      </w:r>
      <w:r>
        <w:rPr>
          <w:rFonts w:hint="cs"/>
          <w:rtl/>
          <w:lang w:eastAsia="he-IL"/>
        </w:rPr>
        <w:t>מעורב בטיפול בה</w:t>
      </w:r>
      <w:r w:rsidRPr="00A2460A">
        <w:rPr>
          <w:rFonts w:hint="cs"/>
          <w:rtl/>
          <w:lang w:eastAsia="he-IL"/>
        </w:rPr>
        <w:t xml:space="preserve"> </w:t>
      </w:r>
      <w:r w:rsidRPr="001977DD">
        <w:rPr>
          <w:rtl/>
          <w:lang w:eastAsia="he-IL"/>
        </w:rPr>
        <w:t>בקרב המשפחות שבטיפולו. אי</w:t>
      </w:r>
      <w:r>
        <w:rPr>
          <w:rFonts w:hint="cs"/>
          <w:rtl/>
          <w:lang w:eastAsia="he-IL"/>
        </w:rPr>
        <w:t>-</w:t>
      </w:r>
      <w:r w:rsidRPr="001977DD">
        <w:rPr>
          <w:rtl/>
          <w:lang w:eastAsia="he-IL"/>
        </w:rPr>
        <w:t xml:space="preserve">איתור בעיית ההתמכרות במשפחה יכול להשפיע על </w:t>
      </w:r>
      <w:r>
        <w:rPr>
          <w:rFonts w:hint="cs"/>
          <w:rtl/>
          <w:lang w:eastAsia="he-IL"/>
        </w:rPr>
        <w:t xml:space="preserve">טיב </w:t>
      </w:r>
      <w:r w:rsidRPr="001977DD">
        <w:rPr>
          <w:rtl/>
          <w:lang w:eastAsia="he-IL"/>
        </w:rPr>
        <w:t xml:space="preserve">הטיפול הסוציאלי </w:t>
      </w:r>
      <w:r>
        <w:rPr>
          <w:rFonts w:hint="cs"/>
          <w:rtl/>
          <w:lang w:eastAsia="he-IL"/>
        </w:rPr>
        <w:t xml:space="preserve">שניתן למשפחה </w:t>
      </w:r>
      <w:r w:rsidRPr="001977DD">
        <w:rPr>
          <w:rtl/>
          <w:lang w:eastAsia="he-IL"/>
        </w:rPr>
        <w:t xml:space="preserve">ולפגוע ביכולתה להיחלץ מסבך הבעיות שבו היא נתונה. </w:t>
      </w:r>
      <w:r w:rsidRPr="000D5D8A">
        <w:rPr>
          <w:rFonts w:hint="cs"/>
          <w:rtl/>
          <w:lang w:eastAsia="he-IL"/>
        </w:rPr>
        <w:t xml:space="preserve">מנגד, עו"ס המשפחה מזהה </w:t>
      </w:r>
      <w:r>
        <w:rPr>
          <w:rFonts w:hint="cs"/>
          <w:rtl/>
          <w:lang w:eastAsia="he-IL"/>
        </w:rPr>
        <w:t>לפעמים</w:t>
      </w:r>
      <w:r w:rsidRPr="000D5D8A">
        <w:rPr>
          <w:rFonts w:hint="cs"/>
          <w:rtl/>
          <w:lang w:eastAsia="he-IL"/>
        </w:rPr>
        <w:t xml:space="preserve"> מכורים מקרב אוכלוסיית מטופליו והם אף רשומים ב</w:t>
      </w:r>
      <w:r>
        <w:rPr>
          <w:rFonts w:hint="cs"/>
          <w:rtl/>
          <w:lang w:eastAsia="he-IL"/>
        </w:rPr>
        <w:t xml:space="preserve">מאגר </w:t>
      </w:r>
      <w:r w:rsidRPr="000D5D8A">
        <w:rPr>
          <w:rFonts w:hint="cs"/>
          <w:rtl/>
          <w:lang w:eastAsia="he-IL"/>
        </w:rPr>
        <w:t xml:space="preserve">נתוני היסוד, אך </w:t>
      </w:r>
      <w:r w:rsidRPr="00D66B4F">
        <w:rPr>
          <w:rtl/>
          <w:lang w:eastAsia="he-IL"/>
        </w:rPr>
        <w:t xml:space="preserve">השירות להתמכרויות לא הנחה את עו"ס ההתמכרויות לאתר </w:t>
      </w:r>
      <w:r w:rsidRPr="00E50F5B">
        <w:rPr>
          <w:rtl/>
          <w:lang w:eastAsia="he-IL"/>
        </w:rPr>
        <w:t>ב</w:t>
      </w:r>
      <w:r w:rsidRPr="00E50F5B">
        <w:rPr>
          <w:rFonts w:hint="cs"/>
          <w:rtl/>
        </w:rPr>
        <w:t>יוזמת</w:t>
      </w:r>
      <w:r>
        <w:rPr>
          <w:rFonts w:hint="cs"/>
          <w:rtl/>
          <w:lang w:eastAsia="he-IL"/>
        </w:rPr>
        <w:t>ם</w:t>
      </w:r>
      <w:r w:rsidRPr="00E50F5B">
        <w:rPr>
          <w:rtl/>
          <w:lang w:eastAsia="he-IL"/>
        </w:rPr>
        <w:t xml:space="preserve"> במאגר</w:t>
      </w:r>
      <w:r w:rsidRPr="00D66B4F">
        <w:rPr>
          <w:rtl/>
          <w:lang w:eastAsia="he-IL"/>
        </w:rPr>
        <w:t xml:space="preserve"> הנתונים של משרד הרווחה את הנזקקים שאותרו </w:t>
      </w:r>
      <w:r w:rsidRPr="00D66B4F">
        <w:rPr>
          <w:rtl/>
          <w:lang w:eastAsia="he-IL"/>
        </w:rPr>
        <w:t>במש"ח</w:t>
      </w:r>
      <w:r w:rsidRPr="00D66B4F">
        <w:rPr>
          <w:rtl/>
          <w:lang w:eastAsia="he-IL"/>
        </w:rPr>
        <w:t xml:space="preserve"> כמכורים ואינם מקבלים טיפול בהתמכרותם. מצב זה יכול ל</w:t>
      </w:r>
      <w:r>
        <w:rPr>
          <w:rFonts w:hint="cs"/>
          <w:rtl/>
          <w:lang w:eastAsia="he-IL"/>
        </w:rPr>
        <w:t xml:space="preserve">הביא לידי </w:t>
      </w:r>
      <w:r w:rsidRPr="00D66B4F">
        <w:rPr>
          <w:rtl/>
          <w:lang w:eastAsia="he-IL"/>
        </w:rPr>
        <w:t xml:space="preserve">כך שהמכור אינו מקבל טיפול מתאים </w:t>
      </w:r>
      <w:r>
        <w:rPr>
          <w:rtl/>
          <w:lang w:eastAsia="he-IL"/>
        </w:rPr>
        <w:t>וגם משפחתו שאתה הוא גר, נפגעת</w:t>
      </w:r>
      <w:r w:rsidRPr="000D5D8A">
        <w:rPr>
          <w:rFonts w:hint="cs"/>
          <w:rtl/>
          <w:lang w:eastAsia="he-IL"/>
        </w:rPr>
        <w:t xml:space="preserve">. </w:t>
      </w:r>
    </w:p>
    <w:p w:rsidR="001D6D5E" w:rsidRPr="00026AE4" w:rsidP="00211D07">
      <w:pPr>
        <w:pStyle w:val="takzir-text"/>
        <w:bidi/>
        <w:rPr>
          <w:rtl/>
        </w:rPr>
      </w:pPr>
      <w:r w:rsidRPr="00777DAE">
        <w:rPr>
          <w:rStyle w:val="Heading7Char"/>
          <w:rFonts w:ascii="Tahoma" w:hAnsi="Tahoma" w:cs="Tahoma" w:hint="cs"/>
          <w:sz w:val="17"/>
          <w:szCs w:val="17"/>
          <w:rtl/>
        </w:rPr>
        <w:t xml:space="preserve">מערכת הבריאות - </w:t>
      </w:r>
      <w:r w:rsidRPr="00777DAE">
        <w:rPr>
          <w:rStyle w:val="Heading7Char"/>
          <w:rFonts w:ascii="Tahoma" w:hAnsi="Tahoma" w:cs="Tahoma"/>
          <w:sz w:val="17"/>
          <w:szCs w:val="17"/>
          <w:rtl/>
        </w:rPr>
        <w:t>איתור והפניה של מכורים המגיעים לחדרי המיון</w:t>
      </w:r>
      <w:r w:rsidRPr="00777DAE">
        <w:rPr>
          <w:rStyle w:val="Heading7Char"/>
          <w:rFonts w:ascii="Tahoma" w:hAnsi="Tahoma" w:cs="Tahoma" w:hint="cs"/>
          <w:sz w:val="17"/>
          <w:szCs w:val="17"/>
          <w:rtl/>
        </w:rPr>
        <w:t>:</w:t>
      </w:r>
      <w:r w:rsidRPr="00837511">
        <w:rPr>
          <w:b/>
          <w:bCs/>
          <w:sz w:val="24"/>
          <w:rtl/>
        </w:rPr>
        <w:t xml:space="preserve"> </w:t>
      </w:r>
      <w:r w:rsidRPr="00936885">
        <w:rPr>
          <w:sz w:val="24"/>
          <w:rtl/>
        </w:rPr>
        <w:t>בחדר</w:t>
      </w:r>
      <w:r>
        <w:rPr>
          <w:rFonts w:hint="cs"/>
          <w:sz w:val="24"/>
          <w:rtl/>
        </w:rPr>
        <w:t>י</w:t>
      </w:r>
      <w:r w:rsidRPr="00936885">
        <w:rPr>
          <w:sz w:val="24"/>
          <w:rtl/>
        </w:rPr>
        <w:t xml:space="preserve"> מיון </w:t>
      </w:r>
      <w:r>
        <w:rPr>
          <w:rFonts w:hint="cs"/>
          <w:sz w:val="24"/>
          <w:rtl/>
        </w:rPr>
        <w:t xml:space="preserve">בבתי החולים פועלים </w:t>
      </w:r>
      <w:r w:rsidRPr="00777DAE">
        <w:rPr>
          <w:rFonts w:hint="cs"/>
          <w:rtl/>
        </w:rPr>
        <w:t>עובדים</w:t>
      </w:r>
      <w:r>
        <w:rPr>
          <w:rFonts w:hint="cs"/>
          <w:sz w:val="24"/>
          <w:rtl/>
        </w:rPr>
        <w:t xml:space="preserve"> סוציאליים </w:t>
      </w:r>
      <w:r w:rsidRPr="00936885">
        <w:rPr>
          <w:rFonts w:hint="cs"/>
          <w:sz w:val="24"/>
          <w:rtl/>
        </w:rPr>
        <w:t>שאמור</w:t>
      </w:r>
      <w:r>
        <w:rPr>
          <w:rFonts w:hint="cs"/>
          <w:sz w:val="24"/>
          <w:rtl/>
        </w:rPr>
        <w:t>ים</w:t>
      </w:r>
      <w:r w:rsidRPr="00936885">
        <w:rPr>
          <w:rFonts w:hint="cs"/>
          <w:sz w:val="24"/>
          <w:rtl/>
        </w:rPr>
        <w:t xml:space="preserve"> </w:t>
      </w:r>
      <w:r w:rsidRPr="00936885">
        <w:rPr>
          <w:sz w:val="24"/>
          <w:rtl/>
        </w:rPr>
        <w:t>לקשר בין החולה ומשפחתו</w:t>
      </w:r>
      <w:r>
        <w:rPr>
          <w:rFonts w:hint="cs"/>
          <w:sz w:val="24"/>
          <w:rtl/>
        </w:rPr>
        <w:t>, לרבות חולים מכורים,</w:t>
      </w:r>
      <w:r w:rsidRPr="00936885">
        <w:rPr>
          <w:sz w:val="24"/>
          <w:rtl/>
        </w:rPr>
        <w:t xml:space="preserve"> </w:t>
      </w:r>
      <w:r>
        <w:rPr>
          <w:rFonts w:hint="cs"/>
          <w:sz w:val="24"/>
          <w:rtl/>
        </w:rPr>
        <w:t>ו</w:t>
      </w:r>
      <w:r w:rsidRPr="00936885">
        <w:rPr>
          <w:sz w:val="24"/>
          <w:rtl/>
        </w:rPr>
        <w:t>בין גורמי הטיפול בקהילה</w:t>
      </w:r>
      <w:r>
        <w:rPr>
          <w:rFonts w:hint="cs"/>
          <w:sz w:val="24"/>
          <w:rtl/>
        </w:rPr>
        <w:t xml:space="preserve">. תפקיד </w:t>
      </w:r>
      <w:r>
        <w:rPr>
          <w:rFonts w:hint="cs"/>
          <w:sz w:val="24"/>
          <w:rtl/>
        </w:rPr>
        <w:t>העו"ס</w:t>
      </w:r>
      <w:r>
        <w:rPr>
          <w:rFonts w:hint="cs"/>
          <w:sz w:val="24"/>
          <w:rtl/>
        </w:rPr>
        <w:t xml:space="preserve"> בחדרי המיון </w:t>
      </w:r>
      <w:r w:rsidRPr="00936885">
        <w:rPr>
          <w:sz w:val="24"/>
          <w:rtl/>
        </w:rPr>
        <w:t xml:space="preserve">מאויש רק </w:t>
      </w:r>
      <w:r>
        <w:rPr>
          <w:rFonts w:hint="cs"/>
          <w:sz w:val="24"/>
          <w:rtl/>
        </w:rPr>
        <w:t>ב</w:t>
      </w:r>
      <w:r w:rsidRPr="00936885">
        <w:rPr>
          <w:sz w:val="24"/>
          <w:rtl/>
        </w:rPr>
        <w:t xml:space="preserve">משמרות בוקר </w:t>
      </w:r>
      <w:r>
        <w:rPr>
          <w:rFonts w:hint="cs"/>
          <w:sz w:val="24"/>
          <w:rtl/>
        </w:rPr>
        <w:t>ב</w:t>
      </w:r>
      <w:r w:rsidRPr="00936885">
        <w:rPr>
          <w:sz w:val="24"/>
          <w:rtl/>
        </w:rPr>
        <w:t>ימי חול</w:t>
      </w:r>
      <w:r>
        <w:rPr>
          <w:rStyle w:val="FootnoteReference0"/>
          <w:sz w:val="24"/>
          <w:rtl/>
        </w:rPr>
        <w:footnoteReference w:id="6"/>
      </w:r>
      <w:r w:rsidRPr="00936885">
        <w:rPr>
          <w:rFonts w:hint="cs"/>
          <w:sz w:val="24"/>
          <w:rtl/>
        </w:rPr>
        <w:t xml:space="preserve">. </w:t>
      </w:r>
      <w:r>
        <w:rPr>
          <w:rFonts w:hint="cs"/>
          <w:sz w:val="24"/>
          <w:rtl/>
        </w:rPr>
        <w:t xml:space="preserve">אולם </w:t>
      </w:r>
      <w:r w:rsidRPr="007C3BD0">
        <w:rPr>
          <w:sz w:val="24"/>
          <w:rtl/>
        </w:rPr>
        <w:t xml:space="preserve">מרבית הפונים לחדרי המיון על רקע שימוש באלכוהול ובסמים מגיעים לחדרי המיון </w:t>
      </w:r>
      <w:r w:rsidRPr="007C3BD0">
        <w:rPr>
          <w:sz w:val="24"/>
          <w:rtl/>
        </w:rPr>
        <w:t>בשעות אחר הצהריים</w:t>
      </w:r>
      <w:r>
        <w:rPr>
          <w:rFonts w:hint="cs"/>
          <w:sz w:val="24"/>
          <w:rtl/>
        </w:rPr>
        <w:t>,</w:t>
      </w:r>
      <w:r w:rsidRPr="007C3BD0">
        <w:rPr>
          <w:sz w:val="24"/>
          <w:rtl/>
        </w:rPr>
        <w:t xml:space="preserve"> הערב </w:t>
      </w:r>
      <w:r>
        <w:rPr>
          <w:rFonts w:hint="cs"/>
          <w:sz w:val="24"/>
          <w:rtl/>
        </w:rPr>
        <w:t>א</w:t>
      </w:r>
      <w:r w:rsidRPr="007C3BD0">
        <w:rPr>
          <w:sz w:val="24"/>
          <w:rtl/>
        </w:rPr>
        <w:t>ו</w:t>
      </w:r>
      <w:r>
        <w:rPr>
          <w:rFonts w:hint="cs"/>
          <w:sz w:val="24"/>
          <w:rtl/>
        </w:rPr>
        <w:t xml:space="preserve"> </w:t>
      </w:r>
      <w:r w:rsidRPr="007C3BD0">
        <w:rPr>
          <w:sz w:val="24"/>
          <w:rtl/>
        </w:rPr>
        <w:t>הלילה ובסופי שבוע.</w:t>
      </w:r>
      <w:r>
        <w:rPr>
          <w:rFonts w:hint="cs"/>
          <w:sz w:val="24"/>
          <w:rtl/>
        </w:rPr>
        <w:t xml:space="preserve"> יוצא ש</w:t>
      </w:r>
      <w:r w:rsidRPr="00936885">
        <w:rPr>
          <w:rFonts w:hint="cs"/>
          <w:sz w:val="24"/>
          <w:rtl/>
        </w:rPr>
        <w:t xml:space="preserve">מכורים </w:t>
      </w:r>
      <w:r>
        <w:rPr>
          <w:rFonts w:hint="cs"/>
          <w:sz w:val="24"/>
          <w:rtl/>
        </w:rPr>
        <w:t xml:space="preserve">הפונים </w:t>
      </w:r>
      <w:r w:rsidRPr="00936885">
        <w:rPr>
          <w:rFonts w:hint="cs"/>
          <w:sz w:val="24"/>
          <w:rtl/>
        </w:rPr>
        <w:t xml:space="preserve">לחדרי המיון </w:t>
      </w:r>
      <w:r>
        <w:rPr>
          <w:rFonts w:hint="cs"/>
          <w:sz w:val="24"/>
          <w:rtl/>
        </w:rPr>
        <w:t xml:space="preserve">שלא </w:t>
      </w:r>
      <w:r w:rsidRPr="00936885">
        <w:rPr>
          <w:rFonts w:hint="cs"/>
          <w:sz w:val="24"/>
          <w:rtl/>
        </w:rPr>
        <w:t>במשמרת בוקר</w:t>
      </w:r>
      <w:r>
        <w:rPr>
          <w:rFonts w:hint="cs"/>
          <w:sz w:val="24"/>
          <w:rtl/>
        </w:rPr>
        <w:t>,</w:t>
      </w:r>
      <w:r w:rsidRPr="00936885">
        <w:rPr>
          <w:rFonts w:hint="cs"/>
          <w:sz w:val="24"/>
          <w:rtl/>
        </w:rPr>
        <w:t xml:space="preserve"> א</w:t>
      </w:r>
      <w:r>
        <w:rPr>
          <w:rFonts w:hint="cs"/>
          <w:sz w:val="24"/>
          <w:rtl/>
        </w:rPr>
        <w:t>ינם</w:t>
      </w:r>
      <w:r w:rsidRPr="00936885">
        <w:rPr>
          <w:rFonts w:hint="cs"/>
          <w:sz w:val="24"/>
          <w:rtl/>
        </w:rPr>
        <w:t xml:space="preserve"> פוגשים עו"ס</w:t>
      </w:r>
      <w:r>
        <w:rPr>
          <w:rFonts w:hint="cs"/>
          <w:sz w:val="24"/>
          <w:rtl/>
        </w:rPr>
        <w:t>,</w:t>
      </w:r>
      <w:r w:rsidRPr="00936885">
        <w:rPr>
          <w:rFonts w:hint="cs"/>
          <w:sz w:val="24"/>
          <w:rtl/>
        </w:rPr>
        <w:t xml:space="preserve"> ולכן </w:t>
      </w:r>
      <w:r>
        <w:rPr>
          <w:rFonts w:hint="cs"/>
          <w:sz w:val="24"/>
          <w:rtl/>
        </w:rPr>
        <w:t xml:space="preserve">אינם </w:t>
      </w:r>
      <w:r w:rsidRPr="00936885">
        <w:rPr>
          <w:rFonts w:hint="cs"/>
          <w:sz w:val="24"/>
          <w:rtl/>
        </w:rPr>
        <w:t>עוברים הערכה</w:t>
      </w:r>
      <w:r>
        <w:rPr>
          <w:rFonts w:hint="cs"/>
          <w:sz w:val="24"/>
          <w:rtl/>
        </w:rPr>
        <w:t>, ו</w:t>
      </w:r>
      <w:r w:rsidRPr="00936885">
        <w:rPr>
          <w:rFonts w:hint="cs"/>
          <w:sz w:val="24"/>
          <w:rtl/>
        </w:rPr>
        <w:t xml:space="preserve">אם </w:t>
      </w:r>
      <w:r>
        <w:rPr>
          <w:rFonts w:hint="cs"/>
          <w:sz w:val="24"/>
          <w:rtl/>
        </w:rPr>
        <w:t>יש צורך</w:t>
      </w:r>
      <w:r w:rsidRPr="00936885">
        <w:rPr>
          <w:rFonts w:hint="cs"/>
          <w:sz w:val="24"/>
          <w:rtl/>
        </w:rPr>
        <w:t xml:space="preserve"> </w:t>
      </w:r>
      <w:r>
        <w:rPr>
          <w:rFonts w:hint="cs"/>
          <w:sz w:val="24"/>
          <w:rtl/>
        </w:rPr>
        <w:t>ב</w:t>
      </w:r>
      <w:r w:rsidRPr="00936885">
        <w:rPr>
          <w:rFonts w:hint="cs"/>
          <w:sz w:val="24"/>
          <w:rtl/>
        </w:rPr>
        <w:t xml:space="preserve">המשך טיפול </w:t>
      </w:r>
      <w:r>
        <w:rPr>
          <w:rFonts w:hint="cs"/>
          <w:sz w:val="24"/>
          <w:rtl/>
        </w:rPr>
        <w:t xml:space="preserve">- הם אינם </w:t>
      </w:r>
      <w:r w:rsidRPr="00936885">
        <w:rPr>
          <w:rFonts w:hint="cs"/>
          <w:sz w:val="24"/>
          <w:rtl/>
        </w:rPr>
        <w:t>מופנים לטיפול בהתמכרותם לאחר שחרורם מחדר המיון.</w:t>
      </w:r>
    </w:p>
    <w:p w:rsidR="001D6D5E" w:rsidRPr="00777DAE" w:rsidP="00211D07">
      <w:pPr>
        <w:pStyle w:val="takzir"/>
        <w:rPr>
          <w:rFonts w:ascii="Tahoma" w:hAnsi="Tahoma" w:cs="Tahoma"/>
          <w:b w:val="0"/>
          <w:bCs w:val="0"/>
          <w:noProof w:val="0"/>
          <w:sz w:val="28"/>
          <w:rtl/>
        </w:rPr>
      </w:pPr>
    </w:p>
    <w:p w:rsidR="001D6D5E" w:rsidRPr="00777DAE" w:rsidP="00211D07">
      <w:pPr>
        <w:pStyle w:val="KOT5T"/>
        <w:rPr>
          <w:rtl/>
        </w:rPr>
      </w:pPr>
      <w:r w:rsidRPr="00777DAE">
        <w:rPr>
          <w:rtl/>
        </w:rPr>
        <w:t xml:space="preserve">קביעת מדיניות טיפול במכורים להימורים </w:t>
      </w:r>
      <w:r>
        <w:rPr>
          <w:rFonts w:hint="cs"/>
          <w:rtl/>
        </w:rPr>
        <w:br/>
      </w:r>
      <w:r w:rsidRPr="00777DAE">
        <w:rPr>
          <w:rtl/>
        </w:rPr>
        <w:t>ולתרופות מרשם</w:t>
      </w:r>
    </w:p>
    <w:p w:rsidR="001D6D5E" w:rsidRPr="00FD067E" w:rsidP="00211D07">
      <w:pPr>
        <w:pStyle w:val="takzir-text"/>
        <w:bidi/>
        <w:rPr>
          <w:rtl/>
        </w:rPr>
      </w:pPr>
      <w:r w:rsidRPr="00777DAE">
        <w:rPr>
          <w:rStyle w:val="Heading7Char"/>
          <w:rFonts w:ascii="Tahoma" w:hAnsi="Tahoma" w:cs="Tahoma"/>
          <w:sz w:val="17"/>
          <w:szCs w:val="17"/>
          <w:rtl/>
        </w:rPr>
        <w:t>מכורים להימורים</w:t>
      </w:r>
      <w:r w:rsidRPr="00777DAE">
        <w:rPr>
          <w:rStyle w:val="Heading7Char"/>
          <w:rFonts w:ascii="Tahoma" w:hAnsi="Tahoma" w:cs="Tahoma" w:hint="cs"/>
          <w:sz w:val="17"/>
          <w:szCs w:val="17"/>
          <w:rtl/>
        </w:rPr>
        <w:t>:</w:t>
      </w:r>
      <w:r w:rsidRPr="00455D99">
        <w:rPr>
          <w:rFonts w:hint="cs"/>
          <w:sz w:val="24"/>
          <w:rtl/>
        </w:rPr>
        <w:t xml:space="preserve"> עד מועד סיום הביקורת</w:t>
      </w:r>
      <w:r>
        <w:rPr>
          <w:rFonts w:hint="cs"/>
          <w:sz w:val="24"/>
          <w:rtl/>
        </w:rPr>
        <w:t xml:space="preserve"> באוגוסט 2018, </w:t>
      </w:r>
      <w:r w:rsidRPr="00455D99">
        <w:rPr>
          <w:rFonts w:hint="cs"/>
          <w:sz w:val="24"/>
          <w:rtl/>
        </w:rPr>
        <w:t>כמעט 15 שנה</w:t>
      </w:r>
      <w:r w:rsidRPr="00455D99">
        <w:rPr>
          <w:sz w:val="24"/>
          <w:rtl/>
        </w:rPr>
        <w:t xml:space="preserve"> מאז </w:t>
      </w:r>
      <w:r>
        <w:rPr>
          <w:rFonts w:hint="cs"/>
          <w:sz w:val="24"/>
          <w:rtl/>
        </w:rPr>
        <w:t>ש</w:t>
      </w:r>
      <w:r w:rsidRPr="00455D99">
        <w:rPr>
          <w:rFonts w:hint="cs"/>
          <w:sz w:val="24"/>
          <w:rtl/>
        </w:rPr>
        <w:t xml:space="preserve">מנכ"ל משרד הרווחה </w:t>
      </w:r>
      <w:r>
        <w:rPr>
          <w:rFonts w:hint="cs"/>
          <w:sz w:val="24"/>
          <w:rtl/>
        </w:rPr>
        <w:t xml:space="preserve">כלל </w:t>
      </w:r>
      <w:r w:rsidRPr="00455D99">
        <w:rPr>
          <w:rFonts w:hint="cs"/>
          <w:sz w:val="24"/>
          <w:rtl/>
        </w:rPr>
        <w:t xml:space="preserve">את </w:t>
      </w:r>
      <w:r w:rsidRPr="00455D99">
        <w:rPr>
          <w:sz w:val="24"/>
          <w:rtl/>
        </w:rPr>
        <w:t xml:space="preserve">הסובלים מבעיית הימורים </w:t>
      </w:r>
      <w:r w:rsidRPr="00455D99">
        <w:rPr>
          <w:rFonts w:hint="cs"/>
          <w:sz w:val="24"/>
          <w:rtl/>
        </w:rPr>
        <w:t>ב</w:t>
      </w:r>
      <w:r w:rsidRPr="00455D99">
        <w:rPr>
          <w:sz w:val="24"/>
          <w:rtl/>
        </w:rPr>
        <w:t xml:space="preserve">אוכלוסיית היעד לטיפול של </w:t>
      </w:r>
      <w:r w:rsidRPr="00132AB3">
        <w:rPr>
          <w:sz w:val="24"/>
          <w:rtl/>
        </w:rPr>
        <w:t>השירות להתמכרויות</w:t>
      </w:r>
      <w:r>
        <w:rPr>
          <w:rFonts w:hint="cs"/>
          <w:sz w:val="24"/>
          <w:rtl/>
        </w:rPr>
        <w:t xml:space="preserve"> -</w:t>
      </w:r>
      <w:r w:rsidRPr="00455D99">
        <w:rPr>
          <w:rFonts w:hint="cs"/>
          <w:sz w:val="24"/>
          <w:rtl/>
        </w:rPr>
        <w:t xml:space="preserve"> טרם פיתח</w:t>
      </w:r>
      <w:r w:rsidRPr="00455D99">
        <w:rPr>
          <w:sz w:val="24"/>
          <w:rtl/>
        </w:rPr>
        <w:t xml:space="preserve"> </w:t>
      </w:r>
      <w:r w:rsidRPr="00455D99">
        <w:rPr>
          <w:rFonts w:hint="cs"/>
          <w:sz w:val="24"/>
          <w:rtl/>
        </w:rPr>
        <w:t xml:space="preserve">השירות </w:t>
      </w:r>
      <w:r w:rsidRPr="00777DAE">
        <w:rPr>
          <w:rFonts w:hint="cs"/>
          <w:rtl/>
        </w:rPr>
        <w:t>מדיניות</w:t>
      </w:r>
      <w:r w:rsidRPr="00DB1B49">
        <w:rPr>
          <w:rFonts w:hint="cs"/>
          <w:sz w:val="24"/>
          <w:rtl/>
        </w:rPr>
        <w:t xml:space="preserve"> </w:t>
      </w:r>
      <w:r w:rsidRPr="00DB1B49">
        <w:rPr>
          <w:rFonts w:hint="cs"/>
          <w:rtl/>
        </w:rPr>
        <w:t>ייעודית לטיפול במכורים להימורים</w:t>
      </w:r>
      <w:r w:rsidRPr="00DB1B49">
        <w:rPr>
          <w:rFonts w:hint="cs"/>
          <w:sz w:val="24"/>
          <w:rtl/>
        </w:rPr>
        <w:t xml:space="preserve">. </w:t>
      </w:r>
    </w:p>
    <w:p w:rsidR="001D6D5E" w:rsidRPr="00FD067E" w:rsidP="00335CD4">
      <w:pPr>
        <w:pStyle w:val="takzir-text"/>
        <w:bidi/>
        <w:rPr>
          <w:rtl/>
        </w:rPr>
      </w:pPr>
      <w:r w:rsidRPr="00777DAE">
        <w:rPr>
          <w:rStyle w:val="Heading7Char"/>
          <w:rFonts w:ascii="Tahoma" w:hAnsi="Tahoma" w:cs="Tahoma"/>
          <w:sz w:val="17"/>
          <w:szCs w:val="17"/>
          <w:rtl/>
        </w:rPr>
        <w:t>מכורים לתרופות מרשם</w:t>
      </w:r>
      <w:r w:rsidRPr="00777DAE">
        <w:rPr>
          <w:rStyle w:val="Heading7Char"/>
          <w:rFonts w:ascii="Tahoma" w:hAnsi="Tahoma" w:cs="Tahoma" w:hint="cs"/>
          <w:sz w:val="17"/>
          <w:szCs w:val="17"/>
          <w:rtl/>
        </w:rPr>
        <w:t>:</w:t>
      </w:r>
      <w:r>
        <w:rPr>
          <w:rFonts w:hint="cs"/>
          <w:sz w:val="24"/>
          <w:rtl/>
        </w:rPr>
        <w:t xml:space="preserve"> </w:t>
      </w:r>
      <w:r w:rsidRPr="002B256C">
        <w:rPr>
          <w:rFonts w:hint="cs"/>
          <w:sz w:val="24"/>
          <w:rtl/>
        </w:rPr>
        <w:t>למשרד הבריאות אין מסד נתונים ארצי ב</w:t>
      </w:r>
      <w:r>
        <w:rPr>
          <w:rFonts w:hint="cs"/>
          <w:sz w:val="24"/>
          <w:rtl/>
        </w:rPr>
        <w:t xml:space="preserve">נוגע להיקף המכורים </w:t>
      </w:r>
      <w:r w:rsidRPr="002B256C">
        <w:rPr>
          <w:rFonts w:hint="cs"/>
          <w:sz w:val="24"/>
          <w:rtl/>
        </w:rPr>
        <w:t>לתרופות מרשם</w:t>
      </w:r>
      <w:r>
        <w:rPr>
          <w:rFonts w:hint="cs"/>
          <w:sz w:val="24"/>
          <w:rtl/>
        </w:rPr>
        <w:t>,</w:t>
      </w:r>
      <w:r w:rsidRPr="002B256C">
        <w:rPr>
          <w:rFonts w:hint="cs"/>
          <w:sz w:val="24"/>
          <w:rtl/>
        </w:rPr>
        <w:t xml:space="preserve"> </w:t>
      </w:r>
      <w:r w:rsidRPr="00017749">
        <w:rPr>
          <w:sz w:val="24"/>
          <w:rtl/>
        </w:rPr>
        <w:t>ובלעדיו לא ניתן לגבש מדיניות בנושא.</w:t>
      </w:r>
      <w:r w:rsidRPr="00290C9B" w:rsidR="00290C9B">
        <w:rPr>
          <w:szCs w:val="17"/>
          <w:rtl/>
        </w:rPr>
        <w:t xml:space="preserve"> </w:t>
      </w:r>
      <w:r w:rsidRPr="0012789B" w:rsidR="00290C9B">
        <w:rPr>
          <w:noProof/>
          <w:szCs w:val="17"/>
          <w:rtl/>
        </w:rPr>
        <mc:AlternateContent>
          <mc:Choice Requires="wps">
            <w:drawing>
              <wp:anchor distT="0" distB="0" distL="114300" distR="114300" simplePos="0" relativeHeight="251684864" behindDoc="1" locked="0" layoutInCell="1" allowOverlap="1">
                <wp:simplePos x="0" y="0"/>
                <wp:positionH relativeFrom="margin">
                  <wp:posOffset>-431800</wp:posOffset>
                </wp:positionH>
                <wp:positionV relativeFrom="margin">
                  <wp:align>top</wp:align>
                </wp:positionV>
                <wp:extent cx="1512000" cy="4590000"/>
                <wp:effectExtent l="0" t="0" r="0" b="1270"/>
                <wp:wrapNone/>
                <wp:docPr id="50"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512000" cy="4590000"/>
                        </a:xfrm>
                        <a:prstGeom prst="rect">
                          <a:avLst/>
                        </a:prstGeom>
                        <a:noFill/>
                        <a:ln w="9525">
                          <a:noFill/>
                          <a:miter lim="800000"/>
                          <a:headEnd/>
                          <a:tailEnd/>
                        </a:ln>
                      </wps:spPr>
                      <wps:txbx>
                        <w:txbxContent>
                          <w:p w:rsidR="00290C9B" w:rsidRPr="00373C5D" w:rsidP="00290C9B">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31380969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434633"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290C9B" w:rsidRPr="001762F4" w:rsidP="00290C9B">
                            <w:pPr>
                              <w:spacing w:after="0" w:line="240" w:lineRule="auto"/>
                              <w:rPr>
                                <w:rFonts w:cs="Tahoma"/>
                                <w:color w:val="0B5294"/>
                                <w:spacing w:val="-4"/>
                                <w:sz w:val="24"/>
                                <w:szCs w:val="24"/>
                                <w:rtl/>
                                <w:cs/>
                              </w:rPr>
                            </w:pPr>
                            <w:r w:rsidRPr="00335CD4">
                              <w:rPr>
                                <w:rFonts w:cs="Tahoma" w:hint="eastAsia"/>
                                <w:color w:val="0B5294"/>
                                <w:spacing w:val="-4"/>
                                <w:sz w:val="24"/>
                                <w:szCs w:val="24"/>
                                <w:rtl/>
                              </w:rPr>
                              <w:t>למשרד</w:t>
                            </w:r>
                            <w:r w:rsidRPr="00335CD4">
                              <w:rPr>
                                <w:rFonts w:cs="Tahoma"/>
                                <w:color w:val="0B5294"/>
                                <w:spacing w:val="-4"/>
                                <w:sz w:val="24"/>
                                <w:szCs w:val="24"/>
                                <w:rtl/>
                              </w:rPr>
                              <w:t xml:space="preserve"> </w:t>
                            </w:r>
                            <w:r w:rsidRPr="00335CD4">
                              <w:rPr>
                                <w:rFonts w:cs="Tahoma" w:hint="eastAsia"/>
                                <w:color w:val="0B5294"/>
                                <w:spacing w:val="-4"/>
                                <w:sz w:val="24"/>
                                <w:szCs w:val="24"/>
                                <w:rtl/>
                              </w:rPr>
                              <w:t>הבריאות</w:t>
                            </w:r>
                            <w:r w:rsidRPr="00335CD4">
                              <w:rPr>
                                <w:rFonts w:cs="Tahoma"/>
                                <w:color w:val="0B5294"/>
                                <w:spacing w:val="-4"/>
                                <w:sz w:val="24"/>
                                <w:szCs w:val="24"/>
                                <w:rtl/>
                              </w:rPr>
                              <w:t xml:space="preserve"> </w:t>
                            </w:r>
                            <w:r w:rsidRPr="00335CD4">
                              <w:rPr>
                                <w:rFonts w:cs="Tahoma" w:hint="eastAsia"/>
                                <w:color w:val="0B5294"/>
                                <w:spacing w:val="-4"/>
                                <w:sz w:val="24"/>
                                <w:szCs w:val="24"/>
                                <w:rtl/>
                              </w:rPr>
                              <w:t>אין</w:t>
                            </w:r>
                            <w:r w:rsidRPr="00335CD4">
                              <w:rPr>
                                <w:rFonts w:cs="Tahoma"/>
                                <w:color w:val="0B5294"/>
                                <w:spacing w:val="-4"/>
                                <w:sz w:val="24"/>
                                <w:szCs w:val="24"/>
                                <w:rtl/>
                              </w:rPr>
                              <w:t xml:space="preserve"> </w:t>
                            </w:r>
                            <w:r w:rsidRPr="00335CD4">
                              <w:rPr>
                                <w:rFonts w:cs="Tahoma" w:hint="eastAsia"/>
                                <w:color w:val="0B5294"/>
                                <w:spacing w:val="-4"/>
                                <w:sz w:val="24"/>
                                <w:szCs w:val="24"/>
                                <w:rtl/>
                              </w:rPr>
                              <w:t>מסד</w:t>
                            </w:r>
                            <w:r w:rsidRPr="00335CD4">
                              <w:rPr>
                                <w:rFonts w:cs="Tahoma"/>
                                <w:color w:val="0B5294"/>
                                <w:spacing w:val="-4"/>
                                <w:sz w:val="24"/>
                                <w:szCs w:val="24"/>
                                <w:rtl/>
                              </w:rPr>
                              <w:t xml:space="preserve"> </w:t>
                            </w:r>
                            <w:r w:rsidRPr="00335CD4">
                              <w:rPr>
                                <w:rFonts w:cs="Tahoma" w:hint="eastAsia"/>
                                <w:color w:val="0B5294"/>
                                <w:spacing w:val="-4"/>
                                <w:sz w:val="24"/>
                                <w:szCs w:val="24"/>
                                <w:rtl/>
                              </w:rPr>
                              <w:t>נתונים</w:t>
                            </w:r>
                            <w:r w:rsidRPr="00335CD4">
                              <w:rPr>
                                <w:rFonts w:cs="Tahoma"/>
                                <w:color w:val="0B5294"/>
                                <w:spacing w:val="-4"/>
                                <w:sz w:val="24"/>
                                <w:szCs w:val="24"/>
                                <w:rtl/>
                              </w:rPr>
                              <w:t xml:space="preserve"> </w:t>
                            </w:r>
                            <w:r w:rsidRPr="00335CD4">
                              <w:rPr>
                                <w:rFonts w:cs="Tahoma" w:hint="eastAsia"/>
                                <w:color w:val="0B5294"/>
                                <w:spacing w:val="-4"/>
                                <w:sz w:val="24"/>
                                <w:szCs w:val="24"/>
                                <w:rtl/>
                              </w:rPr>
                              <w:t>ארצי</w:t>
                            </w:r>
                            <w:r w:rsidRPr="00335CD4">
                              <w:rPr>
                                <w:rFonts w:cs="Tahoma"/>
                                <w:color w:val="0B5294"/>
                                <w:spacing w:val="-4"/>
                                <w:sz w:val="24"/>
                                <w:szCs w:val="24"/>
                                <w:rtl/>
                              </w:rPr>
                              <w:t xml:space="preserve"> </w:t>
                            </w:r>
                            <w:r w:rsidRPr="00335CD4">
                              <w:rPr>
                                <w:rFonts w:cs="Tahoma" w:hint="eastAsia"/>
                                <w:color w:val="0B5294"/>
                                <w:spacing w:val="-4"/>
                                <w:sz w:val="24"/>
                                <w:szCs w:val="24"/>
                                <w:rtl/>
                              </w:rPr>
                              <w:t>בנוגע</w:t>
                            </w:r>
                            <w:r w:rsidRPr="00335CD4">
                              <w:rPr>
                                <w:rFonts w:cs="Tahoma"/>
                                <w:color w:val="0B5294"/>
                                <w:spacing w:val="-4"/>
                                <w:sz w:val="24"/>
                                <w:szCs w:val="24"/>
                                <w:rtl/>
                              </w:rPr>
                              <w:t xml:space="preserve"> </w:t>
                            </w:r>
                            <w:r w:rsidRPr="00335CD4">
                              <w:rPr>
                                <w:rFonts w:cs="Tahoma" w:hint="eastAsia"/>
                                <w:color w:val="0B5294"/>
                                <w:spacing w:val="-4"/>
                                <w:sz w:val="24"/>
                                <w:szCs w:val="24"/>
                                <w:rtl/>
                              </w:rPr>
                              <w:t>להיקף</w:t>
                            </w:r>
                            <w:r w:rsidRPr="00335CD4">
                              <w:rPr>
                                <w:rFonts w:cs="Tahoma"/>
                                <w:color w:val="0B5294"/>
                                <w:spacing w:val="-4"/>
                                <w:sz w:val="24"/>
                                <w:szCs w:val="24"/>
                                <w:rtl/>
                              </w:rPr>
                              <w:t xml:space="preserve"> </w:t>
                            </w:r>
                            <w:r w:rsidRPr="00335CD4">
                              <w:rPr>
                                <w:rFonts w:cs="Tahoma" w:hint="eastAsia"/>
                                <w:color w:val="0B5294"/>
                                <w:spacing w:val="-4"/>
                                <w:sz w:val="24"/>
                                <w:szCs w:val="24"/>
                                <w:rtl/>
                              </w:rPr>
                              <w:t>המכורים</w:t>
                            </w:r>
                            <w:r w:rsidRPr="00335CD4">
                              <w:rPr>
                                <w:rFonts w:cs="Tahoma"/>
                                <w:color w:val="0B5294"/>
                                <w:spacing w:val="-4"/>
                                <w:sz w:val="24"/>
                                <w:szCs w:val="24"/>
                                <w:rtl/>
                              </w:rPr>
                              <w:t xml:space="preserve"> </w:t>
                            </w:r>
                            <w:r w:rsidRPr="00335CD4">
                              <w:rPr>
                                <w:rFonts w:cs="Tahoma" w:hint="eastAsia"/>
                                <w:color w:val="0B5294"/>
                                <w:spacing w:val="-4"/>
                                <w:sz w:val="24"/>
                                <w:szCs w:val="24"/>
                                <w:rtl/>
                              </w:rPr>
                              <w:t>לתרופות</w:t>
                            </w:r>
                            <w:r w:rsidRPr="00335CD4">
                              <w:rPr>
                                <w:rFonts w:cs="Tahoma"/>
                                <w:color w:val="0B5294"/>
                                <w:spacing w:val="-4"/>
                                <w:sz w:val="24"/>
                                <w:szCs w:val="24"/>
                                <w:rtl/>
                              </w:rPr>
                              <w:t xml:space="preserve"> </w:t>
                            </w:r>
                            <w:r w:rsidRPr="00335CD4">
                              <w:rPr>
                                <w:rFonts w:cs="Tahoma" w:hint="eastAsia"/>
                                <w:color w:val="0B5294"/>
                                <w:spacing w:val="-4"/>
                                <w:sz w:val="24"/>
                                <w:szCs w:val="24"/>
                                <w:rtl/>
                              </w:rPr>
                              <w:t>מרשם</w:t>
                            </w:r>
                            <w:r w:rsidRPr="00335CD4">
                              <w:rPr>
                                <w:rFonts w:cs="Tahoma"/>
                                <w:color w:val="0B5294"/>
                                <w:spacing w:val="-4"/>
                                <w:sz w:val="24"/>
                                <w:szCs w:val="24"/>
                                <w:rtl/>
                              </w:rPr>
                              <w:t xml:space="preserve">, </w:t>
                            </w:r>
                            <w:r w:rsidRPr="00335CD4">
                              <w:rPr>
                                <w:rFonts w:cs="Tahoma" w:hint="eastAsia"/>
                                <w:color w:val="0B5294"/>
                                <w:spacing w:val="-4"/>
                                <w:sz w:val="24"/>
                                <w:szCs w:val="24"/>
                                <w:rtl/>
                              </w:rPr>
                              <w:t>ובלעדיו</w:t>
                            </w:r>
                            <w:r w:rsidRPr="00335CD4">
                              <w:rPr>
                                <w:rFonts w:cs="Tahoma"/>
                                <w:color w:val="0B5294"/>
                                <w:spacing w:val="-4"/>
                                <w:sz w:val="24"/>
                                <w:szCs w:val="24"/>
                                <w:rtl/>
                              </w:rPr>
                              <w:t xml:space="preserve"> </w:t>
                            </w:r>
                            <w:r w:rsidRPr="00335CD4">
                              <w:rPr>
                                <w:rFonts w:cs="Tahoma" w:hint="eastAsia"/>
                                <w:color w:val="0B5294"/>
                                <w:spacing w:val="-4"/>
                                <w:sz w:val="24"/>
                                <w:szCs w:val="24"/>
                                <w:rtl/>
                              </w:rPr>
                              <w:t>לא</w:t>
                            </w:r>
                            <w:r w:rsidRPr="00335CD4">
                              <w:rPr>
                                <w:rFonts w:cs="Tahoma"/>
                                <w:color w:val="0B5294"/>
                                <w:spacing w:val="-4"/>
                                <w:sz w:val="24"/>
                                <w:szCs w:val="24"/>
                                <w:rtl/>
                              </w:rPr>
                              <w:t xml:space="preserve"> </w:t>
                            </w:r>
                            <w:r w:rsidRPr="00335CD4">
                              <w:rPr>
                                <w:rFonts w:cs="Tahoma" w:hint="eastAsia"/>
                                <w:color w:val="0B5294"/>
                                <w:spacing w:val="-4"/>
                                <w:sz w:val="24"/>
                                <w:szCs w:val="24"/>
                                <w:rtl/>
                              </w:rPr>
                              <w:t>ניתן</w:t>
                            </w:r>
                            <w:r w:rsidRPr="00335CD4">
                              <w:rPr>
                                <w:rFonts w:cs="Tahoma"/>
                                <w:color w:val="0B5294"/>
                                <w:spacing w:val="-4"/>
                                <w:sz w:val="24"/>
                                <w:szCs w:val="24"/>
                                <w:rtl/>
                              </w:rPr>
                              <w:t xml:space="preserve"> </w:t>
                            </w:r>
                            <w:r w:rsidRPr="00335CD4">
                              <w:rPr>
                                <w:rFonts w:cs="Tahoma" w:hint="eastAsia"/>
                                <w:color w:val="0B5294"/>
                                <w:spacing w:val="-4"/>
                                <w:sz w:val="24"/>
                                <w:szCs w:val="24"/>
                                <w:rtl/>
                              </w:rPr>
                              <w:t>לגבש</w:t>
                            </w:r>
                            <w:r w:rsidRPr="00335CD4">
                              <w:rPr>
                                <w:rFonts w:cs="Tahoma"/>
                                <w:color w:val="0B5294"/>
                                <w:spacing w:val="-4"/>
                                <w:sz w:val="24"/>
                                <w:szCs w:val="24"/>
                                <w:rtl/>
                              </w:rPr>
                              <w:t xml:space="preserve"> </w:t>
                            </w:r>
                            <w:r w:rsidRPr="00335CD4">
                              <w:rPr>
                                <w:rFonts w:cs="Tahoma" w:hint="eastAsia"/>
                                <w:color w:val="0B5294"/>
                                <w:spacing w:val="-4"/>
                                <w:sz w:val="24"/>
                                <w:szCs w:val="24"/>
                                <w:rtl/>
                              </w:rPr>
                              <w:t>מדיניות</w:t>
                            </w:r>
                            <w:r w:rsidRPr="00335CD4">
                              <w:rPr>
                                <w:rFonts w:cs="Tahoma"/>
                                <w:color w:val="0B5294"/>
                                <w:spacing w:val="-4"/>
                                <w:sz w:val="24"/>
                                <w:szCs w:val="24"/>
                                <w:rtl/>
                              </w:rPr>
                              <w:t xml:space="preserve"> </w:t>
                            </w:r>
                            <w:r w:rsidRPr="00335CD4">
                              <w:rPr>
                                <w:rFonts w:cs="Tahoma" w:hint="eastAsia"/>
                                <w:color w:val="0B5294"/>
                                <w:spacing w:val="-4"/>
                                <w:sz w:val="24"/>
                                <w:szCs w:val="24"/>
                                <w:rtl/>
                              </w:rPr>
                              <w:t>בנושא</w:t>
                            </w:r>
                          </w:p>
                          <w:p w:rsidR="00290C9B" w:rsidRPr="00373C5D" w:rsidP="00290C9B">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70325469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448970"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7" type="#_x0000_t202" style="width:119.05pt;height:361.4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0592" filled="f" stroked="f">
                <v:textbox>
                  <w:txbxContent>
                    <w:p w:rsidR="00290C9B" w:rsidRPr="00373C5D" w:rsidP="00290C9B">
                      <w:pPr>
                        <w:spacing w:line="240" w:lineRule="atLeast"/>
                        <w:rPr>
                          <w:rFonts w:cs="Tahoma"/>
                          <w:b/>
                          <w:bCs/>
                          <w:color w:val="0B5294"/>
                          <w:sz w:val="48"/>
                          <w:szCs w:val="48"/>
                          <w:rtl/>
                        </w:rPr>
                      </w:pPr>
                      <w:drawing>
                        <wp:inline distT="0" distB="0" distL="0" distR="0">
                          <wp:extent cx="311150" cy="256800"/>
                          <wp:effectExtent l="0" t="0" r="0" b="0"/>
                          <wp:docPr id="5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445145"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290C9B" w:rsidRPr="001762F4" w:rsidP="00290C9B">
                      <w:pPr>
                        <w:spacing w:after="0" w:line="240" w:lineRule="auto"/>
                        <w:rPr>
                          <w:rFonts w:cs="Tahoma"/>
                          <w:color w:val="0B5294"/>
                          <w:spacing w:val="-4"/>
                          <w:sz w:val="24"/>
                          <w:szCs w:val="24"/>
                          <w:rtl/>
                          <w:cs/>
                        </w:rPr>
                      </w:pPr>
                      <w:r w:rsidRPr="00335CD4">
                        <w:rPr>
                          <w:rFonts w:cs="Tahoma" w:hint="eastAsia"/>
                          <w:color w:val="0B5294"/>
                          <w:spacing w:val="-4"/>
                          <w:sz w:val="24"/>
                          <w:szCs w:val="24"/>
                          <w:rtl/>
                        </w:rPr>
                        <w:t>למשרד</w:t>
                      </w:r>
                      <w:r w:rsidRPr="00335CD4">
                        <w:rPr>
                          <w:rFonts w:cs="Tahoma"/>
                          <w:color w:val="0B5294"/>
                          <w:spacing w:val="-4"/>
                          <w:sz w:val="24"/>
                          <w:szCs w:val="24"/>
                          <w:rtl/>
                        </w:rPr>
                        <w:t xml:space="preserve"> </w:t>
                      </w:r>
                      <w:r w:rsidRPr="00335CD4">
                        <w:rPr>
                          <w:rFonts w:cs="Tahoma" w:hint="eastAsia"/>
                          <w:color w:val="0B5294"/>
                          <w:spacing w:val="-4"/>
                          <w:sz w:val="24"/>
                          <w:szCs w:val="24"/>
                          <w:rtl/>
                        </w:rPr>
                        <w:t>הבריאות</w:t>
                      </w:r>
                      <w:r w:rsidRPr="00335CD4">
                        <w:rPr>
                          <w:rFonts w:cs="Tahoma"/>
                          <w:color w:val="0B5294"/>
                          <w:spacing w:val="-4"/>
                          <w:sz w:val="24"/>
                          <w:szCs w:val="24"/>
                          <w:rtl/>
                        </w:rPr>
                        <w:t xml:space="preserve"> </w:t>
                      </w:r>
                      <w:r w:rsidRPr="00335CD4">
                        <w:rPr>
                          <w:rFonts w:cs="Tahoma" w:hint="eastAsia"/>
                          <w:color w:val="0B5294"/>
                          <w:spacing w:val="-4"/>
                          <w:sz w:val="24"/>
                          <w:szCs w:val="24"/>
                          <w:rtl/>
                        </w:rPr>
                        <w:t>אין</w:t>
                      </w:r>
                      <w:r w:rsidRPr="00335CD4">
                        <w:rPr>
                          <w:rFonts w:cs="Tahoma"/>
                          <w:color w:val="0B5294"/>
                          <w:spacing w:val="-4"/>
                          <w:sz w:val="24"/>
                          <w:szCs w:val="24"/>
                          <w:rtl/>
                        </w:rPr>
                        <w:t xml:space="preserve"> </w:t>
                      </w:r>
                      <w:r w:rsidRPr="00335CD4">
                        <w:rPr>
                          <w:rFonts w:cs="Tahoma" w:hint="eastAsia"/>
                          <w:color w:val="0B5294"/>
                          <w:spacing w:val="-4"/>
                          <w:sz w:val="24"/>
                          <w:szCs w:val="24"/>
                          <w:rtl/>
                        </w:rPr>
                        <w:t>מסד</w:t>
                      </w:r>
                      <w:r w:rsidRPr="00335CD4">
                        <w:rPr>
                          <w:rFonts w:cs="Tahoma"/>
                          <w:color w:val="0B5294"/>
                          <w:spacing w:val="-4"/>
                          <w:sz w:val="24"/>
                          <w:szCs w:val="24"/>
                          <w:rtl/>
                        </w:rPr>
                        <w:t xml:space="preserve"> </w:t>
                      </w:r>
                      <w:r w:rsidRPr="00335CD4">
                        <w:rPr>
                          <w:rFonts w:cs="Tahoma" w:hint="eastAsia"/>
                          <w:color w:val="0B5294"/>
                          <w:spacing w:val="-4"/>
                          <w:sz w:val="24"/>
                          <w:szCs w:val="24"/>
                          <w:rtl/>
                        </w:rPr>
                        <w:t>נתונים</w:t>
                      </w:r>
                      <w:r w:rsidRPr="00335CD4">
                        <w:rPr>
                          <w:rFonts w:cs="Tahoma"/>
                          <w:color w:val="0B5294"/>
                          <w:spacing w:val="-4"/>
                          <w:sz w:val="24"/>
                          <w:szCs w:val="24"/>
                          <w:rtl/>
                        </w:rPr>
                        <w:t xml:space="preserve"> </w:t>
                      </w:r>
                      <w:r w:rsidRPr="00335CD4">
                        <w:rPr>
                          <w:rFonts w:cs="Tahoma" w:hint="eastAsia"/>
                          <w:color w:val="0B5294"/>
                          <w:spacing w:val="-4"/>
                          <w:sz w:val="24"/>
                          <w:szCs w:val="24"/>
                          <w:rtl/>
                        </w:rPr>
                        <w:t>ארצי</w:t>
                      </w:r>
                      <w:r w:rsidRPr="00335CD4">
                        <w:rPr>
                          <w:rFonts w:cs="Tahoma"/>
                          <w:color w:val="0B5294"/>
                          <w:spacing w:val="-4"/>
                          <w:sz w:val="24"/>
                          <w:szCs w:val="24"/>
                          <w:rtl/>
                        </w:rPr>
                        <w:t xml:space="preserve"> </w:t>
                      </w:r>
                      <w:r w:rsidRPr="00335CD4">
                        <w:rPr>
                          <w:rFonts w:cs="Tahoma" w:hint="eastAsia"/>
                          <w:color w:val="0B5294"/>
                          <w:spacing w:val="-4"/>
                          <w:sz w:val="24"/>
                          <w:szCs w:val="24"/>
                          <w:rtl/>
                        </w:rPr>
                        <w:t>בנוגע</w:t>
                      </w:r>
                      <w:r w:rsidRPr="00335CD4">
                        <w:rPr>
                          <w:rFonts w:cs="Tahoma"/>
                          <w:color w:val="0B5294"/>
                          <w:spacing w:val="-4"/>
                          <w:sz w:val="24"/>
                          <w:szCs w:val="24"/>
                          <w:rtl/>
                        </w:rPr>
                        <w:t xml:space="preserve"> </w:t>
                      </w:r>
                      <w:r w:rsidRPr="00335CD4">
                        <w:rPr>
                          <w:rFonts w:cs="Tahoma" w:hint="eastAsia"/>
                          <w:color w:val="0B5294"/>
                          <w:spacing w:val="-4"/>
                          <w:sz w:val="24"/>
                          <w:szCs w:val="24"/>
                          <w:rtl/>
                        </w:rPr>
                        <w:t>להיקף</w:t>
                      </w:r>
                      <w:r w:rsidRPr="00335CD4">
                        <w:rPr>
                          <w:rFonts w:cs="Tahoma"/>
                          <w:color w:val="0B5294"/>
                          <w:spacing w:val="-4"/>
                          <w:sz w:val="24"/>
                          <w:szCs w:val="24"/>
                          <w:rtl/>
                        </w:rPr>
                        <w:t xml:space="preserve"> </w:t>
                      </w:r>
                      <w:r w:rsidRPr="00335CD4">
                        <w:rPr>
                          <w:rFonts w:cs="Tahoma" w:hint="eastAsia"/>
                          <w:color w:val="0B5294"/>
                          <w:spacing w:val="-4"/>
                          <w:sz w:val="24"/>
                          <w:szCs w:val="24"/>
                          <w:rtl/>
                        </w:rPr>
                        <w:t>המכורים</w:t>
                      </w:r>
                      <w:r w:rsidRPr="00335CD4">
                        <w:rPr>
                          <w:rFonts w:cs="Tahoma"/>
                          <w:color w:val="0B5294"/>
                          <w:spacing w:val="-4"/>
                          <w:sz w:val="24"/>
                          <w:szCs w:val="24"/>
                          <w:rtl/>
                        </w:rPr>
                        <w:t xml:space="preserve"> </w:t>
                      </w:r>
                      <w:r w:rsidRPr="00335CD4">
                        <w:rPr>
                          <w:rFonts w:cs="Tahoma" w:hint="eastAsia"/>
                          <w:color w:val="0B5294"/>
                          <w:spacing w:val="-4"/>
                          <w:sz w:val="24"/>
                          <w:szCs w:val="24"/>
                          <w:rtl/>
                        </w:rPr>
                        <w:t>לתרופות</w:t>
                      </w:r>
                      <w:r w:rsidRPr="00335CD4">
                        <w:rPr>
                          <w:rFonts w:cs="Tahoma"/>
                          <w:color w:val="0B5294"/>
                          <w:spacing w:val="-4"/>
                          <w:sz w:val="24"/>
                          <w:szCs w:val="24"/>
                          <w:rtl/>
                        </w:rPr>
                        <w:t xml:space="preserve"> </w:t>
                      </w:r>
                      <w:r w:rsidRPr="00335CD4">
                        <w:rPr>
                          <w:rFonts w:cs="Tahoma" w:hint="eastAsia"/>
                          <w:color w:val="0B5294"/>
                          <w:spacing w:val="-4"/>
                          <w:sz w:val="24"/>
                          <w:szCs w:val="24"/>
                          <w:rtl/>
                        </w:rPr>
                        <w:t>מרשם</w:t>
                      </w:r>
                      <w:r w:rsidRPr="00335CD4">
                        <w:rPr>
                          <w:rFonts w:cs="Tahoma"/>
                          <w:color w:val="0B5294"/>
                          <w:spacing w:val="-4"/>
                          <w:sz w:val="24"/>
                          <w:szCs w:val="24"/>
                          <w:rtl/>
                        </w:rPr>
                        <w:t xml:space="preserve">, </w:t>
                      </w:r>
                      <w:r w:rsidRPr="00335CD4">
                        <w:rPr>
                          <w:rFonts w:cs="Tahoma" w:hint="eastAsia"/>
                          <w:color w:val="0B5294"/>
                          <w:spacing w:val="-4"/>
                          <w:sz w:val="24"/>
                          <w:szCs w:val="24"/>
                          <w:rtl/>
                        </w:rPr>
                        <w:t>ובלעדיו</w:t>
                      </w:r>
                      <w:r w:rsidRPr="00335CD4">
                        <w:rPr>
                          <w:rFonts w:cs="Tahoma"/>
                          <w:color w:val="0B5294"/>
                          <w:spacing w:val="-4"/>
                          <w:sz w:val="24"/>
                          <w:szCs w:val="24"/>
                          <w:rtl/>
                        </w:rPr>
                        <w:t xml:space="preserve"> </w:t>
                      </w:r>
                      <w:r w:rsidRPr="00335CD4">
                        <w:rPr>
                          <w:rFonts w:cs="Tahoma" w:hint="eastAsia"/>
                          <w:color w:val="0B5294"/>
                          <w:spacing w:val="-4"/>
                          <w:sz w:val="24"/>
                          <w:szCs w:val="24"/>
                          <w:rtl/>
                        </w:rPr>
                        <w:t>לא</w:t>
                      </w:r>
                      <w:r w:rsidRPr="00335CD4">
                        <w:rPr>
                          <w:rFonts w:cs="Tahoma"/>
                          <w:color w:val="0B5294"/>
                          <w:spacing w:val="-4"/>
                          <w:sz w:val="24"/>
                          <w:szCs w:val="24"/>
                          <w:rtl/>
                        </w:rPr>
                        <w:t xml:space="preserve"> </w:t>
                      </w:r>
                      <w:r w:rsidRPr="00335CD4">
                        <w:rPr>
                          <w:rFonts w:cs="Tahoma" w:hint="eastAsia"/>
                          <w:color w:val="0B5294"/>
                          <w:spacing w:val="-4"/>
                          <w:sz w:val="24"/>
                          <w:szCs w:val="24"/>
                          <w:rtl/>
                        </w:rPr>
                        <w:t>ניתן</w:t>
                      </w:r>
                      <w:r w:rsidRPr="00335CD4">
                        <w:rPr>
                          <w:rFonts w:cs="Tahoma"/>
                          <w:color w:val="0B5294"/>
                          <w:spacing w:val="-4"/>
                          <w:sz w:val="24"/>
                          <w:szCs w:val="24"/>
                          <w:rtl/>
                        </w:rPr>
                        <w:t xml:space="preserve"> </w:t>
                      </w:r>
                      <w:r w:rsidRPr="00335CD4">
                        <w:rPr>
                          <w:rFonts w:cs="Tahoma" w:hint="eastAsia"/>
                          <w:color w:val="0B5294"/>
                          <w:spacing w:val="-4"/>
                          <w:sz w:val="24"/>
                          <w:szCs w:val="24"/>
                          <w:rtl/>
                        </w:rPr>
                        <w:t>לגבש</w:t>
                      </w:r>
                      <w:r w:rsidRPr="00335CD4">
                        <w:rPr>
                          <w:rFonts w:cs="Tahoma"/>
                          <w:color w:val="0B5294"/>
                          <w:spacing w:val="-4"/>
                          <w:sz w:val="24"/>
                          <w:szCs w:val="24"/>
                          <w:rtl/>
                        </w:rPr>
                        <w:t xml:space="preserve"> </w:t>
                      </w:r>
                      <w:r w:rsidRPr="00335CD4">
                        <w:rPr>
                          <w:rFonts w:cs="Tahoma" w:hint="eastAsia"/>
                          <w:color w:val="0B5294"/>
                          <w:spacing w:val="-4"/>
                          <w:sz w:val="24"/>
                          <w:szCs w:val="24"/>
                          <w:rtl/>
                        </w:rPr>
                        <w:t>מדיניות</w:t>
                      </w:r>
                      <w:r w:rsidRPr="00335CD4">
                        <w:rPr>
                          <w:rFonts w:cs="Tahoma"/>
                          <w:color w:val="0B5294"/>
                          <w:spacing w:val="-4"/>
                          <w:sz w:val="24"/>
                          <w:szCs w:val="24"/>
                          <w:rtl/>
                        </w:rPr>
                        <w:t xml:space="preserve"> </w:t>
                      </w:r>
                      <w:r w:rsidRPr="00335CD4">
                        <w:rPr>
                          <w:rFonts w:cs="Tahoma" w:hint="eastAsia"/>
                          <w:color w:val="0B5294"/>
                          <w:spacing w:val="-4"/>
                          <w:sz w:val="24"/>
                          <w:szCs w:val="24"/>
                          <w:rtl/>
                        </w:rPr>
                        <w:t>בנושא</w:t>
                      </w:r>
                    </w:p>
                    <w:p w:rsidR="00290C9B" w:rsidRPr="00373C5D" w:rsidP="00290C9B">
                      <w:pPr>
                        <w:spacing w:before="120" w:after="0" w:line="240" w:lineRule="atLeast"/>
                        <w:rPr>
                          <w:rFonts w:cs="Tahoma"/>
                          <w:b/>
                          <w:bCs/>
                          <w:color w:val="0B5294"/>
                          <w:sz w:val="48"/>
                          <w:szCs w:val="48"/>
                          <w:rtl/>
                        </w:rPr>
                      </w:pPr>
                      <w:drawing>
                        <wp:inline distT="0" distB="0" distL="0" distR="0">
                          <wp:extent cx="288000" cy="31337"/>
                          <wp:effectExtent l="0" t="0" r="0" b="6985"/>
                          <wp:docPr id="5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873724"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1D6D5E" w:rsidRPr="00777DAE" w:rsidP="00211D07">
      <w:pPr>
        <w:pStyle w:val="takzir"/>
        <w:rPr>
          <w:rFonts w:ascii="Tahoma" w:hAnsi="Tahoma" w:cs="Tahoma"/>
          <w:b w:val="0"/>
          <w:bCs w:val="0"/>
          <w:noProof w:val="0"/>
          <w:sz w:val="28"/>
          <w:rtl/>
        </w:rPr>
      </w:pPr>
    </w:p>
    <w:p w:rsidR="001D6D5E" w:rsidRPr="00777DAE" w:rsidP="00211D07">
      <w:pPr>
        <w:pStyle w:val="KOT5T"/>
        <w:rPr>
          <w:rtl/>
        </w:rPr>
      </w:pPr>
      <w:r w:rsidRPr="00777DAE">
        <w:rPr>
          <w:rFonts w:hint="cs"/>
          <w:rtl/>
        </w:rPr>
        <w:t>ה</w:t>
      </w:r>
      <w:r w:rsidRPr="00777DAE">
        <w:rPr>
          <w:rtl/>
        </w:rPr>
        <w:t>טיפול במכורים</w:t>
      </w:r>
    </w:p>
    <w:p w:rsidR="001D6D5E" w:rsidRPr="007E10DE" w:rsidP="00211D07">
      <w:pPr>
        <w:pStyle w:val="takzir-text"/>
        <w:bidi/>
        <w:rPr>
          <w:rtl/>
        </w:rPr>
      </w:pPr>
      <w:r w:rsidRPr="00777DAE">
        <w:rPr>
          <w:rStyle w:val="Heading7Char"/>
          <w:rFonts w:ascii="Tahoma" w:hAnsi="Tahoma" w:cs="Tahoma"/>
          <w:sz w:val="17"/>
          <w:szCs w:val="17"/>
          <w:rtl/>
        </w:rPr>
        <w:t>שלב הגמילה הגופנית</w:t>
      </w:r>
      <w:r w:rsidRPr="00777DAE">
        <w:rPr>
          <w:rStyle w:val="Heading7Char"/>
          <w:rFonts w:ascii="Tahoma" w:hAnsi="Tahoma" w:cs="Tahoma" w:hint="cs"/>
          <w:sz w:val="17"/>
          <w:szCs w:val="17"/>
          <w:rtl/>
        </w:rPr>
        <w:t>:</w:t>
      </w:r>
      <w:r w:rsidRPr="0006122C">
        <w:rPr>
          <w:rtl/>
        </w:rPr>
        <w:t xml:space="preserve"> </w:t>
      </w:r>
      <w:r>
        <w:rPr>
          <w:rFonts w:hint="cs"/>
          <w:rtl/>
        </w:rPr>
        <w:t>שלב זה מתבצע לרוב ב</w:t>
      </w:r>
      <w:r w:rsidRPr="0006122C">
        <w:rPr>
          <w:rtl/>
        </w:rPr>
        <w:t>מסגרות אשפוזיות</w:t>
      </w:r>
      <w:r>
        <w:rPr>
          <w:rFonts w:hint="cs"/>
          <w:rtl/>
        </w:rPr>
        <w:t xml:space="preserve"> שבאחריות משרד הבריאות (להלן - אשפוזיות). </w:t>
      </w:r>
      <w:r w:rsidRPr="00017749">
        <w:rPr>
          <w:rtl/>
        </w:rPr>
        <w:t>בשנת 2017 לא הושלם הטיפול ב-44% מהמטופלים באשפוזיות.</w:t>
      </w:r>
      <w:r>
        <w:rPr>
          <w:rStyle w:val="CommentReference"/>
          <w:rtl/>
        </w:rPr>
        <w:t xml:space="preserve"> </w:t>
      </w:r>
      <w:r w:rsidRPr="0091257A">
        <w:rPr>
          <w:rtl/>
        </w:rPr>
        <w:t>משרד הבריאות ל</w:t>
      </w:r>
      <w:r>
        <w:rPr>
          <w:rFonts w:hint="cs"/>
          <w:rtl/>
        </w:rPr>
        <w:t>א הנחה את ה</w:t>
      </w:r>
      <w:r w:rsidRPr="0091257A">
        <w:rPr>
          <w:rtl/>
        </w:rPr>
        <w:t xml:space="preserve">אשפוזיות לעדכן את </w:t>
      </w:r>
      <w:r>
        <w:rPr>
          <w:rFonts w:hint="cs"/>
          <w:rtl/>
        </w:rPr>
        <w:t>שירות</w:t>
      </w:r>
      <w:r w:rsidRPr="0091257A">
        <w:rPr>
          <w:rtl/>
        </w:rPr>
        <w:t xml:space="preserve">י הרווחה </w:t>
      </w:r>
      <w:r>
        <w:rPr>
          <w:rFonts w:hint="cs"/>
          <w:rtl/>
        </w:rPr>
        <w:t>בנוגע</w:t>
      </w:r>
      <w:r w:rsidRPr="0091257A">
        <w:rPr>
          <w:rtl/>
        </w:rPr>
        <w:t xml:space="preserve"> </w:t>
      </w:r>
      <w:r>
        <w:rPr>
          <w:rFonts w:hint="cs"/>
          <w:rtl/>
        </w:rPr>
        <w:t>להפסקת</w:t>
      </w:r>
      <w:r w:rsidRPr="0091257A">
        <w:rPr>
          <w:rtl/>
        </w:rPr>
        <w:t xml:space="preserve"> הטיפול וחזר</w:t>
      </w:r>
      <w:r>
        <w:rPr>
          <w:rFonts w:hint="cs"/>
          <w:rtl/>
        </w:rPr>
        <w:t>תו</w:t>
      </w:r>
      <w:r w:rsidRPr="0091257A">
        <w:rPr>
          <w:rtl/>
        </w:rPr>
        <w:t xml:space="preserve"> של המטופל לקהילה.</w:t>
      </w:r>
      <w:r w:rsidRPr="008F736E">
        <w:rPr>
          <w:rFonts w:hint="cs"/>
          <w:b/>
          <w:bCs/>
          <w:rtl/>
        </w:rPr>
        <w:t xml:space="preserve"> </w:t>
      </w:r>
      <w:r w:rsidRPr="00E47A78">
        <w:rPr>
          <w:rFonts w:hint="cs"/>
          <w:rtl/>
        </w:rPr>
        <w:t xml:space="preserve">בשנת 2017 </w:t>
      </w:r>
      <w:r>
        <w:rPr>
          <w:rFonts w:hint="cs"/>
          <w:rtl/>
        </w:rPr>
        <w:t>השלימו</w:t>
      </w:r>
      <w:r w:rsidRPr="00E47A78">
        <w:rPr>
          <w:rFonts w:hint="cs"/>
          <w:rtl/>
        </w:rPr>
        <w:t xml:space="preserve"> כ- 1,400 מטופלים את הטיפול באשפוזיות. </w:t>
      </w:r>
      <w:r>
        <w:rPr>
          <w:rFonts w:hint="cs"/>
          <w:rtl/>
        </w:rPr>
        <w:t xml:space="preserve">אולם </w:t>
      </w:r>
      <w:r w:rsidRPr="00E47A78">
        <w:rPr>
          <w:rFonts w:hint="cs"/>
          <w:rtl/>
        </w:rPr>
        <w:t xml:space="preserve">רק כ-400 מטופלים הופנו מאשפוזיות לטיפול </w:t>
      </w:r>
      <w:r>
        <w:rPr>
          <w:rFonts w:hint="cs"/>
          <w:rtl/>
        </w:rPr>
        <w:t>ב</w:t>
      </w:r>
      <w:r w:rsidRPr="00E47A78">
        <w:rPr>
          <w:rFonts w:hint="cs"/>
          <w:rtl/>
        </w:rPr>
        <w:t>מסגרות המשך. יוצא אפוא כי מרבית מסיימי הטיפול באשפוזיות אינם ממשיכים בתהליך הגמילה.</w:t>
      </w:r>
    </w:p>
    <w:p w:rsidR="001D6D5E" w:rsidRPr="00964198" w:rsidP="00211D07">
      <w:pPr>
        <w:pStyle w:val="takzir-text"/>
        <w:bidi/>
        <w:rPr>
          <w:b/>
          <w:bCs/>
          <w:rtl/>
        </w:rPr>
      </w:pPr>
      <w:r w:rsidRPr="00777DAE">
        <w:rPr>
          <w:rStyle w:val="Heading7Char"/>
          <w:rFonts w:ascii="Tahoma" w:hAnsi="Tahoma" w:cs="Tahoma"/>
          <w:sz w:val="17"/>
          <w:szCs w:val="17"/>
          <w:rtl/>
        </w:rPr>
        <w:t>טיפול בנשים מכורות</w:t>
      </w:r>
      <w:r w:rsidRPr="00777DAE">
        <w:rPr>
          <w:rStyle w:val="Heading7Char"/>
          <w:rFonts w:ascii="Tahoma" w:hAnsi="Tahoma" w:cs="Tahoma" w:hint="cs"/>
          <w:sz w:val="17"/>
          <w:szCs w:val="17"/>
          <w:rtl/>
        </w:rPr>
        <w:t>:</w:t>
      </w:r>
      <w:r>
        <w:rPr>
          <w:rFonts w:hint="cs"/>
          <w:rtl/>
        </w:rPr>
        <w:t xml:space="preserve"> ה</w:t>
      </w:r>
      <w:r w:rsidRPr="00562C7D">
        <w:rPr>
          <w:rFonts w:hint="cs"/>
          <w:rtl/>
        </w:rPr>
        <w:t>שירות</w:t>
      </w:r>
      <w:r>
        <w:rPr>
          <w:rFonts w:hint="cs"/>
          <w:rtl/>
        </w:rPr>
        <w:t xml:space="preserve"> להתמכרויות במשרד הרווחה</w:t>
      </w:r>
      <w:r w:rsidRPr="00562C7D">
        <w:rPr>
          <w:rFonts w:hint="cs"/>
          <w:rtl/>
        </w:rPr>
        <w:t xml:space="preserve"> </w:t>
      </w:r>
      <w:r>
        <w:rPr>
          <w:rFonts w:hint="cs"/>
          <w:rtl/>
        </w:rPr>
        <w:t xml:space="preserve">והמחלקה להתמכרויות במשרד הבריאות המליצו </w:t>
      </w:r>
      <w:r w:rsidRPr="00562C7D">
        <w:rPr>
          <w:rFonts w:hint="cs"/>
          <w:rtl/>
        </w:rPr>
        <w:t xml:space="preserve">כי הטיפול בנשים מכורות </w:t>
      </w:r>
      <w:r>
        <w:rPr>
          <w:rFonts w:hint="cs"/>
          <w:rtl/>
        </w:rPr>
        <w:t xml:space="preserve">יתקיים </w:t>
      </w:r>
      <w:r w:rsidRPr="00562C7D">
        <w:rPr>
          <w:rFonts w:hint="cs"/>
          <w:rtl/>
        </w:rPr>
        <w:t xml:space="preserve">במסגרות טיפול </w:t>
      </w:r>
      <w:r>
        <w:rPr>
          <w:rFonts w:hint="cs"/>
          <w:rtl/>
        </w:rPr>
        <w:t xml:space="preserve">ייעודיות </w:t>
      </w:r>
      <w:r w:rsidRPr="00562C7D">
        <w:rPr>
          <w:rFonts w:hint="cs"/>
          <w:rtl/>
        </w:rPr>
        <w:t xml:space="preserve">נפרדות </w:t>
      </w:r>
      <w:r>
        <w:rPr>
          <w:rFonts w:eastAsia="Times New Roman" w:hint="cs"/>
          <w:sz w:val="24"/>
          <w:rtl/>
          <w:lang w:eastAsia="he-IL"/>
        </w:rPr>
        <w:t>ה</w:t>
      </w:r>
      <w:r w:rsidRPr="00883CAF">
        <w:rPr>
          <w:rFonts w:eastAsia="Times New Roman" w:hint="cs"/>
          <w:sz w:val="24"/>
          <w:rtl/>
          <w:lang w:eastAsia="he-IL"/>
        </w:rPr>
        <w:t>מותאמות לצ</w:t>
      </w:r>
      <w:r>
        <w:rPr>
          <w:rFonts w:eastAsia="Times New Roman" w:hint="cs"/>
          <w:sz w:val="24"/>
          <w:rtl/>
          <w:lang w:eastAsia="he-IL"/>
        </w:rPr>
        <w:t>ו</w:t>
      </w:r>
      <w:r w:rsidRPr="00883CAF">
        <w:rPr>
          <w:rFonts w:eastAsia="Times New Roman" w:hint="cs"/>
          <w:sz w:val="24"/>
          <w:rtl/>
          <w:lang w:eastAsia="he-IL"/>
        </w:rPr>
        <w:t>רכי</w:t>
      </w:r>
      <w:r>
        <w:rPr>
          <w:rFonts w:eastAsia="Times New Roman" w:hint="cs"/>
          <w:sz w:val="24"/>
          <w:rtl/>
          <w:lang w:eastAsia="he-IL"/>
        </w:rPr>
        <w:t>הן</w:t>
      </w:r>
      <w:r w:rsidRPr="00883CAF">
        <w:rPr>
          <w:rFonts w:eastAsia="Times New Roman" w:hint="cs"/>
          <w:sz w:val="24"/>
          <w:rtl/>
          <w:lang w:eastAsia="he-IL"/>
        </w:rPr>
        <w:t xml:space="preserve"> ה</w:t>
      </w:r>
      <w:r>
        <w:rPr>
          <w:rFonts w:eastAsia="Times New Roman" w:hint="cs"/>
          <w:sz w:val="24"/>
          <w:rtl/>
          <w:lang w:eastAsia="he-IL"/>
        </w:rPr>
        <w:t>י</w:t>
      </w:r>
      <w:r w:rsidRPr="00883CAF">
        <w:rPr>
          <w:rFonts w:eastAsia="Times New Roman" w:hint="cs"/>
          <w:sz w:val="24"/>
          <w:rtl/>
          <w:lang w:eastAsia="he-IL"/>
        </w:rPr>
        <w:t>יח</w:t>
      </w:r>
      <w:r>
        <w:rPr>
          <w:rFonts w:eastAsia="Times New Roman" w:hint="cs"/>
          <w:sz w:val="24"/>
          <w:rtl/>
          <w:lang w:eastAsia="he-IL"/>
        </w:rPr>
        <w:t>ו</w:t>
      </w:r>
      <w:r w:rsidRPr="00883CAF">
        <w:rPr>
          <w:rFonts w:eastAsia="Times New Roman" w:hint="cs"/>
          <w:sz w:val="24"/>
          <w:rtl/>
          <w:lang w:eastAsia="he-IL"/>
        </w:rPr>
        <w:t>די</w:t>
      </w:r>
      <w:r>
        <w:rPr>
          <w:rFonts w:eastAsia="Times New Roman" w:hint="cs"/>
          <w:sz w:val="24"/>
          <w:rtl/>
          <w:lang w:eastAsia="he-IL"/>
        </w:rPr>
        <w:t>י</w:t>
      </w:r>
      <w:r w:rsidRPr="00883CAF">
        <w:rPr>
          <w:rFonts w:eastAsia="Times New Roman" w:hint="cs"/>
          <w:sz w:val="24"/>
          <w:rtl/>
          <w:lang w:eastAsia="he-IL"/>
        </w:rPr>
        <w:t>ם</w:t>
      </w:r>
      <w:r>
        <w:rPr>
          <w:rFonts w:hint="cs"/>
          <w:b/>
          <w:rtl/>
        </w:rPr>
        <w:t>.</w:t>
      </w:r>
      <w:r w:rsidRPr="007D43FC">
        <w:rPr>
          <w:b/>
          <w:rtl/>
        </w:rPr>
        <w:t xml:space="preserve"> עד </w:t>
      </w:r>
      <w:r w:rsidRPr="007D43FC">
        <w:rPr>
          <w:rFonts w:hint="cs"/>
          <w:b/>
          <w:rtl/>
        </w:rPr>
        <w:t>מועד סיום הביקורת</w:t>
      </w:r>
      <w:r>
        <w:rPr>
          <w:rFonts w:hint="cs"/>
          <w:b/>
          <w:rtl/>
        </w:rPr>
        <w:t xml:space="preserve"> באוגוסט 2018</w:t>
      </w:r>
      <w:r w:rsidRPr="007D43FC">
        <w:rPr>
          <w:rFonts w:hint="cs"/>
          <w:b/>
          <w:rtl/>
        </w:rPr>
        <w:t>,</w:t>
      </w:r>
      <w:r w:rsidRPr="007D43FC">
        <w:rPr>
          <w:b/>
          <w:rtl/>
        </w:rPr>
        <w:t xml:space="preserve"> לא הקים</w:t>
      </w:r>
      <w:r>
        <w:rPr>
          <w:rFonts w:hint="cs"/>
          <w:b/>
          <w:rtl/>
        </w:rPr>
        <w:t xml:space="preserve"> משרד הבריאות</w:t>
      </w:r>
      <w:r w:rsidRPr="007D43FC">
        <w:rPr>
          <w:b/>
          <w:rtl/>
        </w:rPr>
        <w:t xml:space="preserve"> מסגר</w:t>
      </w:r>
      <w:r w:rsidRPr="007D43FC">
        <w:rPr>
          <w:rFonts w:hint="cs"/>
          <w:b/>
          <w:rtl/>
        </w:rPr>
        <w:t>ו</w:t>
      </w:r>
      <w:r w:rsidRPr="007D43FC">
        <w:rPr>
          <w:b/>
          <w:rtl/>
        </w:rPr>
        <w:t xml:space="preserve">ת </w:t>
      </w:r>
      <w:r w:rsidRPr="007D43FC">
        <w:rPr>
          <w:rFonts w:hint="cs"/>
          <w:b/>
          <w:rtl/>
        </w:rPr>
        <w:t xml:space="preserve">כאלו </w:t>
      </w:r>
      <w:r w:rsidRPr="007D43FC">
        <w:rPr>
          <w:b/>
          <w:rtl/>
        </w:rPr>
        <w:t xml:space="preserve">לנשים </w:t>
      </w:r>
      <w:r>
        <w:rPr>
          <w:rFonts w:hint="cs"/>
          <w:b/>
          <w:rtl/>
        </w:rPr>
        <w:t>בוגרות</w:t>
      </w:r>
      <w:r>
        <w:rPr>
          <w:rFonts w:hint="cs"/>
          <w:rtl/>
        </w:rPr>
        <w:t>,</w:t>
      </w:r>
      <w:r w:rsidRPr="00A36E09">
        <w:rPr>
          <w:rFonts w:hint="cs"/>
          <w:rtl/>
        </w:rPr>
        <w:t xml:space="preserve"> </w:t>
      </w:r>
      <w:r>
        <w:rPr>
          <w:rFonts w:hint="cs"/>
          <w:rtl/>
        </w:rPr>
        <w:t>ו</w:t>
      </w:r>
      <w:r w:rsidRPr="00A36E09">
        <w:rPr>
          <w:rFonts w:hint="cs"/>
          <w:rtl/>
        </w:rPr>
        <w:t xml:space="preserve">עד </w:t>
      </w:r>
      <w:r w:rsidRPr="00964198">
        <w:rPr>
          <w:rtl/>
        </w:rPr>
        <w:t xml:space="preserve">יולי 2018 </w:t>
      </w:r>
      <w:r w:rsidRPr="00964198">
        <w:rPr>
          <w:rFonts w:hint="cs"/>
          <w:rtl/>
        </w:rPr>
        <w:t xml:space="preserve">העביר </w:t>
      </w:r>
      <w:r w:rsidRPr="00964198">
        <w:rPr>
          <w:rtl/>
        </w:rPr>
        <w:t>השירות להתמכרויות</w:t>
      </w:r>
      <w:r w:rsidRPr="00964198">
        <w:rPr>
          <w:rFonts w:hint="cs"/>
          <w:rtl/>
        </w:rPr>
        <w:t xml:space="preserve"> לרשויות המקומיות </w:t>
      </w:r>
      <w:r>
        <w:rPr>
          <w:rtl/>
        </w:rPr>
        <w:br/>
      </w:r>
      <w:r w:rsidRPr="00964198">
        <w:rPr>
          <w:rFonts w:hint="cs"/>
          <w:rtl/>
        </w:rPr>
        <w:t>כ-350,000 ש"ח</w:t>
      </w:r>
      <w:r>
        <w:rPr>
          <w:rFonts w:hint="cs"/>
          <w:rtl/>
        </w:rPr>
        <w:t xml:space="preserve"> בלבד </w:t>
      </w:r>
      <w:r w:rsidRPr="00964198">
        <w:rPr>
          <w:rFonts w:hint="cs"/>
          <w:rtl/>
        </w:rPr>
        <w:t xml:space="preserve">בעבור שני מרכזי </w:t>
      </w:r>
      <w:r w:rsidRPr="00964198">
        <w:rPr>
          <w:rFonts w:hint="cs"/>
          <w:rtl/>
        </w:rPr>
        <w:t>מטר"א</w:t>
      </w:r>
      <w:r>
        <w:rPr>
          <w:rStyle w:val="FootnoteReference0"/>
          <w:rtl/>
        </w:rPr>
        <w:footnoteReference w:id="7"/>
      </w:r>
      <w:r>
        <w:rPr>
          <w:rFonts w:hint="cs"/>
          <w:rtl/>
        </w:rPr>
        <w:t xml:space="preserve"> שנועדו </w:t>
      </w:r>
      <w:r w:rsidRPr="00964198">
        <w:rPr>
          <w:rFonts w:hint="cs"/>
          <w:rtl/>
        </w:rPr>
        <w:t>לטיפול בנשים בקהילה</w:t>
      </w:r>
      <w:r>
        <w:rPr>
          <w:rFonts w:hint="cs"/>
          <w:rtl/>
        </w:rPr>
        <w:t>.</w:t>
      </w:r>
      <w:r>
        <w:rPr>
          <w:rFonts w:hint="cs"/>
          <w:b/>
          <w:bCs/>
          <w:rtl/>
        </w:rPr>
        <w:t xml:space="preserve"> </w:t>
      </w:r>
      <w:r>
        <w:rPr>
          <w:rFonts w:hint="cs"/>
          <w:rtl/>
        </w:rPr>
        <w:t>זאת אף ש</w:t>
      </w:r>
      <w:r w:rsidRPr="00964198">
        <w:rPr>
          <w:rFonts w:hint="cs"/>
          <w:rtl/>
        </w:rPr>
        <w:t xml:space="preserve">משרד הרווחה </w:t>
      </w:r>
      <w:r>
        <w:rPr>
          <w:rFonts w:hint="cs"/>
          <w:rtl/>
        </w:rPr>
        <w:t xml:space="preserve">ייעד </w:t>
      </w:r>
      <w:r w:rsidRPr="00964198">
        <w:rPr>
          <w:rFonts w:hint="cs"/>
          <w:rtl/>
        </w:rPr>
        <w:t>תקציב</w:t>
      </w:r>
      <w:r w:rsidRPr="00A36E09">
        <w:rPr>
          <w:rtl/>
        </w:rPr>
        <w:t xml:space="preserve"> </w:t>
      </w:r>
      <w:r>
        <w:rPr>
          <w:rFonts w:hint="cs"/>
          <w:rtl/>
        </w:rPr>
        <w:t xml:space="preserve">ל-11 מרכזים </w:t>
      </w:r>
      <w:r w:rsidRPr="00A36E09">
        <w:rPr>
          <w:rtl/>
        </w:rPr>
        <w:t>לשנים</w:t>
      </w:r>
      <w:r>
        <w:rPr>
          <w:rFonts w:hint="cs"/>
          <w:rtl/>
        </w:rPr>
        <w:t xml:space="preserve"> </w:t>
      </w:r>
      <w:r>
        <w:rPr>
          <w:rtl/>
        </w:rPr>
        <w:br/>
      </w:r>
      <w:r w:rsidRPr="00A36E09">
        <w:rPr>
          <w:rtl/>
        </w:rPr>
        <w:t>2018-2017</w:t>
      </w:r>
      <w:r w:rsidRPr="00A36E09">
        <w:rPr>
          <w:rFonts w:hint="cs"/>
          <w:rtl/>
        </w:rPr>
        <w:t>.</w:t>
      </w:r>
    </w:p>
    <w:p w:rsidR="001D6D5E" w:rsidRPr="00777DAE" w:rsidP="00211D07">
      <w:pPr>
        <w:pStyle w:val="takzir"/>
        <w:rPr>
          <w:rFonts w:ascii="Tahoma" w:hAnsi="Tahoma" w:cs="Tahoma"/>
          <w:b w:val="0"/>
          <w:bCs w:val="0"/>
          <w:noProof w:val="0"/>
          <w:sz w:val="28"/>
          <w:rtl/>
        </w:rPr>
      </w:pPr>
    </w:p>
    <w:p w:rsidR="001D6D5E" w:rsidRPr="00777DAE" w:rsidP="00211D07">
      <w:pPr>
        <w:pStyle w:val="KOT5T"/>
        <w:rPr>
          <w:rtl/>
        </w:rPr>
      </w:pPr>
      <w:r w:rsidRPr="00777DAE">
        <w:rPr>
          <w:rtl/>
        </w:rPr>
        <w:t xml:space="preserve">טיפול לקוי של משרד החינוך </w:t>
      </w:r>
      <w:r w:rsidRPr="00777DAE">
        <w:rPr>
          <w:rFonts w:hint="cs"/>
          <w:rtl/>
        </w:rPr>
        <w:t>ב</w:t>
      </w:r>
      <w:r w:rsidRPr="00777DAE">
        <w:rPr>
          <w:rtl/>
        </w:rPr>
        <w:t xml:space="preserve">מניעת התמכרויות </w:t>
      </w:r>
    </w:p>
    <w:p w:rsidR="001D6D5E" w:rsidRPr="00C22FC7" w:rsidP="00335CD4">
      <w:pPr>
        <w:pStyle w:val="takzir-text"/>
        <w:bidi/>
        <w:rPr>
          <w:rtl/>
        </w:rPr>
      </w:pPr>
      <w:r w:rsidRPr="00777DAE">
        <w:rPr>
          <w:rStyle w:val="Heading7Char"/>
          <w:rFonts w:ascii="Tahoma" w:hAnsi="Tahoma" w:cs="Tahoma"/>
          <w:sz w:val="17"/>
          <w:szCs w:val="17"/>
          <w:rtl/>
        </w:rPr>
        <w:t xml:space="preserve">הפעלה </w:t>
      </w:r>
      <w:r w:rsidRPr="00777DAE">
        <w:rPr>
          <w:rStyle w:val="Heading7Char"/>
          <w:rFonts w:ascii="Tahoma" w:hAnsi="Tahoma" w:cs="Tahoma" w:hint="cs"/>
          <w:sz w:val="17"/>
          <w:szCs w:val="17"/>
          <w:rtl/>
        </w:rPr>
        <w:t xml:space="preserve">חלקית </w:t>
      </w:r>
      <w:r w:rsidRPr="00777DAE">
        <w:rPr>
          <w:rStyle w:val="Heading7Char"/>
          <w:rFonts w:ascii="Tahoma" w:hAnsi="Tahoma" w:cs="Tahoma"/>
          <w:sz w:val="17"/>
          <w:szCs w:val="17"/>
          <w:rtl/>
        </w:rPr>
        <w:t xml:space="preserve">של </w:t>
      </w:r>
      <w:r w:rsidRPr="00777DAE">
        <w:rPr>
          <w:rStyle w:val="Heading7Char"/>
          <w:rFonts w:ascii="Tahoma" w:hAnsi="Tahoma" w:cs="Tahoma"/>
          <w:sz w:val="17"/>
          <w:szCs w:val="17"/>
          <w:rtl/>
        </w:rPr>
        <w:t>ת</w:t>
      </w:r>
      <w:r w:rsidRPr="00777DAE">
        <w:rPr>
          <w:rStyle w:val="Heading7Char"/>
          <w:rFonts w:ascii="Tahoma" w:hAnsi="Tahoma" w:cs="Tahoma" w:hint="cs"/>
          <w:sz w:val="17"/>
          <w:szCs w:val="17"/>
          <w:rtl/>
        </w:rPr>
        <w:t>ו</w:t>
      </w:r>
      <w:r w:rsidRPr="00777DAE">
        <w:rPr>
          <w:rStyle w:val="Heading7Char"/>
          <w:rFonts w:ascii="Tahoma" w:hAnsi="Tahoma" w:cs="Tahoma"/>
          <w:sz w:val="17"/>
          <w:szCs w:val="17"/>
          <w:rtl/>
        </w:rPr>
        <w:t>כניות</w:t>
      </w:r>
      <w:r w:rsidRPr="00777DAE">
        <w:rPr>
          <w:rStyle w:val="Heading7Char"/>
          <w:rFonts w:ascii="Tahoma" w:hAnsi="Tahoma" w:cs="Tahoma"/>
          <w:sz w:val="17"/>
          <w:szCs w:val="17"/>
          <w:rtl/>
        </w:rPr>
        <w:t xml:space="preserve"> למניעת התמכרויות:</w:t>
      </w:r>
      <w:r w:rsidRPr="00213940">
        <w:rPr>
          <w:b/>
          <w:bCs/>
          <w:rtl/>
        </w:rPr>
        <w:t xml:space="preserve"> </w:t>
      </w:r>
      <w:r w:rsidRPr="00C5019C">
        <w:rPr>
          <w:rFonts w:hint="eastAsia"/>
          <w:rtl/>
        </w:rPr>
        <w:t>מחקרים</w:t>
      </w:r>
      <w:r w:rsidRPr="00C5019C">
        <w:rPr>
          <w:rtl/>
        </w:rPr>
        <w:t xml:space="preserve"> בישראל </w:t>
      </w:r>
      <w:r>
        <w:rPr>
          <w:rFonts w:hint="cs"/>
          <w:rtl/>
        </w:rPr>
        <w:t>מלמדים על</w:t>
      </w:r>
      <w:r w:rsidRPr="00C5019C">
        <w:rPr>
          <w:rtl/>
        </w:rPr>
        <w:t xml:space="preserve"> שיעור גבוה של תלמידים שמדווחים על </w:t>
      </w:r>
      <w:r>
        <w:rPr>
          <w:rtl/>
        </w:rPr>
        <w:t>שתייה מופרזת והשתכרות</w:t>
      </w:r>
      <w:r w:rsidRPr="00A52360">
        <w:rPr>
          <w:rtl/>
        </w:rPr>
        <w:t xml:space="preserve"> </w:t>
      </w:r>
      <w:r>
        <w:rPr>
          <w:rFonts w:hint="cs"/>
          <w:rtl/>
        </w:rPr>
        <w:t>ו</w:t>
      </w:r>
      <w:r w:rsidRPr="00A52360">
        <w:rPr>
          <w:rtl/>
        </w:rPr>
        <w:t>שימוש בסמים (להלן - התנהגויות סיכון)</w:t>
      </w:r>
      <w:r>
        <w:rPr>
          <w:rFonts w:hint="cs"/>
          <w:rtl/>
        </w:rPr>
        <w:t xml:space="preserve">. לדוגמה, </w:t>
      </w:r>
      <w:r w:rsidRPr="00E93732">
        <w:rPr>
          <w:rFonts w:hint="cs"/>
          <w:rtl/>
        </w:rPr>
        <w:t>במחקר שנערך בשנת 2014</w:t>
      </w:r>
      <w:r>
        <w:rPr>
          <w:vertAlign w:val="superscript"/>
          <w:rtl/>
        </w:rPr>
        <w:footnoteReference w:id="8"/>
      </w:r>
      <w:r w:rsidRPr="00E93732">
        <w:rPr>
          <w:rtl/>
        </w:rPr>
        <w:t xml:space="preserve"> </w:t>
      </w:r>
      <w:r>
        <w:rPr>
          <w:rFonts w:hint="cs"/>
          <w:rtl/>
        </w:rPr>
        <w:t xml:space="preserve">דיווחו </w:t>
      </w:r>
      <w:r w:rsidRPr="00E93732">
        <w:rPr>
          <w:rtl/>
        </w:rPr>
        <w:t>23%</w:t>
      </w:r>
      <w:r>
        <w:rPr>
          <w:rFonts w:hint="cs"/>
          <w:rtl/>
        </w:rPr>
        <w:t xml:space="preserve"> </w:t>
      </w:r>
      <w:r w:rsidRPr="00E93732">
        <w:rPr>
          <w:rtl/>
        </w:rPr>
        <w:t xml:space="preserve">מהבנים </w:t>
      </w:r>
      <w:r>
        <w:rPr>
          <w:rFonts w:hint="cs"/>
          <w:rtl/>
        </w:rPr>
        <w:t xml:space="preserve">שלמדו </w:t>
      </w:r>
      <w:r w:rsidRPr="00E93732">
        <w:rPr>
          <w:rtl/>
        </w:rPr>
        <w:t>במגזר היהודי והערבי</w:t>
      </w:r>
      <w:r>
        <w:rPr>
          <w:rFonts w:hint="cs"/>
          <w:rtl/>
        </w:rPr>
        <w:t xml:space="preserve"> </w:t>
      </w:r>
      <w:r w:rsidRPr="00E93732">
        <w:rPr>
          <w:rtl/>
        </w:rPr>
        <w:t>בכיתות ו'-י"ב</w:t>
      </w:r>
      <w:r>
        <w:rPr>
          <w:rFonts w:hint="cs"/>
          <w:rtl/>
        </w:rPr>
        <w:t xml:space="preserve"> לפחות</w:t>
      </w:r>
      <w:r w:rsidRPr="00E93732">
        <w:rPr>
          <w:rtl/>
        </w:rPr>
        <w:t xml:space="preserve"> על </w:t>
      </w:r>
      <w:r>
        <w:rPr>
          <w:rFonts w:hint="cs"/>
          <w:rtl/>
        </w:rPr>
        <w:t xml:space="preserve">אירוע אחד של </w:t>
      </w:r>
      <w:r w:rsidRPr="00E93732">
        <w:rPr>
          <w:rtl/>
        </w:rPr>
        <w:t>שתי</w:t>
      </w:r>
      <w:r>
        <w:rPr>
          <w:rFonts w:hint="cs"/>
          <w:rtl/>
        </w:rPr>
        <w:t>י</w:t>
      </w:r>
      <w:r w:rsidRPr="00E93732">
        <w:rPr>
          <w:rtl/>
        </w:rPr>
        <w:t>ה מופרזת</w:t>
      </w:r>
      <w:r>
        <w:rPr>
          <w:rFonts w:hint="cs"/>
          <w:rtl/>
        </w:rPr>
        <w:t xml:space="preserve"> בחודש שקדם למחקר</w:t>
      </w:r>
      <w:r>
        <w:rPr>
          <w:vertAlign w:val="superscript"/>
          <w:rtl/>
        </w:rPr>
        <w:footnoteReference w:id="9"/>
      </w:r>
      <w:r>
        <w:rPr>
          <w:rFonts w:hint="cs"/>
          <w:rtl/>
        </w:rPr>
        <w:t>, ו-</w:t>
      </w:r>
      <w:r w:rsidRPr="00E93732">
        <w:rPr>
          <w:rtl/>
        </w:rPr>
        <w:t>27.9%</w:t>
      </w:r>
      <w:r>
        <w:rPr>
          <w:rFonts w:hint="cs"/>
          <w:rtl/>
        </w:rPr>
        <w:t xml:space="preserve"> </w:t>
      </w:r>
      <w:r w:rsidRPr="00E93732">
        <w:rPr>
          <w:rtl/>
        </w:rPr>
        <w:t>מהבנים במגזר היהודי</w:t>
      </w:r>
      <w:r>
        <w:rPr>
          <w:rFonts w:hint="cs"/>
          <w:rtl/>
        </w:rPr>
        <w:t xml:space="preserve"> דיווחו</w:t>
      </w:r>
      <w:r w:rsidRPr="00E93732">
        <w:rPr>
          <w:rFonts w:hint="cs"/>
          <w:rtl/>
        </w:rPr>
        <w:t xml:space="preserve"> על השתכרות</w:t>
      </w:r>
      <w:r>
        <w:rPr>
          <w:rtl/>
        </w:rPr>
        <w:t xml:space="preserve"> לפחות פעם אחת בעב</w:t>
      </w:r>
      <w:r>
        <w:rPr>
          <w:rFonts w:hint="cs"/>
          <w:rtl/>
        </w:rPr>
        <w:t xml:space="preserve">ר; </w:t>
      </w:r>
      <w:r w:rsidRPr="00E93732">
        <w:rPr>
          <w:rtl/>
        </w:rPr>
        <w:t>20.7% מהבנים במגזר הער</w:t>
      </w:r>
      <w:r>
        <w:rPr>
          <w:rFonts w:hint="cs"/>
          <w:rtl/>
        </w:rPr>
        <w:t xml:space="preserve">בי דיווחו </w:t>
      </w:r>
      <w:r w:rsidRPr="00E93732">
        <w:rPr>
          <w:rtl/>
        </w:rPr>
        <w:t>על שימוש באקסטזי או ב-</w:t>
      </w:r>
      <w:r w:rsidRPr="00E93732">
        <w:t>LSD</w:t>
      </w:r>
      <w:r w:rsidRPr="00E93732">
        <w:rPr>
          <w:rtl/>
        </w:rPr>
        <w:t xml:space="preserve"> לפחות פעם אחת ב-12 החודשים שקדמו למילוי השאלון</w:t>
      </w:r>
      <w:r>
        <w:rPr>
          <w:rFonts w:hint="cs"/>
          <w:rtl/>
        </w:rPr>
        <w:t>; אחד מחמישה תלמידים דיווח כי החל להשתמש בסמים כבר בחטיבת הביניים.</w:t>
      </w:r>
      <w:r w:rsidRPr="00E93732">
        <w:rPr>
          <w:rFonts w:hint="cs"/>
          <w:rtl/>
        </w:rPr>
        <w:t xml:space="preserve"> </w:t>
      </w:r>
      <w:r w:rsidRPr="00C5019C">
        <w:rPr>
          <w:rtl/>
        </w:rPr>
        <w:t xml:space="preserve">שימוש </w:t>
      </w:r>
      <w:r w:rsidRPr="00B7407A">
        <w:rPr>
          <w:rtl/>
        </w:rPr>
        <w:t>לרעה</w:t>
      </w:r>
      <w:r w:rsidRPr="00C5019C">
        <w:rPr>
          <w:rtl/>
        </w:rPr>
        <w:t xml:space="preserve"> בחומרים </w:t>
      </w:r>
      <w:r w:rsidRPr="00C5019C">
        <w:rPr>
          <w:rFonts w:hint="cs"/>
          <w:rtl/>
        </w:rPr>
        <w:t xml:space="preserve">ממכרים </w:t>
      </w:r>
      <w:r w:rsidRPr="00C5019C">
        <w:rPr>
          <w:rtl/>
        </w:rPr>
        <w:t>על ידי בני נוער עלול להוביל להתמכרות</w:t>
      </w:r>
      <w:r w:rsidRPr="00C5019C">
        <w:rPr>
          <w:rFonts w:hint="cs"/>
          <w:rtl/>
        </w:rPr>
        <w:t>.</w:t>
      </w:r>
      <w:r w:rsidRPr="00C5019C">
        <w:rPr>
          <w:rtl/>
        </w:rPr>
        <w:t xml:space="preserve"> </w:t>
      </w:r>
      <w:r w:rsidRPr="00156CF1">
        <w:rPr>
          <w:rtl/>
        </w:rPr>
        <w:t>למשרד החינוך יש תפקיד מרכזי במניעת התמכרויות, ואולם עלה בביקורת שהפעילות של משרד החינוך למניעת התנהגויות סיכון היא חלקית</w:t>
      </w:r>
      <w:r>
        <w:rPr>
          <w:rFonts w:hint="cs"/>
          <w:rtl/>
        </w:rPr>
        <w:t xml:space="preserve">: </w:t>
      </w:r>
      <w:r w:rsidRPr="00C5019C">
        <w:rPr>
          <w:rtl/>
        </w:rPr>
        <w:t>מסקר שעשה משרד החינוך ב</w:t>
      </w:r>
      <w:r w:rsidRPr="00C5019C">
        <w:rPr>
          <w:rFonts w:hint="cs"/>
          <w:rtl/>
        </w:rPr>
        <w:t>סוף שנת הלימודים</w:t>
      </w:r>
      <w:r w:rsidRPr="002076B8">
        <w:rPr>
          <w:rFonts w:hint="cs"/>
          <w:rtl/>
        </w:rPr>
        <w:t xml:space="preserve"> </w:t>
      </w:r>
      <w:r>
        <w:rPr>
          <w:rFonts w:hint="cs"/>
          <w:rtl/>
        </w:rPr>
        <w:t>ה</w:t>
      </w:r>
      <w:r w:rsidRPr="002076B8">
        <w:rPr>
          <w:rFonts w:hint="cs"/>
          <w:rtl/>
        </w:rPr>
        <w:t>תשע"ח</w:t>
      </w:r>
      <w:r w:rsidRPr="002076B8">
        <w:rPr>
          <w:rFonts w:hint="cs"/>
          <w:rtl/>
        </w:rPr>
        <w:t xml:space="preserve"> </w:t>
      </w:r>
      <w:r>
        <w:rPr>
          <w:rFonts w:hint="cs"/>
          <w:rtl/>
        </w:rPr>
        <w:t xml:space="preserve">(ספטמבר 2017 - אוגוסט 2018) </w:t>
      </w:r>
      <w:r w:rsidRPr="002076B8">
        <w:rPr>
          <w:rFonts w:hint="cs"/>
          <w:rtl/>
        </w:rPr>
        <w:t xml:space="preserve">בקרב יועצות חינוכיות בבתי הספר בנוגע להפעלת </w:t>
      </w:r>
      <w:r w:rsidRPr="002076B8">
        <w:rPr>
          <w:rFonts w:hint="cs"/>
          <w:rtl/>
        </w:rPr>
        <w:t>ת</w:t>
      </w:r>
      <w:r>
        <w:rPr>
          <w:rFonts w:hint="cs"/>
          <w:rtl/>
        </w:rPr>
        <w:t>ו</w:t>
      </w:r>
      <w:r w:rsidRPr="002076B8">
        <w:rPr>
          <w:rFonts w:hint="cs"/>
          <w:rtl/>
        </w:rPr>
        <w:t>כנית</w:t>
      </w:r>
      <w:r w:rsidRPr="002076B8">
        <w:rPr>
          <w:rFonts w:hint="cs"/>
          <w:rtl/>
        </w:rPr>
        <w:t xml:space="preserve"> כישורי חיים במוסדות החינוך (להלן - סקר היועצות) עלה כי</w:t>
      </w:r>
      <w:r>
        <w:rPr>
          <w:rFonts w:hint="cs"/>
          <w:rtl/>
        </w:rPr>
        <w:t>-</w:t>
      </w:r>
      <w:r w:rsidRPr="002076B8">
        <w:rPr>
          <w:rFonts w:hint="cs"/>
          <w:rtl/>
        </w:rPr>
        <w:t xml:space="preserve">30% </w:t>
      </w:r>
      <w:r w:rsidRPr="002076B8">
        <w:rPr>
          <w:rtl/>
        </w:rPr>
        <w:t>מהיועצות</w:t>
      </w:r>
      <w:r>
        <w:rPr>
          <w:rFonts w:hint="cs"/>
          <w:rtl/>
        </w:rPr>
        <w:t xml:space="preserve"> החינוכיות</w:t>
      </w:r>
      <w:r w:rsidRPr="002076B8">
        <w:rPr>
          <w:rtl/>
        </w:rPr>
        <w:t xml:space="preserve"> בחטיבות הביניים</w:t>
      </w:r>
      <w:r w:rsidRPr="002076B8">
        <w:rPr>
          <w:rFonts w:hint="cs"/>
          <w:rtl/>
        </w:rPr>
        <w:t xml:space="preserve"> </w:t>
      </w:r>
      <w:r>
        <w:rPr>
          <w:rFonts w:hint="cs"/>
          <w:rtl/>
        </w:rPr>
        <w:t>ו-</w:t>
      </w:r>
      <w:r w:rsidRPr="002076B8">
        <w:rPr>
          <w:rFonts w:hint="cs"/>
          <w:rtl/>
        </w:rPr>
        <w:t xml:space="preserve">77% </w:t>
      </w:r>
      <w:r w:rsidRPr="002076B8">
        <w:rPr>
          <w:rtl/>
        </w:rPr>
        <w:t>מהיועצות החינוכיות בבתי הספר היסודיים</w:t>
      </w:r>
      <w:r w:rsidRPr="002076B8">
        <w:rPr>
          <w:rFonts w:hint="cs"/>
          <w:rtl/>
        </w:rPr>
        <w:t xml:space="preserve"> </w:t>
      </w:r>
      <w:r w:rsidRPr="002076B8">
        <w:rPr>
          <w:rtl/>
        </w:rPr>
        <w:t>לא הדגישו בעבודה עם התלמידים את</w:t>
      </w:r>
      <w:r>
        <w:rPr>
          <w:rFonts w:hint="cs"/>
          <w:rtl/>
        </w:rPr>
        <w:t xml:space="preserve"> נושא</w:t>
      </w:r>
      <w:r w:rsidRPr="002076B8">
        <w:rPr>
          <w:rtl/>
        </w:rPr>
        <w:t xml:space="preserve"> מניעת השימוש באלכוהול</w:t>
      </w:r>
      <w:r w:rsidRPr="002076B8">
        <w:rPr>
          <w:rFonts w:hint="cs"/>
          <w:rtl/>
        </w:rPr>
        <w:t xml:space="preserve">; 23% </w:t>
      </w:r>
      <w:r w:rsidRPr="002076B8">
        <w:rPr>
          <w:rtl/>
        </w:rPr>
        <w:t xml:space="preserve">מהיועצות החינוכיות בחטיבות העליונות </w:t>
      </w:r>
      <w:r w:rsidRPr="002076B8">
        <w:rPr>
          <w:rFonts w:hint="cs"/>
          <w:rtl/>
        </w:rPr>
        <w:t>ו</w:t>
      </w:r>
      <w:r>
        <w:rPr>
          <w:rFonts w:hint="cs"/>
          <w:rtl/>
        </w:rPr>
        <w:t>יותר</w:t>
      </w:r>
      <w:r w:rsidRPr="002076B8">
        <w:rPr>
          <w:rFonts w:hint="cs"/>
          <w:rtl/>
        </w:rPr>
        <w:t xml:space="preserve"> ממחצית היועצות </w:t>
      </w:r>
      <w:r w:rsidRPr="002076B8">
        <w:rPr>
          <w:rtl/>
        </w:rPr>
        <w:t>בחטיבות הביניים</w:t>
      </w:r>
      <w:r w:rsidRPr="002076B8">
        <w:rPr>
          <w:rFonts w:hint="cs"/>
          <w:rtl/>
        </w:rPr>
        <w:t xml:space="preserve"> (52%</w:t>
      </w:r>
      <w:r>
        <w:rPr>
          <w:rFonts w:hint="cs"/>
          <w:rtl/>
        </w:rPr>
        <w:t>)</w:t>
      </w:r>
      <w:r w:rsidRPr="002076B8">
        <w:rPr>
          <w:rFonts w:hint="cs"/>
          <w:rtl/>
        </w:rPr>
        <w:t xml:space="preserve"> </w:t>
      </w:r>
      <w:r w:rsidRPr="002076B8">
        <w:rPr>
          <w:rtl/>
        </w:rPr>
        <w:t>לא הדגישו בעבודה עם התלמידים את מניעת השימוש בסמים</w:t>
      </w:r>
      <w:r>
        <w:rPr>
          <w:rFonts w:hint="cs"/>
          <w:rtl/>
        </w:rPr>
        <w:t>.</w:t>
      </w:r>
      <w:r w:rsidRPr="002076B8">
        <w:rPr>
          <w:rtl/>
        </w:rPr>
        <w:t xml:space="preserve"> </w:t>
      </w:r>
      <w:r w:rsidRPr="0012789B" w:rsidR="00290C9B">
        <w:rPr>
          <w:noProof/>
          <w:szCs w:val="17"/>
          <w:rtl/>
        </w:rPr>
        <mc:AlternateContent>
          <mc:Choice Requires="wps">
            <w:drawing>
              <wp:anchor distT="0" distB="0" distL="114300" distR="114300" simplePos="0" relativeHeight="251682816" behindDoc="1" locked="0" layoutInCell="1" allowOverlap="1">
                <wp:simplePos x="0" y="0"/>
                <wp:positionH relativeFrom="margin">
                  <wp:posOffset>-431800</wp:posOffset>
                </wp:positionH>
                <wp:positionV relativeFrom="margin">
                  <wp:align>top</wp:align>
                </wp:positionV>
                <wp:extent cx="1512000" cy="4590000"/>
                <wp:effectExtent l="0" t="0" r="0" b="1270"/>
                <wp:wrapNone/>
                <wp:docPr id="1"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512000" cy="4590000"/>
                        </a:xfrm>
                        <a:prstGeom prst="rect">
                          <a:avLst/>
                        </a:prstGeom>
                        <a:noFill/>
                        <a:ln w="9525">
                          <a:noFill/>
                          <a:miter lim="800000"/>
                          <a:headEnd/>
                          <a:tailEnd/>
                        </a:ln>
                      </wps:spPr>
                      <wps:txbx>
                        <w:txbxContent>
                          <w:p w:rsidR="00290C9B" w:rsidRPr="00373C5D" w:rsidP="00290C9B">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68298639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167841"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290C9B" w:rsidRPr="001762F4" w:rsidP="00290C9B">
                            <w:pPr>
                              <w:spacing w:after="0" w:line="240" w:lineRule="auto"/>
                              <w:rPr>
                                <w:rFonts w:cs="Tahoma"/>
                                <w:color w:val="0B5294"/>
                                <w:spacing w:val="-4"/>
                                <w:sz w:val="24"/>
                                <w:szCs w:val="24"/>
                                <w:rtl/>
                                <w:cs/>
                              </w:rPr>
                            </w:pPr>
                            <w:r w:rsidRPr="00335CD4">
                              <w:rPr>
                                <w:rFonts w:cs="Tahoma" w:hint="eastAsia"/>
                                <w:color w:val="0B5294"/>
                                <w:spacing w:val="-4"/>
                                <w:sz w:val="24"/>
                                <w:szCs w:val="24"/>
                                <w:rtl/>
                              </w:rPr>
                              <w:t>הפעילות</w:t>
                            </w:r>
                            <w:r w:rsidRPr="00335CD4">
                              <w:rPr>
                                <w:rFonts w:cs="Tahoma"/>
                                <w:color w:val="0B5294"/>
                                <w:spacing w:val="-4"/>
                                <w:sz w:val="24"/>
                                <w:szCs w:val="24"/>
                                <w:rtl/>
                              </w:rPr>
                              <w:t xml:space="preserve"> </w:t>
                            </w:r>
                            <w:r w:rsidRPr="00335CD4">
                              <w:rPr>
                                <w:rFonts w:cs="Tahoma" w:hint="eastAsia"/>
                                <w:color w:val="0B5294"/>
                                <w:spacing w:val="-4"/>
                                <w:sz w:val="24"/>
                                <w:szCs w:val="24"/>
                                <w:rtl/>
                              </w:rPr>
                              <w:t>של</w:t>
                            </w:r>
                            <w:r w:rsidRPr="00335CD4">
                              <w:rPr>
                                <w:rFonts w:cs="Tahoma"/>
                                <w:color w:val="0B5294"/>
                                <w:spacing w:val="-4"/>
                                <w:sz w:val="24"/>
                                <w:szCs w:val="24"/>
                                <w:rtl/>
                              </w:rPr>
                              <w:t xml:space="preserve"> </w:t>
                            </w:r>
                            <w:r w:rsidRPr="00335CD4">
                              <w:rPr>
                                <w:rFonts w:cs="Tahoma" w:hint="eastAsia"/>
                                <w:color w:val="0B5294"/>
                                <w:spacing w:val="-4"/>
                                <w:sz w:val="24"/>
                                <w:szCs w:val="24"/>
                                <w:rtl/>
                              </w:rPr>
                              <w:t>משרד</w:t>
                            </w:r>
                            <w:r w:rsidRPr="00335CD4">
                              <w:rPr>
                                <w:rFonts w:cs="Tahoma"/>
                                <w:color w:val="0B5294"/>
                                <w:spacing w:val="-4"/>
                                <w:sz w:val="24"/>
                                <w:szCs w:val="24"/>
                                <w:rtl/>
                              </w:rPr>
                              <w:t xml:space="preserve"> </w:t>
                            </w:r>
                            <w:r w:rsidRPr="00335CD4">
                              <w:rPr>
                                <w:rFonts w:cs="Tahoma" w:hint="eastAsia"/>
                                <w:color w:val="0B5294"/>
                                <w:spacing w:val="-4"/>
                                <w:sz w:val="24"/>
                                <w:szCs w:val="24"/>
                                <w:rtl/>
                              </w:rPr>
                              <w:t>החינוך</w:t>
                            </w:r>
                            <w:r w:rsidRPr="00335CD4">
                              <w:rPr>
                                <w:rFonts w:cs="Tahoma"/>
                                <w:color w:val="0B5294"/>
                                <w:spacing w:val="-4"/>
                                <w:sz w:val="24"/>
                                <w:szCs w:val="24"/>
                                <w:rtl/>
                              </w:rPr>
                              <w:t xml:space="preserve"> </w:t>
                            </w:r>
                            <w:r w:rsidRPr="00335CD4">
                              <w:rPr>
                                <w:rFonts w:cs="Tahoma" w:hint="eastAsia"/>
                                <w:color w:val="0B5294"/>
                                <w:spacing w:val="-4"/>
                                <w:sz w:val="24"/>
                                <w:szCs w:val="24"/>
                                <w:rtl/>
                              </w:rPr>
                              <w:t>למניעת</w:t>
                            </w:r>
                            <w:r w:rsidRPr="00335CD4">
                              <w:rPr>
                                <w:rFonts w:cs="Tahoma"/>
                                <w:color w:val="0B5294"/>
                                <w:spacing w:val="-4"/>
                                <w:sz w:val="24"/>
                                <w:szCs w:val="24"/>
                                <w:rtl/>
                              </w:rPr>
                              <w:t xml:space="preserve"> </w:t>
                            </w:r>
                            <w:r w:rsidRPr="00335CD4">
                              <w:rPr>
                                <w:rFonts w:cs="Tahoma" w:hint="eastAsia"/>
                                <w:color w:val="0B5294"/>
                                <w:spacing w:val="-4"/>
                                <w:sz w:val="24"/>
                                <w:szCs w:val="24"/>
                                <w:rtl/>
                              </w:rPr>
                              <w:t>התנהגויות</w:t>
                            </w:r>
                            <w:r w:rsidRPr="00335CD4">
                              <w:rPr>
                                <w:rFonts w:cs="Tahoma"/>
                                <w:color w:val="0B5294"/>
                                <w:spacing w:val="-4"/>
                                <w:sz w:val="24"/>
                                <w:szCs w:val="24"/>
                                <w:rtl/>
                              </w:rPr>
                              <w:t xml:space="preserve"> </w:t>
                            </w:r>
                            <w:r w:rsidRPr="00335CD4">
                              <w:rPr>
                                <w:rFonts w:cs="Tahoma" w:hint="eastAsia"/>
                                <w:color w:val="0B5294"/>
                                <w:spacing w:val="-4"/>
                                <w:sz w:val="24"/>
                                <w:szCs w:val="24"/>
                                <w:rtl/>
                              </w:rPr>
                              <w:t>סיכון</w:t>
                            </w:r>
                            <w:r w:rsidRPr="00335CD4">
                              <w:rPr>
                                <w:rFonts w:cs="Tahoma"/>
                                <w:color w:val="0B5294"/>
                                <w:spacing w:val="-4"/>
                                <w:sz w:val="24"/>
                                <w:szCs w:val="24"/>
                                <w:rtl/>
                              </w:rPr>
                              <w:t xml:space="preserve"> </w:t>
                            </w:r>
                            <w:r w:rsidRPr="00335CD4">
                              <w:rPr>
                                <w:rFonts w:cs="Tahoma" w:hint="eastAsia"/>
                                <w:color w:val="0B5294"/>
                                <w:spacing w:val="-4"/>
                                <w:sz w:val="24"/>
                                <w:szCs w:val="24"/>
                                <w:rtl/>
                              </w:rPr>
                              <w:t>היא</w:t>
                            </w:r>
                            <w:r w:rsidRPr="00335CD4">
                              <w:rPr>
                                <w:rFonts w:cs="Tahoma"/>
                                <w:color w:val="0B5294"/>
                                <w:spacing w:val="-4"/>
                                <w:sz w:val="24"/>
                                <w:szCs w:val="24"/>
                                <w:rtl/>
                              </w:rPr>
                              <w:t xml:space="preserve"> </w:t>
                            </w:r>
                            <w:r w:rsidRPr="00335CD4">
                              <w:rPr>
                                <w:rFonts w:cs="Tahoma" w:hint="eastAsia"/>
                                <w:color w:val="0B5294"/>
                                <w:spacing w:val="-4"/>
                                <w:sz w:val="24"/>
                                <w:szCs w:val="24"/>
                                <w:rtl/>
                              </w:rPr>
                              <w:t>חלקית</w:t>
                            </w:r>
                          </w:p>
                          <w:p w:rsidR="00290C9B" w:rsidRPr="00373C5D" w:rsidP="00290C9B">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202846848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636636"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8" type="#_x0000_t202" style="width:119.05pt;height:361.4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2640" filled="f" stroked="f">
                <v:textbox>
                  <w:txbxContent>
                    <w:p w:rsidR="00290C9B" w:rsidRPr="00373C5D" w:rsidP="00290C9B">
                      <w:pPr>
                        <w:spacing w:line="240" w:lineRule="atLeast"/>
                        <w:rPr>
                          <w:rFonts w:cs="Tahoma"/>
                          <w:b/>
                          <w:bCs/>
                          <w:color w:val="0B5294"/>
                          <w:sz w:val="48"/>
                          <w:szCs w:val="48"/>
                          <w:rtl/>
                        </w:rPr>
                      </w:pPr>
                      <w:drawing>
                        <wp:inline distT="0" distB="0" distL="0" distR="0">
                          <wp:extent cx="311150" cy="256800"/>
                          <wp:effectExtent l="0" t="0" r="0" b="0"/>
                          <wp:docPr id="4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275929"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290C9B" w:rsidRPr="001762F4" w:rsidP="00290C9B">
                      <w:pPr>
                        <w:spacing w:after="0" w:line="240" w:lineRule="auto"/>
                        <w:rPr>
                          <w:rFonts w:cs="Tahoma"/>
                          <w:color w:val="0B5294"/>
                          <w:spacing w:val="-4"/>
                          <w:sz w:val="24"/>
                          <w:szCs w:val="24"/>
                          <w:rtl/>
                          <w:cs/>
                        </w:rPr>
                      </w:pPr>
                      <w:r w:rsidRPr="00335CD4">
                        <w:rPr>
                          <w:rFonts w:cs="Tahoma" w:hint="eastAsia"/>
                          <w:color w:val="0B5294"/>
                          <w:spacing w:val="-4"/>
                          <w:sz w:val="24"/>
                          <w:szCs w:val="24"/>
                          <w:rtl/>
                        </w:rPr>
                        <w:t>הפעילות</w:t>
                      </w:r>
                      <w:r w:rsidRPr="00335CD4">
                        <w:rPr>
                          <w:rFonts w:cs="Tahoma"/>
                          <w:color w:val="0B5294"/>
                          <w:spacing w:val="-4"/>
                          <w:sz w:val="24"/>
                          <w:szCs w:val="24"/>
                          <w:rtl/>
                        </w:rPr>
                        <w:t xml:space="preserve"> </w:t>
                      </w:r>
                      <w:r w:rsidRPr="00335CD4">
                        <w:rPr>
                          <w:rFonts w:cs="Tahoma" w:hint="eastAsia"/>
                          <w:color w:val="0B5294"/>
                          <w:spacing w:val="-4"/>
                          <w:sz w:val="24"/>
                          <w:szCs w:val="24"/>
                          <w:rtl/>
                        </w:rPr>
                        <w:t>של</w:t>
                      </w:r>
                      <w:r w:rsidRPr="00335CD4">
                        <w:rPr>
                          <w:rFonts w:cs="Tahoma"/>
                          <w:color w:val="0B5294"/>
                          <w:spacing w:val="-4"/>
                          <w:sz w:val="24"/>
                          <w:szCs w:val="24"/>
                          <w:rtl/>
                        </w:rPr>
                        <w:t xml:space="preserve"> </w:t>
                      </w:r>
                      <w:r w:rsidRPr="00335CD4">
                        <w:rPr>
                          <w:rFonts w:cs="Tahoma" w:hint="eastAsia"/>
                          <w:color w:val="0B5294"/>
                          <w:spacing w:val="-4"/>
                          <w:sz w:val="24"/>
                          <w:szCs w:val="24"/>
                          <w:rtl/>
                        </w:rPr>
                        <w:t>משרד</w:t>
                      </w:r>
                      <w:r w:rsidRPr="00335CD4">
                        <w:rPr>
                          <w:rFonts w:cs="Tahoma"/>
                          <w:color w:val="0B5294"/>
                          <w:spacing w:val="-4"/>
                          <w:sz w:val="24"/>
                          <w:szCs w:val="24"/>
                          <w:rtl/>
                        </w:rPr>
                        <w:t xml:space="preserve"> </w:t>
                      </w:r>
                      <w:r w:rsidRPr="00335CD4">
                        <w:rPr>
                          <w:rFonts w:cs="Tahoma" w:hint="eastAsia"/>
                          <w:color w:val="0B5294"/>
                          <w:spacing w:val="-4"/>
                          <w:sz w:val="24"/>
                          <w:szCs w:val="24"/>
                          <w:rtl/>
                        </w:rPr>
                        <w:t>החינוך</w:t>
                      </w:r>
                      <w:r w:rsidRPr="00335CD4">
                        <w:rPr>
                          <w:rFonts w:cs="Tahoma"/>
                          <w:color w:val="0B5294"/>
                          <w:spacing w:val="-4"/>
                          <w:sz w:val="24"/>
                          <w:szCs w:val="24"/>
                          <w:rtl/>
                        </w:rPr>
                        <w:t xml:space="preserve"> </w:t>
                      </w:r>
                      <w:r w:rsidRPr="00335CD4">
                        <w:rPr>
                          <w:rFonts w:cs="Tahoma" w:hint="eastAsia"/>
                          <w:color w:val="0B5294"/>
                          <w:spacing w:val="-4"/>
                          <w:sz w:val="24"/>
                          <w:szCs w:val="24"/>
                          <w:rtl/>
                        </w:rPr>
                        <w:t>למניעת</w:t>
                      </w:r>
                      <w:r w:rsidRPr="00335CD4">
                        <w:rPr>
                          <w:rFonts w:cs="Tahoma"/>
                          <w:color w:val="0B5294"/>
                          <w:spacing w:val="-4"/>
                          <w:sz w:val="24"/>
                          <w:szCs w:val="24"/>
                          <w:rtl/>
                        </w:rPr>
                        <w:t xml:space="preserve"> </w:t>
                      </w:r>
                      <w:r w:rsidRPr="00335CD4">
                        <w:rPr>
                          <w:rFonts w:cs="Tahoma" w:hint="eastAsia"/>
                          <w:color w:val="0B5294"/>
                          <w:spacing w:val="-4"/>
                          <w:sz w:val="24"/>
                          <w:szCs w:val="24"/>
                          <w:rtl/>
                        </w:rPr>
                        <w:t>התנהגויות</w:t>
                      </w:r>
                      <w:r w:rsidRPr="00335CD4">
                        <w:rPr>
                          <w:rFonts w:cs="Tahoma"/>
                          <w:color w:val="0B5294"/>
                          <w:spacing w:val="-4"/>
                          <w:sz w:val="24"/>
                          <w:szCs w:val="24"/>
                          <w:rtl/>
                        </w:rPr>
                        <w:t xml:space="preserve"> </w:t>
                      </w:r>
                      <w:r w:rsidRPr="00335CD4">
                        <w:rPr>
                          <w:rFonts w:cs="Tahoma" w:hint="eastAsia"/>
                          <w:color w:val="0B5294"/>
                          <w:spacing w:val="-4"/>
                          <w:sz w:val="24"/>
                          <w:szCs w:val="24"/>
                          <w:rtl/>
                        </w:rPr>
                        <w:t>סיכון</w:t>
                      </w:r>
                      <w:r w:rsidRPr="00335CD4">
                        <w:rPr>
                          <w:rFonts w:cs="Tahoma"/>
                          <w:color w:val="0B5294"/>
                          <w:spacing w:val="-4"/>
                          <w:sz w:val="24"/>
                          <w:szCs w:val="24"/>
                          <w:rtl/>
                        </w:rPr>
                        <w:t xml:space="preserve"> </w:t>
                      </w:r>
                      <w:r w:rsidRPr="00335CD4">
                        <w:rPr>
                          <w:rFonts w:cs="Tahoma" w:hint="eastAsia"/>
                          <w:color w:val="0B5294"/>
                          <w:spacing w:val="-4"/>
                          <w:sz w:val="24"/>
                          <w:szCs w:val="24"/>
                          <w:rtl/>
                        </w:rPr>
                        <w:t>היא</w:t>
                      </w:r>
                      <w:r w:rsidRPr="00335CD4">
                        <w:rPr>
                          <w:rFonts w:cs="Tahoma"/>
                          <w:color w:val="0B5294"/>
                          <w:spacing w:val="-4"/>
                          <w:sz w:val="24"/>
                          <w:szCs w:val="24"/>
                          <w:rtl/>
                        </w:rPr>
                        <w:t xml:space="preserve"> </w:t>
                      </w:r>
                      <w:r w:rsidRPr="00335CD4">
                        <w:rPr>
                          <w:rFonts w:cs="Tahoma" w:hint="eastAsia"/>
                          <w:color w:val="0B5294"/>
                          <w:spacing w:val="-4"/>
                          <w:sz w:val="24"/>
                          <w:szCs w:val="24"/>
                          <w:rtl/>
                        </w:rPr>
                        <w:t>חלקית</w:t>
                      </w:r>
                    </w:p>
                    <w:p w:rsidR="00290C9B" w:rsidRPr="00373C5D" w:rsidP="00290C9B">
                      <w:pPr>
                        <w:spacing w:before="120" w:after="0" w:line="240" w:lineRule="atLeast"/>
                        <w:rPr>
                          <w:rFonts w:cs="Tahoma"/>
                          <w:b/>
                          <w:bCs/>
                          <w:color w:val="0B5294"/>
                          <w:sz w:val="48"/>
                          <w:szCs w:val="48"/>
                          <w:rtl/>
                        </w:rPr>
                      </w:pPr>
                      <w:drawing>
                        <wp:inline distT="0" distB="0" distL="0" distR="0">
                          <wp:extent cx="288000" cy="31337"/>
                          <wp:effectExtent l="0" t="0" r="0" b="6985"/>
                          <wp:docPr id="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975307"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1D6D5E" w:rsidRPr="007E10DE" w:rsidP="00211D07">
      <w:pPr>
        <w:pStyle w:val="takzir-text"/>
        <w:bidi/>
        <w:rPr>
          <w:rtl/>
        </w:rPr>
      </w:pPr>
      <w:r w:rsidRPr="00777DAE">
        <w:rPr>
          <w:rStyle w:val="Heading7Char"/>
          <w:rFonts w:ascii="Tahoma" w:hAnsi="Tahoma" w:cs="Tahoma"/>
          <w:sz w:val="17"/>
          <w:szCs w:val="17"/>
          <w:rtl/>
        </w:rPr>
        <w:t xml:space="preserve">מינוי </w:t>
      </w:r>
      <w:r w:rsidRPr="00777DAE">
        <w:rPr>
          <w:rStyle w:val="Heading7Char"/>
          <w:rFonts w:ascii="Tahoma" w:hAnsi="Tahoma" w:cs="Tahoma" w:hint="cs"/>
          <w:sz w:val="17"/>
          <w:szCs w:val="17"/>
          <w:rtl/>
        </w:rPr>
        <w:t>ממונים</w:t>
      </w:r>
      <w:r w:rsidRPr="00777DAE">
        <w:rPr>
          <w:rStyle w:val="Heading7Char"/>
          <w:rFonts w:ascii="Tahoma" w:hAnsi="Tahoma" w:cs="Tahoma"/>
          <w:sz w:val="17"/>
          <w:szCs w:val="17"/>
          <w:rtl/>
        </w:rPr>
        <w:t xml:space="preserve"> בית </w:t>
      </w:r>
      <w:r w:rsidRPr="00777DAE">
        <w:rPr>
          <w:rStyle w:val="Heading7Char"/>
          <w:rFonts w:ascii="Tahoma" w:hAnsi="Tahoma" w:cs="Tahoma"/>
          <w:sz w:val="17"/>
          <w:szCs w:val="17"/>
          <w:rtl/>
        </w:rPr>
        <w:t>ספריים</w:t>
      </w:r>
      <w:r w:rsidRPr="00777DAE">
        <w:rPr>
          <w:rStyle w:val="Heading7Char"/>
          <w:rFonts w:ascii="Tahoma" w:hAnsi="Tahoma" w:cs="Tahoma" w:hint="cs"/>
          <w:sz w:val="17"/>
          <w:szCs w:val="17"/>
          <w:rtl/>
        </w:rPr>
        <w:t xml:space="preserve"> </w:t>
      </w:r>
      <w:r>
        <w:rPr>
          <w:rFonts w:hint="cs"/>
          <w:rtl/>
        </w:rPr>
        <w:t xml:space="preserve">(להלן - </w:t>
      </w:r>
      <w:r>
        <w:rPr>
          <w:rFonts w:hint="cs"/>
          <w:rtl/>
        </w:rPr>
        <w:t>מב"סים</w:t>
      </w:r>
      <w:r>
        <w:rPr>
          <w:rFonts w:hint="cs"/>
          <w:rtl/>
        </w:rPr>
        <w:t>)</w:t>
      </w:r>
      <w:r>
        <w:rPr>
          <w:rStyle w:val="FootnoteReference0"/>
          <w:rtl/>
        </w:rPr>
        <w:footnoteReference w:id="10"/>
      </w:r>
      <w:r w:rsidRPr="001D6D5E">
        <w:rPr>
          <w:rStyle w:val="Heading7Char"/>
          <w:rFonts w:ascii="Tahoma" w:hAnsi="Tahoma" w:cs="Tahoma"/>
          <w:sz w:val="17"/>
          <w:szCs w:val="17"/>
          <w:rtl/>
        </w:rPr>
        <w:t>:</w:t>
      </w:r>
      <w:r w:rsidRPr="00213940">
        <w:rPr>
          <w:b/>
          <w:bCs/>
          <w:rtl/>
        </w:rPr>
        <w:t xml:space="preserve"> </w:t>
      </w:r>
      <w:r w:rsidRPr="006A5A0D">
        <w:rPr>
          <w:rtl/>
        </w:rPr>
        <w:t>ב</w:t>
      </w:r>
      <w:r w:rsidRPr="006A5A0D">
        <w:rPr>
          <w:rFonts w:hint="cs"/>
          <w:rtl/>
        </w:rPr>
        <w:t xml:space="preserve">שנת הלימודים </w:t>
      </w:r>
      <w:r w:rsidRPr="006A5A0D">
        <w:rPr>
          <w:rFonts w:hint="cs"/>
          <w:rtl/>
        </w:rPr>
        <w:t>התשע"ח</w:t>
      </w:r>
      <w:r>
        <w:rPr>
          <w:rFonts w:hint="cs"/>
          <w:rtl/>
        </w:rPr>
        <w:t xml:space="preserve"> </w:t>
      </w:r>
      <w:r w:rsidRPr="006A5A0D">
        <w:rPr>
          <w:rtl/>
        </w:rPr>
        <w:t>פעלו בישראל כ-2,</w:t>
      </w:r>
      <w:r>
        <w:rPr>
          <w:rFonts w:hint="cs"/>
          <w:rtl/>
        </w:rPr>
        <w:t>0</w:t>
      </w:r>
      <w:r w:rsidRPr="006A5A0D">
        <w:rPr>
          <w:rtl/>
        </w:rPr>
        <w:t>00 בתי ספר על-יסודיים</w:t>
      </w:r>
      <w:r w:rsidRPr="006A5A0D">
        <w:rPr>
          <w:rFonts w:hint="cs"/>
          <w:rtl/>
        </w:rPr>
        <w:t xml:space="preserve"> א</w:t>
      </w:r>
      <w:r>
        <w:rPr>
          <w:rFonts w:hint="cs"/>
          <w:rtl/>
        </w:rPr>
        <w:t>ך היו בהם</w:t>
      </w:r>
      <w:r w:rsidRPr="006A5A0D">
        <w:rPr>
          <w:rtl/>
        </w:rPr>
        <w:t xml:space="preserve"> רק 1,</w:t>
      </w:r>
      <w:r w:rsidRPr="006A5A0D">
        <w:rPr>
          <w:rFonts w:hint="cs"/>
          <w:rtl/>
        </w:rPr>
        <w:t>173</w:t>
      </w:r>
      <w:r w:rsidRPr="006A5A0D">
        <w:rPr>
          <w:rtl/>
        </w:rPr>
        <w:t xml:space="preserve"> </w:t>
      </w:r>
      <w:r w:rsidRPr="006A5A0D">
        <w:rPr>
          <w:rtl/>
        </w:rPr>
        <w:t>מב"סים</w:t>
      </w:r>
      <w:r w:rsidRPr="006A5A0D">
        <w:rPr>
          <w:rFonts w:hint="cs"/>
          <w:rtl/>
        </w:rPr>
        <w:t xml:space="preserve">. </w:t>
      </w:r>
      <w:r w:rsidRPr="00A52360">
        <w:rPr>
          <w:rtl/>
        </w:rPr>
        <w:t>ה</w:t>
      </w:r>
      <w:r>
        <w:rPr>
          <w:rFonts w:hint="cs"/>
          <w:rtl/>
        </w:rPr>
        <w:t>מחסור העיקרי בהם</w:t>
      </w:r>
      <w:r w:rsidRPr="00A52360">
        <w:rPr>
          <w:rtl/>
        </w:rPr>
        <w:t xml:space="preserve"> </w:t>
      </w:r>
      <w:r>
        <w:rPr>
          <w:rFonts w:hint="cs"/>
          <w:rtl/>
        </w:rPr>
        <w:t>קיי</w:t>
      </w:r>
      <w:r w:rsidRPr="00A52360">
        <w:rPr>
          <w:rtl/>
        </w:rPr>
        <w:t>ם</w:t>
      </w:r>
      <w:r w:rsidRPr="00A52360">
        <w:rPr>
          <w:rStyle w:val="CommentReference"/>
          <w:sz w:val="20"/>
          <w:szCs w:val="24"/>
          <w:rtl/>
        </w:rPr>
        <w:t xml:space="preserve"> </w:t>
      </w:r>
      <w:r w:rsidRPr="0085313E">
        <w:rPr>
          <w:rFonts w:hint="cs"/>
          <w:rtl/>
        </w:rPr>
        <w:t xml:space="preserve">במגזר החרדי, </w:t>
      </w:r>
      <w:r>
        <w:rPr>
          <w:rFonts w:hint="cs"/>
          <w:rtl/>
        </w:rPr>
        <w:t>ה</w:t>
      </w:r>
      <w:r w:rsidRPr="0085313E">
        <w:rPr>
          <w:rFonts w:hint="cs"/>
          <w:rtl/>
        </w:rPr>
        <w:t>ערבי ו</w:t>
      </w:r>
      <w:r>
        <w:rPr>
          <w:rFonts w:hint="cs"/>
          <w:rtl/>
        </w:rPr>
        <w:t>בחינוך ה</w:t>
      </w:r>
      <w:r w:rsidRPr="0085313E">
        <w:rPr>
          <w:rFonts w:hint="cs"/>
          <w:rtl/>
        </w:rPr>
        <w:t>ממלכתי</w:t>
      </w:r>
      <w:r>
        <w:rPr>
          <w:rFonts w:hint="cs"/>
          <w:rtl/>
        </w:rPr>
        <w:t>-</w:t>
      </w:r>
      <w:r w:rsidRPr="0085313E">
        <w:rPr>
          <w:rFonts w:hint="cs"/>
          <w:rtl/>
        </w:rPr>
        <w:t>דתי.</w:t>
      </w:r>
    </w:p>
    <w:p w:rsidR="00C65C4E" w:rsidRPr="00492C38" w:rsidP="00211D07">
      <w:pPr>
        <w:pStyle w:val="takzir"/>
        <w:rPr>
          <w:rFonts w:ascii="Tahoma" w:hAnsi="Tahoma" w:cs="Tahoma"/>
          <w:noProof w:val="0"/>
          <w:sz w:val="28"/>
          <w:rtl/>
        </w:rPr>
      </w:pPr>
    </w:p>
    <w:p w:rsidR="00384065" w:rsidRPr="00132FFC" w:rsidP="00211D07">
      <w:pPr>
        <w:pStyle w:val="KOT4T"/>
        <w:rPr>
          <w:rtl/>
        </w:rPr>
      </w:pPr>
      <w:r w:rsidRPr="00132FFC">
        <w:rPr>
          <w:rtl/>
        </w:rPr>
        <w:t>ההמלצות העיקריות</w:t>
      </w:r>
    </w:p>
    <w:p w:rsidR="001D6D5E" w:rsidRPr="007E10DE" w:rsidP="00211D07">
      <w:pPr>
        <w:pStyle w:val="takzir-text"/>
        <w:bidi/>
        <w:rPr>
          <w:rtl/>
        </w:rPr>
      </w:pPr>
      <w:r w:rsidRPr="008D36FD">
        <w:rPr>
          <w:rtl/>
        </w:rPr>
        <w:t xml:space="preserve">על משרד הרווחה לוודא כי עו"ס המשפחה </w:t>
      </w:r>
      <w:r>
        <w:rPr>
          <w:rFonts w:hint="cs"/>
          <w:rtl/>
        </w:rPr>
        <w:t>במש"ח</w:t>
      </w:r>
      <w:r>
        <w:rPr>
          <w:rFonts w:hint="cs"/>
          <w:rtl/>
        </w:rPr>
        <w:t xml:space="preserve"> </w:t>
      </w:r>
      <w:r w:rsidRPr="008D36FD">
        <w:rPr>
          <w:rtl/>
        </w:rPr>
        <w:t>יודע</w:t>
      </w:r>
      <w:r>
        <w:rPr>
          <w:rFonts w:hint="cs"/>
          <w:rtl/>
        </w:rPr>
        <w:t xml:space="preserve"> </w:t>
      </w:r>
      <w:r w:rsidRPr="008D36FD">
        <w:rPr>
          <w:rtl/>
        </w:rPr>
        <w:t xml:space="preserve">לאתר את המכורים </w:t>
      </w:r>
      <w:r>
        <w:rPr>
          <w:rFonts w:hint="cs"/>
          <w:rtl/>
        </w:rPr>
        <w:t>בקרב ה</w:t>
      </w:r>
      <w:r w:rsidRPr="008D36FD">
        <w:rPr>
          <w:rtl/>
        </w:rPr>
        <w:t>משפחות שבטיפולו</w:t>
      </w:r>
      <w:r>
        <w:rPr>
          <w:rFonts w:hint="cs"/>
          <w:rtl/>
        </w:rPr>
        <w:t xml:space="preserve"> ופועל לשם כך.</w:t>
      </w:r>
      <w:r w:rsidRPr="008D36FD">
        <w:rPr>
          <w:rtl/>
        </w:rPr>
        <w:t xml:space="preserve"> </w:t>
      </w:r>
      <w:r>
        <w:rPr>
          <w:rFonts w:hint="cs"/>
          <w:rtl/>
        </w:rPr>
        <w:t>כמ</w:t>
      </w:r>
      <w:r w:rsidRPr="008D36FD">
        <w:rPr>
          <w:rtl/>
        </w:rPr>
        <w:t>ו</w:t>
      </w:r>
      <w:r>
        <w:rPr>
          <w:rFonts w:hint="cs"/>
          <w:rtl/>
        </w:rPr>
        <w:t xml:space="preserve"> </w:t>
      </w:r>
      <w:r w:rsidRPr="008D36FD">
        <w:rPr>
          <w:rtl/>
        </w:rPr>
        <w:t>כן על</w:t>
      </w:r>
      <w:r>
        <w:rPr>
          <w:rFonts w:hint="cs"/>
          <w:rtl/>
        </w:rPr>
        <w:t xml:space="preserve"> המשרד</w:t>
      </w:r>
      <w:r w:rsidRPr="008D36FD">
        <w:rPr>
          <w:rtl/>
        </w:rPr>
        <w:t xml:space="preserve"> לוודא שעו"ס המשפחה מפנה את המכורים לטיפולו של עו"ס התמכרויות ככל שיש כזה </w:t>
      </w:r>
      <w:r w:rsidRPr="008D36FD">
        <w:rPr>
          <w:rtl/>
        </w:rPr>
        <w:t>במש"ח</w:t>
      </w:r>
      <w:r>
        <w:rPr>
          <w:rFonts w:hint="cs"/>
          <w:rtl/>
        </w:rPr>
        <w:t xml:space="preserve">. </w:t>
      </w:r>
      <w:r w:rsidRPr="002C4A33">
        <w:rPr>
          <w:rtl/>
        </w:rPr>
        <w:t>על</w:t>
      </w:r>
      <w:r>
        <w:rPr>
          <w:rFonts w:hint="cs"/>
          <w:rtl/>
        </w:rPr>
        <w:t xml:space="preserve"> המשרד </w:t>
      </w:r>
      <w:r w:rsidRPr="00BF5D5E">
        <w:rPr>
          <w:rtl/>
        </w:rPr>
        <w:t xml:space="preserve">לקבוע נוהל מחייב לתהליכי העבודה </w:t>
      </w:r>
      <w:r>
        <w:rPr>
          <w:rFonts w:hint="cs"/>
          <w:rtl/>
        </w:rPr>
        <w:t>ש</w:t>
      </w:r>
      <w:r w:rsidRPr="00BF5D5E">
        <w:rPr>
          <w:rtl/>
        </w:rPr>
        <w:t xml:space="preserve">בין </w:t>
      </w:r>
      <w:r w:rsidRPr="00BF5D5E">
        <w:rPr>
          <w:rtl/>
        </w:rPr>
        <w:t>המש"ח</w:t>
      </w:r>
      <w:r>
        <w:rPr>
          <w:rtl/>
        </w:rPr>
        <w:t xml:space="preserve"> ליחידות לטיפול בהתמכרויות, כך </w:t>
      </w:r>
      <w:r w:rsidRPr="002C4A33">
        <w:rPr>
          <w:rtl/>
        </w:rPr>
        <w:t xml:space="preserve">שהמידע הקיים בשירותי הרווחה יתועל </w:t>
      </w:r>
      <w:r>
        <w:rPr>
          <w:rFonts w:hint="cs"/>
          <w:rtl/>
        </w:rPr>
        <w:t>ל</w:t>
      </w:r>
      <w:r w:rsidRPr="002C4A33">
        <w:rPr>
          <w:rtl/>
        </w:rPr>
        <w:t>טיפול מיטבי במכורים המוכרים לשירותי הרווחה</w:t>
      </w:r>
      <w:r>
        <w:rPr>
          <w:rFonts w:hint="cs"/>
          <w:rtl/>
        </w:rPr>
        <w:t xml:space="preserve">; </w:t>
      </w:r>
      <w:r w:rsidRPr="00DD70FB">
        <w:rPr>
          <w:rFonts w:hint="cs"/>
          <w:rtl/>
        </w:rPr>
        <w:t xml:space="preserve">על משרד </w:t>
      </w:r>
      <w:r>
        <w:rPr>
          <w:rFonts w:hint="cs"/>
          <w:rtl/>
        </w:rPr>
        <w:t xml:space="preserve">הרווחה </w:t>
      </w:r>
      <w:r w:rsidRPr="00DD70FB">
        <w:rPr>
          <w:rFonts w:hint="cs"/>
          <w:rtl/>
        </w:rPr>
        <w:t>לבחון את היקף התופעה ו</w:t>
      </w:r>
      <w:r>
        <w:rPr>
          <w:rFonts w:hint="cs"/>
          <w:rtl/>
        </w:rPr>
        <w:t xml:space="preserve">את </w:t>
      </w:r>
      <w:r w:rsidRPr="00DD70FB">
        <w:rPr>
          <w:rFonts w:hint="cs"/>
          <w:rtl/>
        </w:rPr>
        <w:t xml:space="preserve">מאפייני המכורים בטרם יקבע אם יש צורך בפיתוח מדיניות נפרדת לסובלים מבעיית </w:t>
      </w:r>
      <w:r w:rsidRPr="006629F0">
        <w:rPr>
          <w:rtl/>
        </w:rPr>
        <w:t>התמכרות ל</w:t>
      </w:r>
      <w:r w:rsidRPr="00DD70FB">
        <w:rPr>
          <w:rFonts w:hint="cs"/>
          <w:rtl/>
        </w:rPr>
        <w:t>הימורים</w:t>
      </w:r>
      <w:r>
        <w:rPr>
          <w:rFonts w:hint="cs"/>
          <w:rtl/>
        </w:rPr>
        <w:t>;</w:t>
      </w:r>
      <w:r w:rsidRPr="00DD70FB">
        <w:rPr>
          <w:rFonts w:hint="cs"/>
          <w:rtl/>
        </w:rPr>
        <w:t xml:space="preserve"> על מנכ"ל משרד הרווחה</w:t>
      </w:r>
      <w:r w:rsidRPr="000E49E4">
        <w:rPr>
          <w:rFonts w:hint="cs"/>
          <w:rtl/>
        </w:rPr>
        <w:t xml:space="preserve"> לפעול בדחיפות להקמת מסגרות הטיפול הנדרשות לשיקום נשים מכורות </w:t>
      </w:r>
      <w:r>
        <w:rPr>
          <w:rFonts w:hint="cs"/>
          <w:rtl/>
        </w:rPr>
        <w:t>תוך ניצול</w:t>
      </w:r>
      <w:r w:rsidRPr="000E49E4">
        <w:rPr>
          <w:rFonts w:hint="cs"/>
          <w:rtl/>
        </w:rPr>
        <w:t xml:space="preserve"> התקציב שיועד למטרה חשובה</w:t>
      </w:r>
      <w:r>
        <w:rPr>
          <w:rFonts w:hint="cs"/>
          <w:rtl/>
        </w:rPr>
        <w:t xml:space="preserve"> זו</w:t>
      </w:r>
      <w:r w:rsidRPr="000E49E4">
        <w:rPr>
          <w:rFonts w:hint="cs"/>
          <w:rtl/>
        </w:rPr>
        <w:t xml:space="preserve">. </w:t>
      </w:r>
    </w:p>
    <w:p w:rsidR="001D6D5E" w:rsidRPr="007E10DE" w:rsidP="00211D07">
      <w:pPr>
        <w:pStyle w:val="takzir-text"/>
        <w:bidi/>
      </w:pPr>
      <w:r w:rsidRPr="00200BFE">
        <w:rPr>
          <w:rtl/>
        </w:rPr>
        <w:t xml:space="preserve">על משרד הבריאות לבחון את הדרכים להפניית המכורים הפונים לחדרי המיון שלא במשמרת בוקר </w:t>
      </w:r>
      <w:r>
        <w:rPr>
          <w:rFonts w:hint="cs"/>
          <w:rtl/>
        </w:rPr>
        <w:t>ל</w:t>
      </w:r>
      <w:r w:rsidRPr="00200BFE">
        <w:rPr>
          <w:rtl/>
        </w:rPr>
        <w:t>גורמי הטיפול בהתמכרויות אם על ידי מתן שירותי עו"ס בחדרי המיון בכל ה</w:t>
      </w:r>
      <w:r>
        <w:rPr>
          <w:rtl/>
        </w:rPr>
        <w:t>משמרות א</w:t>
      </w:r>
      <w:r>
        <w:rPr>
          <w:rFonts w:hint="cs"/>
          <w:rtl/>
        </w:rPr>
        <w:t>ו</w:t>
      </w:r>
      <w:r>
        <w:rPr>
          <w:rtl/>
        </w:rPr>
        <w:t xml:space="preserve"> בדרכים חלופיות</w:t>
      </w:r>
      <w:r w:rsidRPr="00A52360">
        <w:rPr>
          <w:rtl/>
        </w:rPr>
        <w:t>;</w:t>
      </w:r>
      <w:r>
        <w:rPr>
          <w:rFonts w:hint="cs"/>
          <w:rtl/>
        </w:rPr>
        <w:t xml:space="preserve"> </w:t>
      </w:r>
      <w:r w:rsidRPr="00CD44D6">
        <w:rPr>
          <w:rFonts w:hint="cs"/>
          <w:rtl/>
        </w:rPr>
        <w:t xml:space="preserve">עליו </w:t>
      </w:r>
      <w:r w:rsidRPr="00CD44D6">
        <w:rPr>
          <w:rtl/>
        </w:rPr>
        <w:t>ל</w:t>
      </w:r>
      <w:r>
        <w:rPr>
          <w:rFonts w:hint="cs"/>
          <w:rtl/>
        </w:rPr>
        <w:t>הקים</w:t>
      </w:r>
      <w:r w:rsidRPr="00CD44D6">
        <w:rPr>
          <w:rFonts w:hint="cs"/>
          <w:rtl/>
        </w:rPr>
        <w:t xml:space="preserve"> מסד נתונים </w:t>
      </w:r>
      <w:r>
        <w:rPr>
          <w:rFonts w:hint="cs"/>
          <w:rtl/>
        </w:rPr>
        <w:t>מקיף</w:t>
      </w:r>
      <w:r w:rsidRPr="00CD44D6">
        <w:rPr>
          <w:rFonts w:hint="cs"/>
          <w:rtl/>
        </w:rPr>
        <w:t xml:space="preserve"> ואמין בעניין התמכרות לתרופות מרשם </w:t>
      </w:r>
      <w:r>
        <w:rPr>
          <w:rFonts w:hint="cs"/>
          <w:rtl/>
        </w:rPr>
        <w:t>ו</w:t>
      </w:r>
      <w:r w:rsidRPr="00CD44D6">
        <w:rPr>
          <w:rFonts w:hint="cs"/>
          <w:rtl/>
        </w:rPr>
        <w:t>ל</w:t>
      </w:r>
      <w:r w:rsidRPr="00CD44D6">
        <w:rPr>
          <w:rtl/>
        </w:rPr>
        <w:t>קב</w:t>
      </w:r>
      <w:r w:rsidRPr="00CD44D6">
        <w:rPr>
          <w:rFonts w:hint="cs"/>
          <w:rtl/>
        </w:rPr>
        <w:t>ו</w:t>
      </w:r>
      <w:r w:rsidRPr="00CD44D6">
        <w:rPr>
          <w:rtl/>
        </w:rPr>
        <w:t xml:space="preserve">ע מדיניות </w:t>
      </w:r>
      <w:r w:rsidRPr="00CD44D6">
        <w:rPr>
          <w:rFonts w:hint="cs"/>
          <w:rtl/>
        </w:rPr>
        <w:t>בנושא</w:t>
      </w:r>
      <w:r>
        <w:rPr>
          <w:rFonts w:hint="cs"/>
          <w:rtl/>
        </w:rPr>
        <w:t xml:space="preserve"> לפיו;</w:t>
      </w:r>
      <w:r>
        <w:rPr>
          <w:rtl/>
        </w:rPr>
        <w:t xml:space="preserve"> </w:t>
      </w:r>
      <w:r w:rsidRPr="00A52360">
        <w:rPr>
          <w:rtl/>
        </w:rPr>
        <w:t xml:space="preserve">עליו לבחון את הדרכים לארגן את מערך האשפוזיות </w:t>
      </w:r>
      <w:r w:rsidRPr="00C357A6">
        <w:rPr>
          <w:rtl/>
        </w:rPr>
        <w:t>כך שנשים מכורות יטופלו במסגרות ייעודיות להן</w:t>
      </w:r>
      <w:r w:rsidRPr="00CD44D6">
        <w:rPr>
          <w:rFonts w:hint="cs"/>
          <w:rtl/>
        </w:rPr>
        <w:t>.</w:t>
      </w:r>
    </w:p>
    <w:p w:rsidR="001D6D5E" w:rsidRPr="001A7E91" w:rsidP="00211D07">
      <w:pPr>
        <w:pStyle w:val="takzir-text"/>
        <w:bidi/>
        <w:rPr>
          <w:rtl/>
        </w:rPr>
      </w:pPr>
      <w:r w:rsidRPr="00A52360">
        <w:rPr>
          <w:rtl/>
        </w:rPr>
        <w:t xml:space="preserve">על משרד הבריאות ומשרד הרווחה לבחון </w:t>
      </w:r>
      <w:r>
        <w:rPr>
          <w:rFonts w:hint="cs"/>
          <w:rtl/>
        </w:rPr>
        <w:t xml:space="preserve">במשותף </w:t>
      </w:r>
      <w:r w:rsidRPr="00A52360">
        <w:rPr>
          <w:rtl/>
        </w:rPr>
        <w:t>את הדרכים לשיתוף פעולה במקרים שמטופלים נושרים מטיפול הגמילה באשפוזיות</w:t>
      </w:r>
      <w:r>
        <w:rPr>
          <w:rFonts w:hint="cs"/>
          <w:rtl/>
        </w:rPr>
        <w:t xml:space="preserve">; </w:t>
      </w:r>
      <w:r w:rsidRPr="00E47A78">
        <w:rPr>
          <w:rtl/>
        </w:rPr>
        <w:t xml:space="preserve">לאסוף את הנתונים הרלוונטיים </w:t>
      </w:r>
      <w:r>
        <w:rPr>
          <w:rFonts w:hint="cs"/>
          <w:rtl/>
        </w:rPr>
        <w:t xml:space="preserve">על </w:t>
      </w:r>
      <w:r w:rsidRPr="00E47A78">
        <w:rPr>
          <w:rtl/>
        </w:rPr>
        <w:t xml:space="preserve">המטופלים </w:t>
      </w:r>
      <w:r>
        <w:rPr>
          <w:rFonts w:hint="cs"/>
          <w:rtl/>
        </w:rPr>
        <w:t xml:space="preserve">שלהם </w:t>
      </w:r>
      <w:r w:rsidRPr="00E47A78">
        <w:rPr>
          <w:rtl/>
        </w:rPr>
        <w:t xml:space="preserve">ולבחון את </w:t>
      </w:r>
      <w:r>
        <w:rPr>
          <w:rFonts w:hint="cs"/>
          <w:rtl/>
        </w:rPr>
        <w:t xml:space="preserve">הדרכים לשיפור </w:t>
      </w:r>
      <w:r w:rsidRPr="00E47A78">
        <w:rPr>
          <w:rtl/>
        </w:rPr>
        <w:t>הרצף הטיפולי בין האשפוזיות</w:t>
      </w:r>
      <w:r>
        <w:rPr>
          <w:rFonts w:hint="cs"/>
          <w:rtl/>
        </w:rPr>
        <w:t xml:space="preserve"> שבאחריות משרד הבריאות</w:t>
      </w:r>
      <w:r w:rsidRPr="00E47A78">
        <w:rPr>
          <w:rtl/>
        </w:rPr>
        <w:t xml:space="preserve"> למסגרות הטיפול</w:t>
      </w:r>
      <w:r>
        <w:rPr>
          <w:rFonts w:hint="cs"/>
          <w:rtl/>
        </w:rPr>
        <w:t>יות</w:t>
      </w:r>
      <w:r w:rsidRPr="00E47A78">
        <w:rPr>
          <w:rtl/>
        </w:rPr>
        <w:t xml:space="preserve"> </w:t>
      </w:r>
      <w:r>
        <w:rPr>
          <w:rFonts w:hint="cs"/>
          <w:rtl/>
        </w:rPr>
        <w:t>ש</w:t>
      </w:r>
      <w:r w:rsidRPr="00E47A78">
        <w:rPr>
          <w:rtl/>
        </w:rPr>
        <w:t>באחריות הרווחה</w:t>
      </w:r>
      <w:r>
        <w:rPr>
          <w:rFonts w:hint="cs"/>
          <w:rtl/>
        </w:rPr>
        <w:t>.</w:t>
      </w:r>
    </w:p>
    <w:p w:rsidR="001D6D5E" w:rsidRPr="00F02801" w:rsidP="00211D07">
      <w:pPr>
        <w:pStyle w:val="takzir-text"/>
        <w:bidi/>
        <w:rPr>
          <w:rtl/>
        </w:rPr>
      </w:pPr>
      <w:r w:rsidRPr="000365D3">
        <w:rPr>
          <w:rtl/>
        </w:rPr>
        <w:t>המגמות המסתמנות בנוגע לשימוש בחומרים ממכרים בקרב תלמידים מעיד</w:t>
      </w:r>
      <w:r>
        <w:rPr>
          <w:rFonts w:hint="cs"/>
          <w:rtl/>
        </w:rPr>
        <w:t>ות</w:t>
      </w:r>
      <w:r w:rsidRPr="000365D3">
        <w:rPr>
          <w:rtl/>
        </w:rPr>
        <w:t xml:space="preserve"> על הצורך שמשרד החינוך יבחן אם </w:t>
      </w:r>
      <w:r w:rsidRPr="000365D3">
        <w:rPr>
          <w:rtl/>
        </w:rPr>
        <w:t>תוכניותיו</w:t>
      </w:r>
      <w:r w:rsidRPr="000365D3">
        <w:rPr>
          <w:rtl/>
        </w:rPr>
        <w:t xml:space="preserve"> למניעת התנהגויות סיכון והנחיותיו לגורמים המקצועיים נותנות פתרון מספק לבעיה.</w:t>
      </w:r>
      <w:r>
        <w:rPr>
          <w:rFonts w:hint="cs"/>
          <w:rtl/>
        </w:rPr>
        <w:t xml:space="preserve"> כמו כן </w:t>
      </w:r>
      <w:r w:rsidRPr="00A52360">
        <w:rPr>
          <w:rtl/>
        </w:rPr>
        <w:t>עליו לפעול ביתר שאת כלפי מנהלי בתי הספר במגזר הערבי ו</w:t>
      </w:r>
      <w:r>
        <w:rPr>
          <w:rFonts w:hint="cs"/>
          <w:rtl/>
        </w:rPr>
        <w:t xml:space="preserve">בחינוך </w:t>
      </w:r>
      <w:r w:rsidRPr="00A52360">
        <w:rPr>
          <w:rtl/>
        </w:rPr>
        <w:t xml:space="preserve">הממלכתי-דתי ולהמריצם למנות </w:t>
      </w:r>
      <w:r w:rsidRPr="00A52360">
        <w:rPr>
          <w:rtl/>
        </w:rPr>
        <w:t>מב"סים</w:t>
      </w:r>
      <w:r w:rsidRPr="00A52360">
        <w:rPr>
          <w:rtl/>
        </w:rPr>
        <w:t xml:space="preserve"> במוסדותיהם.</w:t>
      </w:r>
    </w:p>
    <w:p w:rsidR="00A90478" w:rsidRPr="00492C38" w:rsidP="00211D07">
      <w:pPr>
        <w:pStyle w:val="takzir"/>
        <w:rPr>
          <w:rFonts w:ascii="Tahoma" w:hAnsi="Tahoma" w:cs="Tahoma"/>
          <w:noProof w:val="0"/>
          <w:sz w:val="28"/>
          <w:rtl/>
        </w:rPr>
      </w:pPr>
    </w:p>
    <w:p w:rsidR="00384065" w:rsidRPr="00132FFC" w:rsidP="00211D07">
      <w:pPr>
        <w:pStyle w:val="KOT4S"/>
        <w:rPr>
          <w:rtl/>
        </w:rPr>
      </w:pPr>
      <w:r w:rsidRPr="00132FFC">
        <w:rPr>
          <w:rtl/>
        </w:rPr>
        <w:t>סיכום</w:t>
      </w:r>
    </w:p>
    <w:p w:rsidR="001D6D5E" w:rsidRPr="00385AF7" w:rsidP="00211D07">
      <w:pPr>
        <w:pStyle w:val="takzir-text"/>
        <w:bidi/>
        <w:rPr>
          <w:rtl/>
        </w:rPr>
      </w:pPr>
      <w:r w:rsidRPr="00385AF7">
        <w:rPr>
          <w:rFonts w:hint="cs"/>
          <w:rtl/>
        </w:rPr>
        <w:t>ל</w:t>
      </w:r>
      <w:r w:rsidRPr="00385AF7">
        <w:rPr>
          <w:rtl/>
        </w:rPr>
        <w:t xml:space="preserve">פי הערכת השירות להתמכרויות </w:t>
      </w:r>
      <w:r w:rsidRPr="00385AF7">
        <w:rPr>
          <w:rFonts w:hint="cs"/>
          <w:rtl/>
        </w:rPr>
        <w:t>יותר</w:t>
      </w:r>
      <w:r w:rsidRPr="00385AF7">
        <w:rPr>
          <w:rtl/>
        </w:rPr>
        <w:t xml:space="preserve"> מ-80% </w:t>
      </w:r>
      <w:r w:rsidRPr="00385AF7">
        <w:rPr>
          <w:rFonts w:hint="cs"/>
          <w:rtl/>
        </w:rPr>
        <w:t>מ</w:t>
      </w:r>
      <w:r w:rsidRPr="00385AF7">
        <w:rPr>
          <w:rtl/>
        </w:rPr>
        <w:t>הסובלים מבעיית התמכרות א</w:t>
      </w:r>
      <w:r w:rsidRPr="00385AF7">
        <w:rPr>
          <w:rFonts w:hint="cs"/>
          <w:rtl/>
        </w:rPr>
        <w:t>ינם</w:t>
      </w:r>
      <w:r w:rsidRPr="00385AF7">
        <w:rPr>
          <w:rtl/>
        </w:rPr>
        <w:t xml:space="preserve"> מקבלים מש</w:t>
      </w:r>
      <w:r w:rsidRPr="00385AF7">
        <w:rPr>
          <w:rFonts w:hint="cs"/>
          <w:rtl/>
        </w:rPr>
        <w:t>י</w:t>
      </w:r>
      <w:r w:rsidRPr="00385AF7">
        <w:rPr>
          <w:rtl/>
        </w:rPr>
        <w:t>רותי הרווחה והבריאות טיפול בבעיית ההתמכרות שלהם</w:t>
      </w:r>
      <w:r w:rsidRPr="00385AF7">
        <w:rPr>
          <w:rFonts w:hint="cs"/>
          <w:rtl/>
        </w:rPr>
        <w:t xml:space="preserve">. מהליקויים שפורטו בדוח זה עולה </w:t>
      </w:r>
      <w:r w:rsidRPr="00385AF7">
        <w:rPr>
          <w:rFonts w:hint="eastAsia"/>
          <w:rtl/>
        </w:rPr>
        <w:t>שמשרד</w:t>
      </w:r>
      <w:r w:rsidRPr="00385AF7">
        <w:rPr>
          <w:rtl/>
        </w:rPr>
        <w:t xml:space="preserve"> </w:t>
      </w:r>
      <w:r w:rsidRPr="00385AF7">
        <w:rPr>
          <w:rFonts w:hint="eastAsia"/>
          <w:rtl/>
        </w:rPr>
        <w:t>הרווחה</w:t>
      </w:r>
      <w:r w:rsidRPr="00385AF7">
        <w:rPr>
          <w:rFonts w:hint="cs"/>
          <w:rtl/>
        </w:rPr>
        <w:t xml:space="preserve"> אינו</w:t>
      </w:r>
      <w:r w:rsidRPr="00385AF7">
        <w:rPr>
          <w:rtl/>
        </w:rPr>
        <w:t xml:space="preserve"> </w:t>
      </w:r>
      <w:r w:rsidRPr="00385AF7">
        <w:rPr>
          <w:rFonts w:hint="cs"/>
          <w:rtl/>
        </w:rPr>
        <w:t>פועל</w:t>
      </w:r>
      <w:r w:rsidRPr="00385AF7">
        <w:rPr>
          <w:rtl/>
        </w:rPr>
        <w:t xml:space="preserve"> </w:t>
      </w:r>
      <w:r w:rsidRPr="00385AF7">
        <w:rPr>
          <w:rFonts w:hint="cs"/>
          <w:rtl/>
        </w:rPr>
        <w:t>בעניין</w:t>
      </w:r>
      <w:r w:rsidRPr="00385AF7">
        <w:rPr>
          <w:rtl/>
        </w:rPr>
        <w:t xml:space="preserve"> </w:t>
      </w:r>
      <w:r w:rsidRPr="00385AF7">
        <w:rPr>
          <w:rFonts w:hint="cs"/>
          <w:rtl/>
        </w:rPr>
        <w:t>זה</w:t>
      </w:r>
      <w:r w:rsidRPr="00385AF7">
        <w:rPr>
          <w:rtl/>
        </w:rPr>
        <w:t xml:space="preserve"> </w:t>
      </w:r>
      <w:r w:rsidRPr="00385AF7">
        <w:rPr>
          <w:rFonts w:hint="cs"/>
          <w:rtl/>
        </w:rPr>
        <w:t>באופן</w:t>
      </w:r>
      <w:r w:rsidRPr="00385AF7">
        <w:rPr>
          <w:rtl/>
        </w:rPr>
        <w:t xml:space="preserve"> </w:t>
      </w:r>
      <w:r w:rsidRPr="00385AF7">
        <w:rPr>
          <w:rFonts w:hint="cs"/>
          <w:rtl/>
        </w:rPr>
        <w:t>מספק</w:t>
      </w:r>
      <w:r w:rsidRPr="00385AF7">
        <w:rPr>
          <w:rtl/>
        </w:rPr>
        <w:t xml:space="preserve">. </w:t>
      </w:r>
      <w:r w:rsidRPr="00385AF7">
        <w:rPr>
          <w:rFonts w:hint="cs"/>
          <w:rtl/>
        </w:rPr>
        <w:t>כך</w:t>
      </w:r>
      <w:r w:rsidRPr="00385AF7">
        <w:rPr>
          <w:rtl/>
        </w:rPr>
        <w:t xml:space="preserve"> </w:t>
      </w:r>
      <w:r w:rsidRPr="00385AF7">
        <w:rPr>
          <w:rFonts w:hint="cs"/>
          <w:rtl/>
        </w:rPr>
        <w:t>עלה</w:t>
      </w:r>
      <w:r w:rsidRPr="00385AF7">
        <w:rPr>
          <w:rtl/>
        </w:rPr>
        <w:t xml:space="preserve"> בביקורת כי </w:t>
      </w:r>
      <w:r w:rsidRPr="00385AF7">
        <w:rPr>
          <w:rFonts w:hint="cs"/>
          <w:rtl/>
        </w:rPr>
        <w:t>ל</w:t>
      </w:r>
      <w:r w:rsidRPr="00385AF7">
        <w:rPr>
          <w:rtl/>
        </w:rPr>
        <w:t>משרד הרווחה יש</w:t>
      </w:r>
      <w:r w:rsidRPr="00385AF7">
        <w:rPr>
          <w:rFonts w:hint="cs"/>
          <w:rtl/>
        </w:rPr>
        <w:t xml:space="preserve"> מידע </w:t>
      </w:r>
      <w:r w:rsidRPr="00385AF7">
        <w:rPr>
          <w:rtl/>
        </w:rPr>
        <w:t>לפחות לגבי חלק מהמכורים שאינם מקבלים טיפול בבעיית ההתמכרות שלהם</w:t>
      </w:r>
      <w:r w:rsidRPr="00385AF7">
        <w:rPr>
          <w:rFonts w:hint="cs"/>
          <w:rtl/>
        </w:rPr>
        <w:t>,</w:t>
      </w:r>
      <w:r w:rsidRPr="00385AF7">
        <w:rPr>
          <w:rtl/>
        </w:rPr>
        <w:t xml:space="preserve"> אך עקב ליקויים ב</w:t>
      </w:r>
      <w:r w:rsidRPr="00385AF7">
        <w:rPr>
          <w:rFonts w:hint="cs"/>
          <w:rtl/>
        </w:rPr>
        <w:t>ת</w:t>
      </w:r>
      <w:r w:rsidRPr="00385AF7">
        <w:rPr>
          <w:rtl/>
        </w:rPr>
        <w:t>הליכי האיתור ב</w:t>
      </w:r>
      <w:r w:rsidRPr="00385AF7">
        <w:rPr>
          <w:rFonts w:hint="cs"/>
          <w:rtl/>
        </w:rPr>
        <w:t>שירותי הרווחה</w:t>
      </w:r>
      <w:r w:rsidRPr="00385AF7">
        <w:rPr>
          <w:rtl/>
        </w:rPr>
        <w:t xml:space="preserve"> א</w:t>
      </w:r>
      <w:r w:rsidRPr="00385AF7">
        <w:rPr>
          <w:rFonts w:hint="cs"/>
          <w:rtl/>
        </w:rPr>
        <w:t>ין</w:t>
      </w:r>
      <w:r w:rsidRPr="00385AF7">
        <w:rPr>
          <w:rtl/>
        </w:rPr>
        <w:t xml:space="preserve"> מפנים אותם לטיפול כנדרש; השירות להתמכרויות לא ניצל את כל התקציב שניתן לו לטיפול במכורים בשנים 2018-2017 והדבר בולט ב</w:t>
      </w:r>
      <w:r w:rsidRPr="00385AF7">
        <w:rPr>
          <w:rFonts w:hint="cs"/>
          <w:rtl/>
        </w:rPr>
        <w:t>ייחוד</w:t>
      </w:r>
      <w:r w:rsidRPr="00385AF7">
        <w:rPr>
          <w:rtl/>
        </w:rPr>
        <w:t xml:space="preserve"> בקרב אוכלוסיית הנשים המכורות שהמחסור במענים </w:t>
      </w:r>
      <w:r w:rsidRPr="00385AF7">
        <w:rPr>
          <w:rFonts w:hint="cs"/>
          <w:rtl/>
        </w:rPr>
        <w:t>ב</w:t>
      </w:r>
      <w:r w:rsidRPr="00385AF7">
        <w:rPr>
          <w:rtl/>
        </w:rPr>
        <w:t>עבורן חמור במיוחד</w:t>
      </w:r>
      <w:r w:rsidRPr="00385AF7">
        <w:rPr>
          <w:rFonts w:hint="cs"/>
          <w:rtl/>
        </w:rPr>
        <w:t>;</w:t>
      </w:r>
      <w:r w:rsidRPr="00385AF7">
        <w:rPr>
          <w:rtl/>
        </w:rPr>
        <w:t xml:space="preserve"> עד מועד סיום הביקורת </w:t>
      </w:r>
      <w:r w:rsidRPr="00385AF7">
        <w:rPr>
          <w:rFonts w:hint="cs"/>
          <w:rtl/>
        </w:rPr>
        <w:t>ב</w:t>
      </w:r>
      <w:r w:rsidRPr="00385AF7">
        <w:rPr>
          <w:rtl/>
        </w:rPr>
        <w:t xml:space="preserve">אוגוסט 2018, כמעט 15 שנה מאז כלל מנכ"ל משרד הרווחה את הסובלים מבעיית הימורים באוכלוסיית היעד לטיפול של השירות להתמכרויות, הוא טרם </w:t>
      </w:r>
      <w:r w:rsidRPr="00385AF7">
        <w:rPr>
          <w:rFonts w:hint="cs"/>
          <w:rtl/>
        </w:rPr>
        <w:t>קבע</w:t>
      </w:r>
      <w:r w:rsidRPr="00385AF7">
        <w:rPr>
          <w:rtl/>
        </w:rPr>
        <w:t xml:space="preserve"> אם יש צורך בפיתוח מדיניות ייעודית לטיפול בסובלים מבעיית הימורים.</w:t>
      </w:r>
      <w:r w:rsidRPr="00385AF7">
        <w:rPr>
          <w:rFonts w:hint="cs"/>
          <w:rtl/>
        </w:rPr>
        <w:t xml:space="preserve"> </w:t>
      </w:r>
      <w:r w:rsidRPr="00385AF7">
        <w:rPr>
          <w:rtl/>
        </w:rPr>
        <w:t>הטיפול החסר של משרד הרווחה במכורים עלול לפגוע בסיכוי לשקמם, וכתוצאה מכך מספרם יגדל.</w:t>
      </w:r>
    </w:p>
    <w:p w:rsidR="001D6D5E" w:rsidRPr="00385AF7" w:rsidP="00211D07">
      <w:pPr>
        <w:pStyle w:val="takzir-text"/>
        <w:bidi/>
        <w:rPr>
          <w:rtl/>
        </w:rPr>
      </w:pPr>
      <w:r w:rsidRPr="00385AF7">
        <w:rPr>
          <w:rFonts w:hint="cs"/>
          <w:rtl/>
        </w:rPr>
        <w:t xml:space="preserve">גם הטיפול של </w:t>
      </w:r>
      <w:r w:rsidRPr="00385AF7">
        <w:rPr>
          <w:rFonts w:hint="eastAsia"/>
          <w:rtl/>
        </w:rPr>
        <w:t>משרד</w:t>
      </w:r>
      <w:r w:rsidRPr="00385AF7">
        <w:rPr>
          <w:rtl/>
        </w:rPr>
        <w:t xml:space="preserve"> </w:t>
      </w:r>
      <w:r w:rsidRPr="00385AF7">
        <w:rPr>
          <w:rFonts w:hint="eastAsia"/>
          <w:rtl/>
        </w:rPr>
        <w:t>הבריאות</w:t>
      </w:r>
      <w:r w:rsidRPr="00385AF7">
        <w:rPr>
          <w:rFonts w:hint="cs"/>
          <w:rtl/>
        </w:rPr>
        <w:t xml:space="preserve"> בנושא ההתמכרויות אינו מספק - </w:t>
      </w:r>
      <w:r w:rsidRPr="00385AF7">
        <w:rPr>
          <w:rtl/>
        </w:rPr>
        <w:t xml:space="preserve">מערכת הבריאות נתקלת בלא מעט מכורים בחדרי המיון </w:t>
      </w:r>
      <w:r w:rsidRPr="00385AF7">
        <w:rPr>
          <w:rFonts w:hint="cs"/>
          <w:rtl/>
        </w:rPr>
        <w:t>וב</w:t>
      </w:r>
      <w:r w:rsidRPr="00385AF7">
        <w:rPr>
          <w:rtl/>
        </w:rPr>
        <w:t>מרפאות בקהילה</w:t>
      </w:r>
      <w:r w:rsidRPr="00385AF7">
        <w:rPr>
          <w:rFonts w:hint="cs"/>
          <w:rtl/>
        </w:rPr>
        <w:t xml:space="preserve"> אך</w:t>
      </w:r>
      <w:r w:rsidRPr="00385AF7">
        <w:rPr>
          <w:rtl/>
        </w:rPr>
        <w:t xml:space="preserve"> </w:t>
      </w:r>
      <w:r w:rsidRPr="00385AF7">
        <w:rPr>
          <w:rFonts w:hint="cs"/>
          <w:rtl/>
        </w:rPr>
        <w:t xml:space="preserve">היא </w:t>
      </w:r>
      <w:r w:rsidRPr="00385AF7">
        <w:rPr>
          <w:rtl/>
        </w:rPr>
        <w:t>א</w:t>
      </w:r>
      <w:r w:rsidRPr="00385AF7">
        <w:rPr>
          <w:rFonts w:hint="cs"/>
          <w:rtl/>
        </w:rPr>
        <w:t xml:space="preserve">ינה </w:t>
      </w:r>
      <w:r w:rsidRPr="00385AF7">
        <w:rPr>
          <w:rtl/>
        </w:rPr>
        <w:t>מאתרת</w:t>
      </w:r>
      <w:r w:rsidRPr="00385AF7">
        <w:rPr>
          <w:rFonts w:hint="cs"/>
          <w:rtl/>
        </w:rPr>
        <w:t xml:space="preserve"> ו</w:t>
      </w:r>
      <w:r w:rsidRPr="00385AF7">
        <w:rPr>
          <w:rtl/>
        </w:rPr>
        <w:t>א</w:t>
      </w:r>
      <w:r w:rsidRPr="00385AF7">
        <w:rPr>
          <w:rFonts w:hint="cs"/>
          <w:rtl/>
        </w:rPr>
        <w:t>ינה</w:t>
      </w:r>
      <w:r w:rsidRPr="00385AF7">
        <w:rPr>
          <w:rtl/>
        </w:rPr>
        <w:t xml:space="preserve"> מפנה אותם לטיפול</w:t>
      </w:r>
      <w:r w:rsidRPr="00385AF7">
        <w:rPr>
          <w:rFonts w:hint="cs"/>
          <w:rtl/>
        </w:rPr>
        <w:t>ם</w:t>
      </w:r>
      <w:r w:rsidRPr="00385AF7">
        <w:rPr>
          <w:rtl/>
        </w:rPr>
        <w:t xml:space="preserve"> של הגורמים המקצועיים. למשרד הבריאות אין מסד נתונים ארצי ב</w:t>
      </w:r>
      <w:r w:rsidRPr="00385AF7">
        <w:rPr>
          <w:rFonts w:hint="cs"/>
          <w:rtl/>
        </w:rPr>
        <w:t>נוגע</w:t>
      </w:r>
      <w:r w:rsidRPr="00385AF7">
        <w:rPr>
          <w:rtl/>
        </w:rPr>
        <w:t xml:space="preserve"> להיקף התופעה של התמכרות לתרופות מרשם </w:t>
      </w:r>
      <w:r w:rsidRPr="00385AF7">
        <w:rPr>
          <w:rFonts w:hint="cs"/>
          <w:rtl/>
        </w:rPr>
        <w:t>שיאפשר לו</w:t>
      </w:r>
      <w:r w:rsidRPr="00385AF7">
        <w:rPr>
          <w:rtl/>
        </w:rPr>
        <w:t xml:space="preserve"> לגבש מדיניות ב</w:t>
      </w:r>
      <w:r w:rsidRPr="00385AF7">
        <w:rPr>
          <w:rFonts w:hint="cs"/>
          <w:rtl/>
        </w:rPr>
        <w:t>נושא.</w:t>
      </w:r>
      <w:r w:rsidRPr="00385AF7">
        <w:rPr>
          <w:rtl/>
        </w:rPr>
        <w:t xml:space="preserve"> הפעילות של משרד החינוך למניעת התנהגויות סיכון היא חלקית</w:t>
      </w:r>
      <w:r w:rsidRPr="00385AF7">
        <w:rPr>
          <w:rFonts w:hint="cs"/>
          <w:rtl/>
        </w:rPr>
        <w:t>.</w:t>
      </w:r>
    </w:p>
    <w:p w:rsidR="001D6D5E" w:rsidRPr="00385AF7" w:rsidP="00211D07">
      <w:pPr>
        <w:pStyle w:val="takzir-text"/>
        <w:bidi/>
        <w:rPr>
          <w:rtl/>
        </w:rPr>
      </w:pPr>
      <w:r w:rsidRPr="00385AF7">
        <w:rPr>
          <w:rtl/>
        </w:rPr>
        <w:t>על משרדי הרווחה והבריאות לבחון את הדרכים לתיעול המידע הקיים בשירותי הרווחה לטיפול מיטבי במכורים המוכרים לשירותים אלה</w:t>
      </w:r>
      <w:r w:rsidRPr="00385AF7">
        <w:rPr>
          <w:rFonts w:hint="cs"/>
          <w:rtl/>
        </w:rPr>
        <w:t>,</w:t>
      </w:r>
      <w:r w:rsidRPr="00385AF7">
        <w:rPr>
          <w:rtl/>
        </w:rPr>
        <w:t xml:space="preserve"> ולהפניית המכורים הפונים לחדרי מיון אל גורמי הטיפול בהתמכרות</w:t>
      </w:r>
      <w:r w:rsidRPr="00385AF7">
        <w:rPr>
          <w:rFonts w:hint="cs"/>
          <w:rtl/>
        </w:rPr>
        <w:t>. כמו</w:t>
      </w:r>
      <w:r w:rsidRPr="00385AF7">
        <w:rPr>
          <w:rtl/>
        </w:rPr>
        <w:t xml:space="preserve"> כן עליהם לבחון את היקף האוכלוסיות הסובלות מההתמכרויות החדשות - בעיית הימורים </w:t>
      </w:r>
      <w:r w:rsidRPr="00385AF7">
        <w:rPr>
          <w:rFonts w:hint="cs"/>
          <w:rtl/>
        </w:rPr>
        <w:t>ו</w:t>
      </w:r>
      <w:r w:rsidRPr="00385AF7">
        <w:rPr>
          <w:rtl/>
        </w:rPr>
        <w:t xml:space="preserve">התמכרות לתרופות מרשם </w:t>
      </w:r>
      <w:r w:rsidRPr="00385AF7">
        <w:rPr>
          <w:rFonts w:hint="cs"/>
          <w:rtl/>
        </w:rPr>
        <w:t>ו</w:t>
      </w:r>
      <w:r w:rsidRPr="00385AF7">
        <w:rPr>
          <w:rtl/>
        </w:rPr>
        <w:t xml:space="preserve">לקבל החלטה בנוגע למדיניות הטיפול במכורים </w:t>
      </w:r>
      <w:r w:rsidRPr="00385AF7">
        <w:rPr>
          <w:rFonts w:hint="cs"/>
          <w:rtl/>
        </w:rPr>
        <w:t xml:space="preserve">להם </w:t>
      </w:r>
      <w:r w:rsidRPr="00385AF7">
        <w:rPr>
          <w:rtl/>
        </w:rPr>
        <w:t>בהתאם לנתונים.</w:t>
      </w:r>
      <w:r w:rsidRPr="00385AF7">
        <w:rPr>
          <w:rFonts w:hint="cs"/>
          <w:rtl/>
        </w:rPr>
        <w:t xml:space="preserve"> </w:t>
      </w:r>
      <w:r w:rsidRPr="00385AF7">
        <w:rPr>
          <w:rFonts w:hint="eastAsia"/>
          <w:rtl/>
        </w:rPr>
        <w:t>המגמות</w:t>
      </w:r>
      <w:r w:rsidRPr="00385AF7">
        <w:rPr>
          <w:rtl/>
        </w:rPr>
        <w:t xml:space="preserve"> </w:t>
      </w:r>
      <w:r w:rsidRPr="00385AF7">
        <w:rPr>
          <w:rFonts w:hint="eastAsia"/>
          <w:rtl/>
        </w:rPr>
        <w:t>המסתמנות</w:t>
      </w:r>
      <w:r w:rsidRPr="00385AF7">
        <w:rPr>
          <w:rtl/>
        </w:rPr>
        <w:t xml:space="preserve"> </w:t>
      </w:r>
      <w:r w:rsidRPr="00385AF7">
        <w:rPr>
          <w:rFonts w:hint="eastAsia"/>
          <w:rtl/>
        </w:rPr>
        <w:t>ב</w:t>
      </w:r>
      <w:r w:rsidRPr="00385AF7">
        <w:rPr>
          <w:rFonts w:hint="cs"/>
          <w:rtl/>
        </w:rPr>
        <w:t>נוגע</w:t>
      </w:r>
      <w:r w:rsidRPr="00385AF7">
        <w:rPr>
          <w:rtl/>
        </w:rPr>
        <w:t xml:space="preserve"> לשימוש בחומרים ממכרים בקרב תלמידים </w:t>
      </w:r>
      <w:r w:rsidRPr="00385AF7">
        <w:rPr>
          <w:rFonts w:hint="eastAsia"/>
          <w:rtl/>
        </w:rPr>
        <w:t>מ</w:t>
      </w:r>
      <w:r w:rsidRPr="00385AF7">
        <w:rPr>
          <w:rFonts w:hint="cs"/>
          <w:rtl/>
        </w:rPr>
        <w:t>עידות</w:t>
      </w:r>
      <w:r w:rsidRPr="00385AF7">
        <w:rPr>
          <w:rtl/>
        </w:rPr>
        <w:t xml:space="preserve"> על </w:t>
      </w:r>
      <w:r w:rsidRPr="00385AF7">
        <w:rPr>
          <w:rFonts w:hint="eastAsia"/>
          <w:rtl/>
        </w:rPr>
        <w:t>הצורך</w:t>
      </w:r>
      <w:r w:rsidRPr="00385AF7">
        <w:rPr>
          <w:rtl/>
        </w:rPr>
        <w:t xml:space="preserve"> </w:t>
      </w:r>
      <w:r w:rsidRPr="00385AF7">
        <w:rPr>
          <w:rFonts w:hint="eastAsia"/>
          <w:rtl/>
        </w:rPr>
        <w:t>שמשרד</w:t>
      </w:r>
      <w:r w:rsidRPr="00385AF7">
        <w:rPr>
          <w:rtl/>
        </w:rPr>
        <w:t xml:space="preserve"> החינוך </w:t>
      </w:r>
      <w:r w:rsidRPr="00385AF7">
        <w:rPr>
          <w:rFonts w:hint="eastAsia"/>
          <w:rtl/>
        </w:rPr>
        <w:t>יבחן</w:t>
      </w:r>
      <w:r w:rsidRPr="00385AF7">
        <w:rPr>
          <w:rtl/>
        </w:rPr>
        <w:t xml:space="preserve"> </w:t>
      </w:r>
      <w:r w:rsidRPr="00385AF7">
        <w:rPr>
          <w:rFonts w:hint="eastAsia"/>
          <w:rtl/>
        </w:rPr>
        <w:t>אם</w:t>
      </w:r>
      <w:r w:rsidRPr="00385AF7">
        <w:rPr>
          <w:rtl/>
        </w:rPr>
        <w:t xml:space="preserve"> </w:t>
      </w:r>
      <w:r w:rsidRPr="00385AF7">
        <w:rPr>
          <w:rFonts w:hint="eastAsia"/>
          <w:rtl/>
        </w:rPr>
        <w:t>תוכניותיו</w:t>
      </w:r>
      <w:r w:rsidRPr="00385AF7">
        <w:rPr>
          <w:rtl/>
        </w:rPr>
        <w:t xml:space="preserve"> למניעת התנהגויות סיכון והנחיותיו לגורמים המקצועיים </w:t>
      </w:r>
      <w:r w:rsidRPr="00385AF7">
        <w:rPr>
          <w:rFonts w:hint="eastAsia"/>
          <w:rtl/>
        </w:rPr>
        <w:t>נותנות</w:t>
      </w:r>
      <w:r w:rsidRPr="00385AF7">
        <w:rPr>
          <w:rFonts w:hint="cs"/>
          <w:rtl/>
        </w:rPr>
        <w:t xml:space="preserve"> פתרון</w:t>
      </w:r>
      <w:r w:rsidRPr="00385AF7">
        <w:rPr>
          <w:rtl/>
        </w:rPr>
        <w:t xml:space="preserve"> </w:t>
      </w:r>
      <w:r w:rsidRPr="00385AF7">
        <w:rPr>
          <w:rFonts w:hint="eastAsia"/>
          <w:rtl/>
        </w:rPr>
        <w:t>מספק</w:t>
      </w:r>
      <w:r w:rsidRPr="00385AF7">
        <w:rPr>
          <w:rFonts w:hint="cs"/>
          <w:rtl/>
        </w:rPr>
        <w:t xml:space="preserve"> לבעיה</w:t>
      </w:r>
      <w:r w:rsidRPr="00385AF7">
        <w:rPr>
          <w:rtl/>
        </w:rPr>
        <w:t>.</w:t>
      </w:r>
    </w:p>
    <w:p w:rsidR="00F1368B" w:rsidRPr="00211D07" w:rsidP="00211D07">
      <w:pPr>
        <w:spacing w:line="240" w:lineRule="exact"/>
        <w:ind w:right="2268"/>
        <w:jc w:val="both"/>
        <w:rPr>
          <w:rFonts w:ascii="Tahoma" w:hAnsi="Tahoma" w:cs="Tahoma"/>
          <w:sz w:val="18"/>
          <w:szCs w:val="18"/>
          <w:rtl/>
        </w:rPr>
      </w:pPr>
    </w:p>
    <w:p w:rsidR="00327FBF" w:rsidRPr="00211D07" w:rsidP="00211D07">
      <w:pPr>
        <w:spacing w:line="240" w:lineRule="exact"/>
        <w:ind w:right="2268"/>
        <w:jc w:val="both"/>
        <w:rPr>
          <w:rFonts w:ascii="Tahoma" w:hAnsi="Tahoma" w:cs="Tahoma"/>
          <w:sz w:val="18"/>
          <w:szCs w:val="18"/>
          <w:rtl/>
        </w:rPr>
        <w:sectPr w:rsidSect="00890ED9">
          <w:headerReference w:type="even" r:id="rId10"/>
          <w:headerReference w:type="default" r:id="rId11"/>
          <w:headerReference w:type="first" r:id="rId12"/>
          <w:pgSz w:w="11906" w:h="16838" w:code="9"/>
          <w:pgMar w:top="3119" w:right="1701" w:bottom="3119" w:left="1701" w:header="1559" w:footer="709" w:gutter="0"/>
          <w:cols w:space="708"/>
          <w:bidi/>
          <w:rtlGutter/>
          <w:docGrid w:linePitch="360"/>
        </w:sectPr>
      </w:pPr>
    </w:p>
    <w:p w:rsidR="009B6D36" w:rsidP="00211D07">
      <w:pPr>
        <w:pStyle w:val="KOT4"/>
        <w:rPr>
          <w:rtl/>
        </w:rPr>
      </w:pPr>
      <w:bookmarkEnd w:id="0"/>
      <w:bookmarkEnd w:id="1"/>
      <w:bookmarkEnd w:id="2"/>
      <w:bookmarkEnd w:id="3"/>
      <w:bookmarkEnd w:id="4"/>
      <w:r>
        <w:rPr>
          <w:rFonts w:hint="cs"/>
          <w:rtl/>
        </w:rPr>
        <w:t>מבוא</w:t>
      </w:r>
    </w:p>
    <w:p w:rsidR="009B6D36" w:rsidRPr="00211D07" w:rsidP="00335CD4">
      <w:pPr>
        <w:spacing w:line="240" w:lineRule="exact"/>
        <w:ind w:right="2268"/>
        <w:jc w:val="both"/>
        <w:rPr>
          <w:rFonts w:ascii="Tahoma" w:eastAsia="Times New Roman" w:hAnsi="Tahoma" w:cs="Tahoma"/>
          <w:sz w:val="18"/>
          <w:szCs w:val="18"/>
          <w:rtl/>
        </w:rPr>
      </w:pPr>
      <w:r w:rsidRPr="00211D07">
        <w:rPr>
          <w:rFonts w:ascii="Tahoma" w:eastAsia="Times New Roman" w:hAnsi="Tahoma" w:cs="Tahoma"/>
          <w:sz w:val="18"/>
          <w:szCs w:val="18"/>
          <w:rtl/>
        </w:rPr>
        <w:t xml:space="preserve">התמכרות </w:t>
      </w:r>
      <w:r w:rsidRPr="00211D07">
        <w:rPr>
          <w:rFonts w:ascii="Tahoma" w:eastAsia="Times New Roman" w:hAnsi="Tahoma" w:cs="Tahoma" w:hint="cs"/>
          <w:sz w:val="18"/>
          <w:szCs w:val="18"/>
          <w:rtl/>
        </w:rPr>
        <w:t xml:space="preserve">היא מצב של </w:t>
      </w:r>
      <w:r w:rsidRPr="00211D07">
        <w:rPr>
          <w:rFonts w:ascii="Tahoma" w:eastAsia="Times New Roman" w:hAnsi="Tahoma" w:cs="Tahoma"/>
          <w:sz w:val="18"/>
          <w:szCs w:val="18"/>
          <w:rtl/>
        </w:rPr>
        <w:t>תלות נפשית ופיזית בחומר</w:t>
      </w:r>
      <w:r w:rsidRPr="00211D07">
        <w:rPr>
          <w:rFonts w:ascii="Tahoma" w:eastAsia="Times New Roman" w:hAnsi="Tahoma" w:cs="Tahoma" w:hint="cs"/>
          <w:sz w:val="18"/>
          <w:szCs w:val="18"/>
          <w:rtl/>
        </w:rPr>
        <w:t>ים</w:t>
      </w:r>
      <w:r w:rsidRPr="00211D07">
        <w:rPr>
          <w:rFonts w:ascii="Tahoma" w:eastAsia="Times New Roman" w:hAnsi="Tahoma" w:cs="Tahoma"/>
          <w:sz w:val="18"/>
          <w:szCs w:val="18"/>
          <w:rtl/>
        </w:rPr>
        <w:t xml:space="preserve"> פסיכו-אקטיבי</w:t>
      </w:r>
      <w:r w:rsidRPr="00211D07">
        <w:rPr>
          <w:rFonts w:ascii="Tahoma" w:eastAsia="Times New Roman" w:hAnsi="Tahoma" w:cs="Tahoma" w:hint="cs"/>
          <w:sz w:val="18"/>
          <w:szCs w:val="18"/>
          <w:rtl/>
        </w:rPr>
        <w:t>ים,</w:t>
      </w:r>
      <w:r w:rsidRPr="00211D07">
        <w:rPr>
          <w:rFonts w:ascii="Tahoma" w:eastAsia="Times New Roman" w:hAnsi="Tahoma" w:cs="Tahoma"/>
          <w:sz w:val="18"/>
          <w:szCs w:val="18"/>
          <w:rtl/>
        </w:rPr>
        <w:t xml:space="preserve"> </w:t>
      </w:r>
      <w:r w:rsidRPr="00211D07">
        <w:rPr>
          <w:rFonts w:ascii="Tahoma" w:eastAsia="Times New Roman" w:hAnsi="Tahoma" w:cs="Tahoma" w:hint="cs"/>
          <w:sz w:val="18"/>
          <w:szCs w:val="18"/>
          <w:rtl/>
        </w:rPr>
        <w:t xml:space="preserve">כמו סמים או אלכוהול (להלן - חומרים ממכרים) </w:t>
      </w:r>
      <w:r w:rsidRPr="00211D07">
        <w:rPr>
          <w:rFonts w:ascii="Tahoma" w:eastAsia="Times New Roman" w:hAnsi="Tahoma" w:cs="Tahoma"/>
          <w:sz w:val="18"/>
          <w:szCs w:val="18"/>
          <w:rtl/>
        </w:rPr>
        <w:t>או בהתנהגות</w:t>
      </w:r>
      <w:r w:rsidRPr="00211D07">
        <w:rPr>
          <w:rFonts w:ascii="Tahoma" w:eastAsia="Times New Roman" w:hAnsi="Tahoma" w:cs="Tahoma" w:hint="cs"/>
          <w:sz w:val="18"/>
          <w:szCs w:val="18"/>
          <w:rtl/>
        </w:rPr>
        <w:t xml:space="preserve"> מסוימת כגון הימורים</w:t>
      </w:r>
      <w:r>
        <w:rPr>
          <w:rStyle w:val="FootnoteReference0"/>
          <w:rFonts w:ascii="Tahoma" w:eastAsia="Times New Roman" w:hAnsi="Tahoma" w:cs="Tahoma"/>
          <w:sz w:val="18"/>
          <w:szCs w:val="18"/>
          <w:rtl/>
        </w:rPr>
        <w:footnoteReference w:id="11"/>
      </w:r>
      <w:r w:rsidRPr="00211D07">
        <w:rPr>
          <w:rFonts w:ascii="Tahoma" w:eastAsia="Times New Roman" w:hAnsi="Tahoma" w:cs="Tahoma" w:hint="cs"/>
          <w:sz w:val="18"/>
          <w:szCs w:val="18"/>
          <w:rtl/>
        </w:rPr>
        <w:t>. היא מתבטאת בחוסר יכולת לצאת ממעגל השימוש החוזר בחומרים הממכרים או להפסיק את ההתנהגות המזיקה ולשלוט בתלות הזאת. במקרים רבים ההתמכרות מביאה לידי הידרדרות במצב ה</w:t>
      </w:r>
      <w:r w:rsidRPr="00211D07">
        <w:rPr>
          <w:rFonts w:ascii="Tahoma" w:eastAsia="Times New Roman" w:hAnsi="Tahoma" w:cs="Tahoma"/>
          <w:sz w:val="18"/>
          <w:szCs w:val="18"/>
          <w:rtl/>
        </w:rPr>
        <w:t>כלכלי</w:t>
      </w:r>
      <w:r w:rsidRPr="00211D07">
        <w:rPr>
          <w:rFonts w:ascii="Tahoma" w:eastAsia="Times New Roman" w:hAnsi="Tahoma" w:cs="Tahoma" w:hint="cs"/>
          <w:sz w:val="18"/>
          <w:szCs w:val="18"/>
          <w:rtl/>
        </w:rPr>
        <w:t xml:space="preserve"> והחברתי. לאוכלוסייה </w:t>
      </w:r>
      <w:r w:rsidRPr="006F20AD">
        <w:rPr>
          <w:rFonts w:ascii="Tahoma" w:eastAsia="Times New Roman" w:hAnsi="Tahoma" w:cs="Tahoma" w:hint="eastAsia"/>
          <w:spacing w:val="-4"/>
          <w:sz w:val="18"/>
          <w:szCs w:val="18"/>
          <w:rtl/>
        </w:rPr>
        <w:t>שמשתמשת</w:t>
      </w:r>
      <w:r w:rsidRPr="006F20AD">
        <w:rPr>
          <w:rFonts w:ascii="Tahoma" w:eastAsia="Times New Roman" w:hAnsi="Tahoma" w:cs="Tahoma"/>
          <w:spacing w:val="-4"/>
          <w:sz w:val="18"/>
          <w:szCs w:val="18"/>
          <w:rtl/>
        </w:rPr>
        <w:t xml:space="preserve"> לרעה </w:t>
      </w:r>
      <w:r w:rsidRPr="006F20AD">
        <w:rPr>
          <w:rFonts w:ascii="Tahoma" w:eastAsia="Times New Roman" w:hAnsi="Tahoma" w:cs="Tahoma" w:hint="eastAsia"/>
          <w:spacing w:val="-4"/>
          <w:sz w:val="18"/>
          <w:szCs w:val="18"/>
          <w:rtl/>
        </w:rPr>
        <w:t>בחומרים</w:t>
      </w:r>
      <w:r w:rsidRPr="006F20AD">
        <w:rPr>
          <w:rFonts w:ascii="Tahoma" w:eastAsia="Times New Roman" w:hAnsi="Tahoma" w:cs="Tahoma"/>
          <w:spacing w:val="-4"/>
          <w:sz w:val="18"/>
          <w:szCs w:val="18"/>
          <w:rtl/>
        </w:rPr>
        <w:t xml:space="preserve"> או </w:t>
      </w:r>
      <w:r w:rsidRPr="006F20AD">
        <w:rPr>
          <w:rFonts w:ascii="Tahoma" w:eastAsia="Times New Roman" w:hAnsi="Tahoma" w:cs="Tahoma" w:hint="eastAsia"/>
          <w:spacing w:val="-4"/>
          <w:sz w:val="18"/>
          <w:szCs w:val="18"/>
          <w:rtl/>
        </w:rPr>
        <w:t>מכורה</w:t>
      </w:r>
      <w:r w:rsidRPr="006F20AD">
        <w:rPr>
          <w:rFonts w:ascii="Tahoma" w:eastAsia="Times New Roman" w:hAnsi="Tahoma" w:cs="Tahoma" w:hint="cs"/>
          <w:spacing w:val="-4"/>
          <w:sz w:val="18"/>
          <w:szCs w:val="18"/>
          <w:rtl/>
        </w:rPr>
        <w:t xml:space="preserve"> להם או להתנהגות מזיקה</w:t>
      </w:r>
      <w:r>
        <w:rPr>
          <w:rStyle w:val="FootnoteReference0"/>
          <w:rFonts w:ascii="Tahoma" w:eastAsia="Times New Roman" w:hAnsi="Tahoma" w:cs="Tahoma"/>
          <w:spacing w:val="-4"/>
          <w:sz w:val="18"/>
          <w:szCs w:val="18"/>
          <w:rtl/>
        </w:rPr>
        <w:footnoteReference w:id="12"/>
      </w:r>
      <w:r w:rsidRPr="006F20AD">
        <w:rPr>
          <w:rFonts w:ascii="Tahoma" w:eastAsia="Times New Roman" w:hAnsi="Tahoma" w:cs="Tahoma" w:hint="cs"/>
          <w:spacing w:val="-4"/>
          <w:sz w:val="18"/>
          <w:szCs w:val="18"/>
          <w:rtl/>
        </w:rPr>
        <w:t xml:space="preserve"> (להלן - סובלים</w:t>
      </w:r>
      <w:r w:rsidRPr="00211D07">
        <w:rPr>
          <w:rFonts w:ascii="Tahoma" w:eastAsia="Times New Roman" w:hAnsi="Tahoma" w:cs="Tahoma" w:hint="cs"/>
          <w:spacing w:val="-4"/>
          <w:sz w:val="18"/>
          <w:szCs w:val="18"/>
          <w:rtl/>
        </w:rPr>
        <w:t xml:space="preserve"> מבעיית התמכרות או מכורים</w:t>
      </w:r>
      <w:r>
        <w:rPr>
          <w:rStyle w:val="FootnoteReference0"/>
          <w:rFonts w:ascii="Tahoma" w:eastAsia="Times New Roman" w:hAnsi="Tahoma" w:cs="Tahoma"/>
          <w:spacing w:val="-4"/>
          <w:sz w:val="18"/>
          <w:szCs w:val="18"/>
          <w:rtl/>
        </w:rPr>
        <w:footnoteReference w:id="13"/>
      </w:r>
      <w:r w:rsidRPr="00211D07">
        <w:rPr>
          <w:rFonts w:ascii="Tahoma" w:eastAsia="Times New Roman" w:hAnsi="Tahoma" w:cs="Tahoma" w:hint="cs"/>
          <w:spacing w:val="-4"/>
          <w:sz w:val="18"/>
          <w:szCs w:val="18"/>
          <w:rtl/>
        </w:rPr>
        <w:t xml:space="preserve">) יש </w:t>
      </w:r>
      <w:r w:rsidRPr="00211D07">
        <w:rPr>
          <w:rFonts w:ascii="Tahoma" w:eastAsia="Times New Roman" w:hAnsi="Tahoma" w:cs="Tahoma"/>
          <w:spacing w:val="-4"/>
          <w:sz w:val="18"/>
          <w:szCs w:val="18"/>
          <w:rtl/>
        </w:rPr>
        <w:t>סיכון מוגבר למוות ולתחלואה (נפשית</w:t>
      </w:r>
      <w:r w:rsidRPr="00211D07">
        <w:rPr>
          <w:rFonts w:ascii="Tahoma" w:eastAsia="Times New Roman" w:hAnsi="Tahoma" w:cs="Tahoma"/>
          <w:sz w:val="18"/>
          <w:szCs w:val="18"/>
          <w:rtl/>
        </w:rPr>
        <w:t xml:space="preserve"> ופיזית</w:t>
      </w:r>
      <w:r>
        <w:rPr>
          <w:rFonts w:ascii="Tahoma" w:hAnsi="Tahoma" w:cs="Tahoma"/>
          <w:sz w:val="18"/>
          <w:szCs w:val="18"/>
          <w:vertAlign w:val="superscript"/>
          <w:rtl/>
        </w:rPr>
        <w:footnoteReference w:id="14"/>
      </w:r>
      <w:r w:rsidRPr="00211D07">
        <w:rPr>
          <w:rFonts w:ascii="Tahoma" w:eastAsia="Times New Roman" w:hAnsi="Tahoma" w:cs="Tahoma"/>
          <w:sz w:val="18"/>
          <w:szCs w:val="18"/>
          <w:rtl/>
        </w:rPr>
        <w:t xml:space="preserve">) </w:t>
      </w:r>
      <w:r w:rsidRPr="00211D07">
        <w:rPr>
          <w:rFonts w:ascii="Tahoma" w:eastAsia="Times New Roman" w:hAnsi="Tahoma" w:cs="Tahoma" w:hint="cs"/>
          <w:sz w:val="18"/>
          <w:szCs w:val="18"/>
          <w:rtl/>
        </w:rPr>
        <w:t>ו</w:t>
      </w:r>
      <w:r w:rsidRPr="00211D07">
        <w:rPr>
          <w:rFonts w:ascii="Tahoma" w:eastAsia="Times New Roman" w:hAnsi="Tahoma" w:cs="Tahoma"/>
          <w:sz w:val="18"/>
          <w:szCs w:val="18"/>
          <w:rtl/>
        </w:rPr>
        <w:t>להתנהגות אנטי חברתית (עבריינות, זנות).</w:t>
      </w:r>
      <w:r w:rsidRPr="00211D07">
        <w:rPr>
          <w:rFonts w:ascii="Tahoma" w:eastAsia="Times New Roman" w:hAnsi="Tahoma" w:cs="Tahoma" w:hint="cs"/>
          <w:sz w:val="18"/>
          <w:szCs w:val="18"/>
          <w:rtl/>
        </w:rPr>
        <w:t xml:space="preserve"> נוסף על כך, חלק מעשרות אלפי המשפחות של המכורים נפגעות גם מתופעות של אלימות במשפחה, הזנחה ופירוק משפחות.</w:t>
      </w:r>
      <w:r w:rsidRPr="00211D07">
        <w:rPr>
          <w:rFonts w:ascii="Tahoma" w:eastAsia="Times New Roman" w:hAnsi="Tahoma" w:cs="Tahoma" w:hint="cs"/>
          <w:sz w:val="18"/>
          <w:szCs w:val="18"/>
          <w:rtl/>
          <w:lang w:eastAsia="he-IL"/>
        </w:rPr>
        <w:t xml:space="preserve"> </w:t>
      </w:r>
      <w:r w:rsidRPr="00211D07">
        <w:rPr>
          <w:rFonts w:ascii="Tahoma" w:eastAsia="Times New Roman" w:hAnsi="Tahoma" w:cs="Tahoma" w:hint="cs"/>
          <w:sz w:val="18"/>
          <w:szCs w:val="18"/>
          <w:rtl/>
        </w:rPr>
        <w:t xml:space="preserve">לפי הערכה של </w:t>
      </w:r>
      <w:r w:rsidRPr="00211D07">
        <w:rPr>
          <w:rFonts w:ascii="Tahoma" w:hAnsi="Tahoma" w:cs="Tahoma"/>
          <w:sz w:val="18"/>
          <w:szCs w:val="18"/>
          <w:rtl/>
          <w:lang w:eastAsia="he-IL"/>
        </w:rPr>
        <w:t>משרד העבודה, הרווחה והשירותים החברתיים</w:t>
      </w:r>
      <w:r w:rsidRPr="00211D07">
        <w:rPr>
          <w:rFonts w:ascii="Tahoma" w:hAnsi="Tahoma" w:cs="Tahoma" w:hint="cs"/>
          <w:sz w:val="18"/>
          <w:szCs w:val="18"/>
          <w:rtl/>
          <w:lang w:eastAsia="he-IL"/>
        </w:rPr>
        <w:t xml:space="preserve"> (להלן - </w:t>
      </w:r>
      <w:r w:rsidRPr="00211D07">
        <w:rPr>
          <w:rFonts w:ascii="Tahoma" w:eastAsia="Times New Roman" w:hAnsi="Tahoma" w:cs="Tahoma" w:hint="cs"/>
          <w:sz w:val="18"/>
          <w:szCs w:val="18"/>
          <w:rtl/>
        </w:rPr>
        <w:t>משרד הרווחה) כ-120,000 איש בישראל סובלים מבעיית התמכרות</w:t>
      </w:r>
      <w:r>
        <w:rPr>
          <w:rStyle w:val="FootnoteReference0"/>
          <w:rFonts w:ascii="Tahoma" w:eastAsia="Times New Roman" w:hAnsi="Tahoma" w:cs="Tahoma"/>
          <w:sz w:val="18"/>
          <w:szCs w:val="18"/>
          <w:rtl/>
        </w:rPr>
        <w:footnoteReference w:id="15"/>
      </w:r>
      <w:r w:rsidRPr="00211D07">
        <w:rPr>
          <w:rFonts w:ascii="Tahoma" w:eastAsia="Times New Roman" w:hAnsi="Tahoma" w:cs="Tahoma" w:hint="cs"/>
          <w:sz w:val="18"/>
          <w:szCs w:val="18"/>
          <w:rtl/>
        </w:rPr>
        <w:t xml:space="preserve">. </w:t>
      </w:r>
      <w:r w:rsidRPr="00211D07">
        <w:rPr>
          <w:rFonts w:ascii="Tahoma" w:hAnsi="Tahoma" w:cs="Tahoma" w:hint="cs"/>
          <w:sz w:val="18"/>
          <w:szCs w:val="18"/>
          <w:rtl/>
        </w:rPr>
        <w:t>מבקר המדינה בדק בשנים קודמות היבטים שונים בנושא השימוש בסמים, אלכוהול והימורים</w:t>
      </w:r>
      <w:r>
        <w:rPr>
          <w:rStyle w:val="FootnoteReference0"/>
          <w:rFonts w:ascii="Tahoma" w:hAnsi="Tahoma" w:cs="Tahoma"/>
          <w:sz w:val="18"/>
          <w:szCs w:val="18"/>
          <w:rtl/>
        </w:rPr>
        <w:footnoteReference w:id="16"/>
      </w:r>
      <w:r w:rsidRPr="00211D07">
        <w:rPr>
          <w:rFonts w:ascii="Tahoma" w:hAnsi="Tahoma" w:cs="Tahoma" w:hint="cs"/>
          <w:sz w:val="18"/>
          <w:szCs w:val="18"/>
          <w:rtl/>
        </w:rPr>
        <w:t xml:space="preserve">. </w:t>
      </w:r>
      <w:r w:rsidRPr="0012789B" w:rsidR="00290C9B">
        <w:rPr>
          <w:rFonts w:cs="Tahoma"/>
          <w:noProof/>
          <w:sz w:val="17"/>
          <w:szCs w:val="17"/>
          <w:rtl/>
        </w:rPr>
        <mc:AlternateContent>
          <mc:Choice Requires="wps">
            <w:drawing>
              <wp:anchor distT="0" distB="0" distL="114300" distR="114300" simplePos="0" relativeHeight="251680768" behindDoc="1" locked="0" layoutInCell="1" allowOverlap="1">
                <wp:simplePos x="0" y="0"/>
                <wp:positionH relativeFrom="margin">
                  <wp:posOffset>-431800</wp:posOffset>
                </wp:positionH>
                <wp:positionV relativeFrom="margin">
                  <wp:align>top</wp:align>
                </wp:positionV>
                <wp:extent cx="1620000" cy="4140000"/>
                <wp:effectExtent l="0" t="0" r="0" b="0"/>
                <wp:wrapNone/>
                <wp:docPr id="46"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290C9B" w:rsidRPr="00373C5D" w:rsidP="00290C9B">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203926706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821529"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290C9B" w:rsidRPr="00881D99" w:rsidP="00290C9B">
                            <w:pPr>
                              <w:spacing w:after="0" w:line="240" w:lineRule="auto"/>
                              <w:rPr>
                                <w:color w:val="0B5294"/>
                                <w:spacing w:val="-4"/>
                                <w:sz w:val="24"/>
                                <w:szCs w:val="24"/>
                                <w:rtl/>
                                <w:cs/>
                              </w:rPr>
                            </w:pPr>
                            <w:r w:rsidRPr="00335CD4">
                              <w:rPr>
                                <w:rFonts w:cs="Tahoma" w:hint="eastAsia"/>
                                <w:color w:val="0B5294"/>
                                <w:spacing w:val="-4"/>
                                <w:sz w:val="24"/>
                                <w:szCs w:val="24"/>
                                <w:rtl/>
                              </w:rPr>
                              <w:t>לפי</w:t>
                            </w:r>
                            <w:r w:rsidRPr="00335CD4">
                              <w:rPr>
                                <w:rFonts w:cs="Tahoma"/>
                                <w:color w:val="0B5294"/>
                                <w:spacing w:val="-4"/>
                                <w:sz w:val="24"/>
                                <w:szCs w:val="24"/>
                                <w:rtl/>
                              </w:rPr>
                              <w:t xml:space="preserve"> </w:t>
                            </w:r>
                            <w:r w:rsidRPr="00335CD4">
                              <w:rPr>
                                <w:rFonts w:cs="Tahoma" w:hint="eastAsia"/>
                                <w:color w:val="0B5294"/>
                                <w:spacing w:val="-4"/>
                                <w:sz w:val="24"/>
                                <w:szCs w:val="24"/>
                                <w:rtl/>
                              </w:rPr>
                              <w:t>הערכה</w:t>
                            </w:r>
                            <w:r w:rsidRPr="00335CD4">
                              <w:rPr>
                                <w:rFonts w:cs="Tahoma"/>
                                <w:color w:val="0B5294"/>
                                <w:spacing w:val="-4"/>
                                <w:sz w:val="24"/>
                                <w:szCs w:val="24"/>
                                <w:rtl/>
                              </w:rPr>
                              <w:t xml:space="preserve"> </w:t>
                            </w:r>
                            <w:r w:rsidRPr="00335CD4">
                              <w:rPr>
                                <w:rFonts w:cs="Tahoma" w:hint="eastAsia"/>
                                <w:color w:val="0B5294"/>
                                <w:spacing w:val="-4"/>
                                <w:sz w:val="24"/>
                                <w:szCs w:val="24"/>
                                <w:rtl/>
                              </w:rPr>
                              <w:t>של</w:t>
                            </w:r>
                            <w:r w:rsidRPr="00335CD4">
                              <w:rPr>
                                <w:rFonts w:cs="Tahoma"/>
                                <w:color w:val="0B5294"/>
                                <w:spacing w:val="-4"/>
                                <w:sz w:val="24"/>
                                <w:szCs w:val="24"/>
                                <w:rtl/>
                              </w:rPr>
                              <w:t xml:space="preserve"> </w:t>
                            </w:r>
                            <w:r w:rsidRPr="00335CD4">
                              <w:rPr>
                                <w:rFonts w:cs="Tahoma" w:hint="eastAsia"/>
                                <w:color w:val="0B5294"/>
                                <w:spacing w:val="-4"/>
                                <w:sz w:val="24"/>
                                <w:szCs w:val="24"/>
                                <w:rtl/>
                              </w:rPr>
                              <w:t>משרד</w:t>
                            </w:r>
                            <w:r w:rsidRPr="00335CD4">
                              <w:rPr>
                                <w:rFonts w:cs="Tahoma"/>
                                <w:color w:val="0B5294"/>
                                <w:spacing w:val="-4"/>
                                <w:sz w:val="24"/>
                                <w:szCs w:val="24"/>
                                <w:rtl/>
                              </w:rPr>
                              <w:t xml:space="preserve"> </w:t>
                            </w:r>
                            <w:r w:rsidRPr="00335CD4">
                              <w:rPr>
                                <w:rFonts w:cs="Tahoma" w:hint="eastAsia"/>
                                <w:color w:val="0B5294"/>
                                <w:spacing w:val="-4"/>
                                <w:sz w:val="24"/>
                                <w:szCs w:val="24"/>
                                <w:rtl/>
                              </w:rPr>
                              <w:t>הרווחה</w:t>
                            </w:r>
                            <w:r w:rsidRPr="00335CD4">
                              <w:rPr>
                                <w:rFonts w:cs="Tahoma"/>
                                <w:color w:val="0B5294"/>
                                <w:spacing w:val="-4"/>
                                <w:sz w:val="24"/>
                                <w:szCs w:val="24"/>
                                <w:rtl/>
                              </w:rPr>
                              <w:t xml:space="preserve"> </w:t>
                            </w:r>
                            <w:r w:rsidR="00E50805">
                              <w:rPr>
                                <w:rFonts w:cs="Tahoma"/>
                                <w:color w:val="0B5294"/>
                                <w:spacing w:val="-4"/>
                                <w:sz w:val="24"/>
                                <w:szCs w:val="24"/>
                              </w:rPr>
                              <w:br/>
                            </w:r>
                            <w:r w:rsidRPr="00335CD4">
                              <w:rPr>
                                <w:rFonts w:cs="Tahoma" w:hint="eastAsia"/>
                                <w:color w:val="0B5294"/>
                                <w:spacing w:val="-4"/>
                                <w:sz w:val="24"/>
                                <w:szCs w:val="24"/>
                                <w:rtl/>
                              </w:rPr>
                              <w:t>כ</w:t>
                            </w:r>
                            <w:r w:rsidRPr="00335CD4">
                              <w:rPr>
                                <w:rFonts w:cs="Tahoma"/>
                                <w:color w:val="0B5294"/>
                                <w:spacing w:val="-4"/>
                                <w:sz w:val="24"/>
                                <w:szCs w:val="24"/>
                                <w:rtl/>
                              </w:rPr>
                              <w:t xml:space="preserve">-120,000 </w:t>
                            </w:r>
                            <w:r w:rsidRPr="00335CD4">
                              <w:rPr>
                                <w:rFonts w:cs="Tahoma" w:hint="eastAsia"/>
                                <w:color w:val="0B5294"/>
                                <w:spacing w:val="-4"/>
                                <w:sz w:val="24"/>
                                <w:szCs w:val="24"/>
                                <w:rtl/>
                              </w:rPr>
                              <w:t>איש</w:t>
                            </w:r>
                            <w:r w:rsidRPr="00335CD4">
                              <w:rPr>
                                <w:rFonts w:cs="Tahoma"/>
                                <w:color w:val="0B5294"/>
                                <w:spacing w:val="-4"/>
                                <w:sz w:val="24"/>
                                <w:szCs w:val="24"/>
                                <w:rtl/>
                              </w:rPr>
                              <w:t xml:space="preserve"> </w:t>
                            </w:r>
                            <w:r w:rsidRPr="00335CD4">
                              <w:rPr>
                                <w:rFonts w:cs="Tahoma" w:hint="eastAsia"/>
                                <w:color w:val="0B5294"/>
                                <w:spacing w:val="-4"/>
                                <w:sz w:val="24"/>
                                <w:szCs w:val="24"/>
                                <w:rtl/>
                              </w:rPr>
                              <w:t>בישראל</w:t>
                            </w:r>
                            <w:r w:rsidRPr="00335CD4">
                              <w:rPr>
                                <w:rFonts w:cs="Tahoma"/>
                                <w:color w:val="0B5294"/>
                                <w:spacing w:val="-4"/>
                                <w:sz w:val="24"/>
                                <w:szCs w:val="24"/>
                                <w:rtl/>
                              </w:rPr>
                              <w:t xml:space="preserve"> </w:t>
                            </w:r>
                            <w:r w:rsidRPr="00335CD4">
                              <w:rPr>
                                <w:rFonts w:cs="Tahoma" w:hint="eastAsia"/>
                                <w:color w:val="0B5294"/>
                                <w:spacing w:val="-4"/>
                                <w:sz w:val="24"/>
                                <w:szCs w:val="24"/>
                                <w:rtl/>
                              </w:rPr>
                              <w:t>סובלים</w:t>
                            </w:r>
                            <w:r w:rsidRPr="00335CD4">
                              <w:rPr>
                                <w:rFonts w:cs="Tahoma"/>
                                <w:color w:val="0B5294"/>
                                <w:spacing w:val="-4"/>
                                <w:sz w:val="24"/>
                                <w:szCs w:val="24"/>
                                <w:rtl/>
                              </w:rPr>
                              <w:t xml:space="preserve"> </w:t>
                            </w:r>
                            <w:r w:rsidRPr="00335CD4">
                              <w:rPr>
                                <w:rFonts w:cs="Tahoma" w:hint="eastAsia"/>
                                <w:color w:val="0B5294"/>
                                <w:spacing w:val="-4"/>
                                <w:sz w:val="24"/>
                                <w:szCs w:val="24"/>
                                <w:rtl/>
                              </w:rPr>
                              <w:t>מבעיית</w:t>
                            </w:r>
                            <w:r w:rsidRPr="00335CD4">
                              <w:rPr>
                                <w:rFonts w:cs="Tahoma"/>
                                <w:color w:val="0B5294"/>
                                <w:spacing w:val="-4"/>
                                <w:sz w:val="24"/>
                                <w:szCs w:val="24"/>
                                <w:rtl/>
                              </w:rPr>
                              <w:t xml:space="preserve"> </w:t>
                            </w:r>
                            <w:r w:rsidRPr="00335CD4">
                              <w:rPr>
                                <w:rFonts w:cs="Tahoma" w:hint="eastAsia"/>
                                <w:color w:val="0B5294"/>
                                <w:spacing w:val="-4"/>
                                <w:sz w:val="24"/>
                                <w:szCs w:val="24"/>
                                <w:rtl/>
                              </w:rPr>
                              <w:t>התמכרות</w:t>
                            </w:r>
                          </w:p>
                          <w:p w:rsidR="00290C9B" w:rsidRPr="00373C5D" w:rsidP="00290C9B">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13852281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358118"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9"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4688" filled="f" stroked="f">
                <v:textbox>
                  <w:txbxContent>
                    <w:p w:rsidR="00290C9B" w:rsidRPr="00373C5D" w:rsidP="00290C9B">
                      <w:pPr>
                        <w:spacing w:line="240" w:lineRule="atLeast"/>
                        <w:rPr>
                          <w:rFonts w:cs="Tahoma"/>
                          <w:b/>
                          <w:bCs/>
                          <w:color w:val="0B5294"/>
                          <w:sz w:val="48"/>
                          <w:szCs w:val="48"/>
                          <w:rtl/>
                        </w:rPr>
                      </w:pPr>
                      <w:drawing>
                        <wp:inline distT="0" distB="0" distL="0" distR="0">
                          <wp:extent cx="311150" cy="256800"/>
                          <wp:effectExtent l="0" t="0" r="0" b="0"/>
                          <wp:docPr id="4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089227"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290C9B" w:rsidRPr="00881D99" w:rsidP="00290C9B">
                      <w:pPr>
                        <w:spacing w:after="0" w:line="240" w:lineRule="auto"/>
                        <w:rPr>
                          <w:color w:val="0B5294"/>
                          <w:spacing w:val="-4"/>
                          <w:sz w:val="24"/>
                          <w:szCs w:val="24"/>
                          <w:rtl/>
                          <w:cs/>
                        </w:rPr>
                      </w:pPr>
                      <w:r w:rsidRPr="00335CD4">
                        <w:rPr>
                          <w:rFonts w:cs="Tahoma" w:hint="eastAsia"/>
                          <w:color w:val="0B5294"/>
                          <w:spacing w:val="-4"/>
                          <w:sz w:val="24"/>
                          <w:szCs w:val="24"/>
                          <w:rtl/>
                        </w:rPr>
                        <w:t>לפי</w:t>
                      </w:r>
                      <w:r w:rsidRPr="00335CD4">
                        <w:rPr>
                          <w:rFonts w:cs="Tahoma"/>
                          <w:color w:val="0B5294"/>
                          <w:spacing w:val="-4"/>
                          <w:sz w:val="24"/>
                          <w:szCs w:val="24"/>
                          <w:rtl/>
                        </w:rPr>
                        <w:t xml:space="preserve"> </w:t>
                      </w:r>
                      <w:r w:rsidRPr="00335CD4">
                        <w:rPr>
                          <w:rFonts w:cs="Tahoma" w:hint="eastAsia"/>
                          <w:color w:val="0B5294"/>
                          <w:spacing w:val="-4"/>
                          <w:sz w:val="24"/>
                          <w:szCs w:val="24"/>
                          <w:rtl/>
                        </w:rPr>
                        <w:t>הערכה</w:t>
                      </w:r>
                      <w:r w:rsidRPr="00335CD4">
                        <w:rPr>
                          <w:rFonts w:cs="Tahoma"/>
                          <w:color w:val="0B5294"/>
                          <w:spacing w:val="-4"/>
                          <w:sz w:val="24"/>
                          <w:szCs w:val="24"/>
                          <w:rtl/>
                        </w:rPr>
                        <w:t xml:space="preserve"> </w:t>
                      </w:r>
                      <w:r w:rsidRPr="00335CD4">
                        <w:rPr>
                          <w:rFonts w:cs="Tahoma" w:hint="eastAsia"/>
                          <w:color w:val="0B5294"/>
                          <w:spacing w:val="-4"/>
                          <w:sz w:val="24"/>
                          <w:szCs w:val="24"/>
                          <w:rtl/>
                        </w:rPr>
                        <w:t>של</w:t>
                      </w:r>
                      <w:r w:rsidRPr="00335CD4">
                        <w:rPr>
                          <w:rFonts w:cs="Tahoma"/>
                          <w:color w:val="0B5294"/>
                          <w:spacing w:val="-4"/>
                          <w:sz w:val="24"/>
                          <w:szCs w:val="24"/>
                          <w:rtl/>
                        </w:rPr>
                        <w:t xml:space="preserve"> </w:t>
                      </w:r>
                      <w:r w:rsidRPr="00335CD4">
                        <w:rPr>
                          <w:rFonts w:cs="Tahoma" w:hint="eastAsia"/>
                          <w:color w:val="0B5294"/>
                          <w:spacing w:val="-4"/>
                          <w:sz w:val="24"/>
                          <w:szCs w:val="24"/>
                          <w:rtl/>
                        </w:rPr>
                        <w:t>משרד</w:t>
                      </w:r>
                      <w:r w:rsidRPr="00335CD4">
                        <w:rPr>
                          <w:rFonts w:cs="Tahoma"/>
                          <w:color w:val="0B5294"/>
                          <w:spacing w:val="-4"/>
                          <w:sz w:val="24"/>
                          <w:szCs w:val="24"/>
                          <w:rtl/>
                        </w:rPr>
                        <w:t xml:space="preserve"> </w:t>
                      </w:r>
                      <w:r w:rsidRPr="00335CD4">
                        <w:rPr>
                          <w:rFonts w:cs="Tahoma" w:hint="eastAsia"/>
                          <w:color w:val="0B5294"/>
                          <w:spacing w:val="-4"/>
                          <w:sz w:val="24"/>
                          <w:szCs w:val="24"/>
                          <w:rtl/>
                        </w:rPr>
                        <w:t>הרווחה</w:t>
                      </w:r>
                      <w:r w:rsidRPr="00335CD4">
                        <w:rPr>
                          <w:rFonts w:cs="Tahoma"/>
                          <w:color w:val="0B5294"/>
                          <w:spacing w:val="-4"/>
                          <w:sz w:val="24"/>
                          <w:szCs w:val="24"/>
                          <w:rtl/>
                        </w:rPr>
                        <w:t xml:space="preserve"> </w:t>
                      </w:r>
                      <w:r w:rsidR="00E50805">
                        <w:rPr>
                          <w:rFonts w:cs="Tahoma"/>
                          <w:color w:val="0B5294"/>
                          <w:spacing w:val="-4"/>
                          <w:sz w:val="24"/>
                          <w:szCs w:val="24"/>
                        </w:rPr>
                        <w:br/>
                      </w:r>
                      <w:r w:rsidRPr="00335CD4">
                        <w:rPr>
                          <w:rFonts w:cs="Tahoma" w:hint="eastAsia"/>
                          <w:color w:val="0B5294"/>
                          <w:spacing w:val="-4"/>
                          <w:sz w:val="24"/>
                          <w:szCs w:val="24"/>
                          <w:rtl/>
                        </w:rPr>
                        <w:t>כ</w:t>
                      </w:r>
                      <w:r w:rsidRPr="00335CD4">
                        <w:rPr>
                          <w:rFonts w:cs="Tahoma"/>
                          <w:color w:val="0B5294"/>
                          <w:spacing w:val="-4"/>
                          <w:sz w:val="24"/>
                          <w:szCs w:val="24"/>
                          <w:rtl/>
                        </w:rPr>
                        <w:t xml:space="preserve">-120,000 </w:t>
                      </w:r>
                      <w:r w:rsidRPr="00335CD4">
                        <w:rPr>
                          <w:rFonts w:cs="Tahoma" w:hint="eastAsia"/>
                          <w:color w:val="0B5294"/>
                          <w:spacing w:val="-4"/>
                          <w:sz w:val="24"/>
                          <w:szCs w:val="24"/>
                          <w:rtl/>
                        </w:rPr>
                        <w:t>איש</w:t>
                      </w:r>
                      <w:r w:rsidRPr="00335CD4">
                        <w:rPr>
                          <w:rFonts w:cs="Tahoma"/>
                          <w:color w:val="0B5294"/>
                          <w:spacing w:val="-4"/>
                          <w:sz w:val="24"/>
                          <w:szCs w:val="24"/>
                          <w:rtl/>
                        </w:rPr>
                        <w:t xml:space="preserve"> </w:t>
                      </w:r>
                      <w:r w:rsidRPr="00335CD4">
                        <w:rPr>
                          <w:rFonts w:cs="Tahoma" w:hint="eastAsia"/>
                          <w:color w:val="0B5294"/>
                          <w:spacing w:val="-4"/>
                          <w:sz w:val="24"/>
                          <w:szCs w:val="24"/>
                          <w:rtl/>
                        </w:rPr>
                        <w:t>בישראל</w:t>
                      </w:r>
                      <w:r w:rsidRPr="00335CD4">
                        <w:rPr>
                          <w:rFonts w:cs="Tahoma"/>
                          <w:color w:val="0B5294"/>
                          <w:spacing w:val="-4"/>
                          <w:sz w:val="24"/>
                          <w:szCs w:val="24"/>
                          <w:rtl/>
                        </w:rPr>
                        <w:t xml:space="preserve"> </w:t>
                      </w:r>
                      <w:r w:rsidRPr="00335CD4">
                        <w:rPr>
                          <w:rFonts w:cs="Tahoma" w:hint="eastAsia"/>
                          <w:color w:val="0B5294"/>
                          <w:spacing w:val="-4"/>
                          <w:sz w:val="24"/>
                          <w:szCs w:val="24"/>
                          <w:rtl/>
                        </w:rPr>
                        <w:t>סובלים</w:t>
                      </w:r>
                      <w:r w:rsidRPr="00335CD4">
                        <w:rPr>
                          <w:rFonts w:cs="Tahoma"/>
                          <w:color w:val="0B5294"/>
                          <w:spacing w:val="-4"/>
                          <w:sz w:val="24"/>
                          <w:szCs w:val="24"/>
                          <w:rtl/>
                        </w:rPr>
                        <w:t xml:space="preserve"> </w:t>
                      </w:r>
                      <w:r w:rsidRPr="00335CD4">
                        <w:rPr>
                          <w:rFonts w:cs="Tahoma" w:hint="eastAsia"/>
                          <w:color w:val="0B5294"/>
                          <w:spacing w:val="-4"/>
                          <w:sz w:val="24"/>
                          <w:szCs w:val="24"/>
                          <w:rtl/>
                        </w:rPr>
                        <w:t>מבעיית</w:t>
                      </w:r>
                      <w:r w:rsidRPr="00335CD4">
                        <w:rPr>
                          <w:rFonts w:cs="Tahoma"/>
                          <w:color w:val="0B5294"/>
                          <w:spacing w:val="-4"/>
                          <w:sz w:val="24"/>
                          <w:szCs w:val="24"/>
                          <w:rtl/>
                        </w:rPr>
                        <w:t xml:space="preserve"> </w:t>
                      </w:r>
                      <w:r w:rsidRPr="00335CD4">
                        <w:rPr>
                          <w:rFonts w:cs="Tahoma" w:hint="eastAsia"/>
                          <w:color w:val="0B5294"/>
                          <w:spacing w:val="-4"/>
                          <w:sz w:val="24"/>
                          <w:szCs w:val="24"/>
                          <w:rtl/>
                        </w:rPr>
                        <w:t>התמכרות</w:t>
                      </w:r>
                    </w:p>
                    <w:p w:rsidR="00290C9B" w:rsidRPr="00373C5D" w:rsidP="00290C9B">
                      <w:pPr>
                        <w:spacing w:before="120" w:after="0" w:line="240" w:lineRule="atLeast"/>
                        <w:rPr>
                          <w:rFonts w:cs="Tahoma"/>
                          <w:b/>
                          <w:bCs/>
                          <w:color w:val="0B5294"/>
                          <w:sz w:val="48"/>
                          <w:szCs w:val="48"/>
                          <w:rtl/>
                        </w:rPr>
                      </w:pPr>
                      <w:drawing>
                        <wp:inline distT="0" distB="0" distL="0" distR="0">
                          <wp:extent cx="288000" cy="31337"/>
                          <wp:effectExtent l="0" t="0" r="0" b="6985"/>
                          <wp:docPr id="4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675963"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9B6D36" w:rsidRPr="00211D07" w:rsidP="00211D07">
      <w:pPr>
        <w:spacing w:line="240" w:lineRule="exact"/>
        <w:ind w:right="2268"/>
        <w:jc w:val="both"/>
        <w:rPr>
          <w:rFonts w:ascii="Tahoma" w:eastAsia="Times New Roman" w:hAnsi="Tahoma" w:cs="Tahoma"/>
          <w:sz w:val="18"/>
          <w:szCs w:val="18"/>
          <w:rtl/>
        </w:rPr>
      </w:pPr>
      <w:r w:rsidRPr="00211D07">
        <w:rPr>
          <w:rFonts w:ascii="Tahoma" w:hAnsi="Tahoma" w:cs="Tahoma" w:hint="cs"/>
          <w:sz w:val="18"/>
          <w:szCs w:val="18"/>
          <w:rtl/>
        </w:rPr>
        <w:t xml:space="preserve">יעדי הטיפול בהתמכרות, הכולל טיפול תרופתי וטיפול פסיכו-סוציאלי הם הפסקה או הפחתה של השימוש בחומרים הממכרים או בהתנהגות </w:t>
      </w:r>
      <w:r w:rsidRPr="00211D07">
        <w:rPr>
          <w:rFonts w:ascii="Tahoma" w:hAnsi="Tahoma" w:cs="Tahoma" w:hint="cs"/>
          <w:sz w:val="18"/>
          <w:szCs w:val="18"/>
          <w:rtl/>
        </w:rPr>
        <w:t>הממכרת</w:t>
      </w:r>
      <w:r w:rsidRPr="00211D07">
        <w:rPr>
          <w:rFonts w:ascii="Tahoma" w:hAnsi="Tahoma" w:cs="Tahoma" w:hint="cs"/>
          <w:sz w:val="18"/>
          <w:szCs w:val="18"/>
          <w:rtl/>
        </w:rPr>
        <w:t xml:space="preserve"> ושיפור המצב הרפואי והתפקוד האישי והחברתי של המכור. </w:t>
      </w:r>
      <w:r w:rsidRPr="00211D07">
        <w:rPr>
          <w:rFonts w:ascii="Tahoma" w:hAnsi="Tahoma" w:cs="Tahoma" w:hint="cs"/>
          <w:sz w:val="18"/>
          <w:szCs w:val="18"/>
          <w:rtl/>
          <w:lang w:eastAsia="he-IL"/>
        </w:rPr>
        <w:t>מטרתו לסייע למכור לשנות דפוסי חשיבה והתנהגות ולסייע לו לחזור לתפקד באופן נורמטיבי</w:t>
      </w:r>
      <w:r w:rsidRPr="00211D07">
        <w:rPr>
          <w:rFonts w:ascii="Tahoma" w:hAnsi="Tahoma" w:cs="Tahoma" w:hint="cs"/>
          <w:sz w:val="18"/>
          <w:szCs w:val="18"/>
          <w:rtl/>
        </w:rPr>
        <w:t xml:space="preserve">. השלב המקדים לטיפול במכורים הוא איתורם והפנייתם לגורמי הטיפול המקצועיים, כדי שאלו יטפלו בבעיית ההתמכרות שלהם. ככלל, </w:t>
      </w:r>
      <w:r w:rsidRPr="00211D07">
        <w:rPr>
          <w:rFonts w:ascii="Tahoma" w:hAnsi="Tahoma" w:cs="Tahoma" w:hint="cs"/>
          <w:sz w:val="18"/>
          <w:szCs w:val="18"/>
          <w:rtl/>
        </w:rPr>
        <w:t>למכורים ישנה מוטיבציה נמוכה לשנות את מצבם ולכן יש צורך לעודד אותם להצטרף לתהליך הטיפולי</w:t>
      </w:r>
      <w:r w:rsidRPr="00211D07">
        <w:rPr>
          <w:rFonts w:ascii="Tahoma" w:eastAsia="Times New Roman" w:hAnsi="Tahoma" w:cs="Tahoma" w:hint="cs"/>
          <w:sz w:val="18"/>
          <w:szCs w:val="18"/>
          <w:rtl/>
          <w:lang w:eastAsia="he-IL"/>
        </w:rPr>
        <w:t>.</w:t>
      </w:r>
    </w:p>
    <w:p w:rsidR="009B6D36" w:rsidRPr="00211D07" w:rsidP="00211D07">
      <w:pPr>
        <w:spacing w:line="240" w:lineRule="exact"/>
        <w:ind w:right="2268"/>
        <w:jc w:val="both"/>
        <w:rPr>
          <w:rFonts w:ascii="Tahoma" w:hAnsi="Tahoma" w:cs="Tahoma"/>
          <w:sz w:val="18"/>
          <w:szCs w:val="18"/>
          <w:rtl/>
          <w:lang w:eastAsia="he-IL"/>
        </w:rPr>
      </w:pPr>
      <w:r w:rsidRPr="00211D07">
        <w:rPr>
          <w:rFonts w:ascii="Tahoma" w:hAnsi="Tahoma" w:cs="Tahoma" w:hint="cs"/>
          <w:sz w:val="18"/>
          <w:szCs w:val="18"/>
          <w:rtl/>
          <w:lang w:eastAsia="he-IL"/>
        </w:rPr>
        <w:t xml:space="preserve">השלב הראשון בטיפול במכור לאחר איתורו הוא שלב הגמילה הגופנית; הגמילה הגופנית מתבצעת לרוב במסגרת אשפוזית שבה שוהה מכור מבוגר שניים עד שלושה שבועות, ואילו אשפוז של מכור צעיר יכול להימשך עד שלושה חודשים. </w:t>
      </w:r>
      <w:r w:rsidRPr="00211D07">
        <w:rPr>
          <w:rFonts w:ascii="Tahoma" w:hAnsi="Tahoma" w:cs="Tahoma" w:hint="cs"/>
          <w:sz w:val="18"/>
          <w:szCs w:val="18"/>
          <w:rtl/>
        </w:rPr>
        <w:t>המחלקה לטיפול בהתמכרויות שבמשרד הבריאות (להלן - המחלקה להתמכרויות) אחראית לקביעת המדיניות של משרד הבריאות בתחום הטיפול בהתמכרויות ולמתן ייעוץ מקצועי וארגוני למערך הרפואה הארצי.</w:t>
      </w:r>
      <w:r w:rsidRPr="00211D07">
        <w:rPr>
          <w:rFonts w:ascii="Tahoma" w:hAnsi="Tahoma" w:cs="Tahoma" w:hint="cs"/>
          <w:sz w:val="18"/>
          <w:szCs w:val="18"/>
          <w:rtl/>
          <w:lang w:eastAsia="he-IL"/>
        </w:rPr>
        <w:t xml:space="preserve"> </w:t>
      </w:r>
      <w:r w:rsidRPr="00211D07">
        <w:rPr>
          <w:rFonts w:ascii="Tahoma" w:hAnsi="Tahoma" w:cs="Tahoma"/>
          <w:sz w:val="18"/>
          <w:szCs w:val="18"/>
          <w:rtl/>
          <w:lang w:eastAsia="he-IL"/>
        </w:rPr>
        <w:t xml:space="preserve">תקציב המחלקה היה בשנת 2018 כ-63.5 מיליון ש"ח. </w:t>
      </w:r>
    </w:p>
    <w:p w:rsidR="009B6D36" w:rsidRPr="00211D07" w:rsidP="00211D07">
      <w:pPr>
        <w:spacing w:line="240" w:lineRule="exact"/>
        <w:ind w:right="2268"/>
        <w:jc w:val="both"/>
        <w:rPr>
          <w:rFonts w:ascii="Tahoma" w:hAnsi="Tahoma" w:cs="Tahoma"/>
          <w:sz w:val="18"/>
          <w:szCs w:val="18"/>
          <w:rtl/>
        </w:rPr>
      </w:pPr>
      <w:r w:rsidRPr="00211D07">
        <w:rPr>
          <w:rFonts w:ascii="Tahoma" w:hAnsi="Tahoma" w:cs="Tahoma" w:hint="cs"/>
          <w:sz w:val="18"/>
          <w:szCs w:val="18"/>
          <w:rtl/>
          <w:lang w:eastAsia="he-IL"/>
        </w:rPr>
        <w:t xml:space="preserve">שלב הטיפול השני הוא טיפול פסיכו-סוציאלי שיכול להתקיים במסגרות של קהילות טיפוליות או על ידי היחידות לטיפול בהתמכרויות שברשויות המקומיות. </w:t>
      </w:r>
      <w:r w:rsidRPr="00211D07">
        <w:rPr>
          <w:rFonts w:ascii="Tahoma" w:hAnsi="Tahoma" w:cs="Tahoma"/>
          <w:sz w:val="18"/>
          <w:szCs w:val="18"/>
          <w:rtl/>
        </w:rPr>
        <w:t>הש</w:t>
      </w:r>
      <w:r w:rsidRPr="00211D07">
        <w:rPr>
          <w:rFonts w:ascii="Tahoma" w:hAnsi="Tahoma" w:cs="Tahoma" w:hint="cs"/>
          <w:sz w:val="18"/>
          <w:szCs w:val="18"/>
          <w:rtl/>
        </w:rPr>
        <w:t>י</w:t>
      </w:r>
      <w:r w:rsidRPr="00211D07">
        <w:rPr>
          <w:rFonts w:ascii="Tahoma" w:hAnsi="Tahoma" w:cs="Tahoma"/>
          <w:sz w:val="18"/>
          <w:szCs w:val="18"/>
          <w:rtl/>
        </w:rPr>
        <w:t xml:space="preserve">רות </w:t>
      </w:r>
      <w:r w:rsidRPr="00211D07">
        <w:rPr>
          <w:rFonts w:ascii="Tahoma" w:hAnsi="Tahoma" w:cs="Tahoma" w:hint="cs"/>
          <w:sz w:val="18"/>
          <w:szCs w:val="18"/>
          <w:rtl/>
          <w:lang w:eastAsia="he-IL"/>
        </w:rPr>
        <w:t xml:space="preserve">לטיפול בהתמכרויות במשרד הרווחה (להלן - השירות </w:t>
      </w:r>
      <w:r w:rsidRPr="00211D07">
        <w:rPr>
          <w:rFonts w:ascii="Tahoma" w:hAnsi="Tahoma" w:cs="Tahoma" w:hint="cs"/>
          <w:sz w:val="18"/>
          <w:szCs w:val="18"/>
          <w:rtl/>
        </w:rPr>
        <w:t>להתמכרויות) אחראי ל</w:t>
      </w:r>
      <w:r w:rsidRPr="00211D07">
        <w:rPr>
          <w:rFonts w:ascii="Tahoma" w:hAnsi="Tahoma" w:cs="Tahoma"/>
          <w:sz w:val="18"/>
          <w:szCs w:val="18"/>
          <w:rtl/>
        </w:rPr>
        <w:t xml:space="preserve">קביעת </w:t>
      </w:r>
      <w:r w:rsidRPr="00211D07">
        <w:rPr>
          <w:rFonts w:ascii="Tahoma" w:hAnsi="Tahoma" w:cs="Tahoma" w:hint="cs"/>
          <w:sz w:val="18"/>
          <w:szCs w:val="18"/>
          <w:rtl/>
        </w:rPr>
        <w:t>ה</w:t>
      </w:r>
      <w:r w:rsidRPr="00211D07">
        <w:rPr>
          <w:rFonts w:ascii="Tahoma" w:hAnsi="Tahoma" w:cs="Tahoma"/>
          <w:sz w:val="18"/>
          <w:szCs w:val="18"/>
          <w:rtl/>
        </w:rPr>
        <w:t xml:space="preserve">מדיניות </w:t>
      </w:r>
      <w:r w:rsidRPr="00211D07">
        <w:rPr>
          <w:rFonts w:ascii="Tahoma" w:hAnsi="Tahoma" w:cs="Tahoma" w:hint="cs"/>
          <w:sz w:val="18"/>
          <w:szCs w:val="18"/>
          <w:rtl/>
        </w:rPr>
        <w:t>ה</w:t>
      </w:r>
      <w:r w:rsidRPr="00211D07">
        <w:rPr>
          <w:rFonts w:ascii="Tahoma" w:hAnsi="Tahoma" w:cs="Tahoma"/>
          <w:sz w:val="18"/>
          <w:szCs w:val="18"/>
          <w:rtl/>
        </w:rPr>
        <w:t xml:space="preserve">ארצית בתחום הטיפול במכורים, </w:t>
      </w:r>
      <w:r w:rsidRPr="00211D07">
        <w:rPr>
          <w:rFonts w:ascii="Tahoma" w:hAnsi="Tahoma" w:cs="Tahoma" w:hint="cs"/>
          <w:sz w:val="18"/>
          <w:szCs w:val="18"/>
          <w:rtl/>
        </w:rPr>
        <w:t xml:space="preserve">ומתפקידו </w:t>
      </w:r>
      <w:r w:rsidRPr="00211D07">
        <w:rPr>
          <w:rFonts w:ascii="Tahoma" w:hAnsi="Tahoma" w:cs="Tahoma"/>
          <w:sz w:val="18"/>
          <w:szCs w:val="18"/>
          <w:rtl/>
        </w:rPr>
        <w:t xml:space="preserve">ליזום ולקדם הקמת מסגרות לטיפול במכורים ולממן את הפעלתן, וכן ליזום ולפתח </w:t>
      </w:r>
      <w:r w:rsidRPr="00211D07">
        <w:rPr>
          <w:rFonts w:ascii="Tahoma" w:hAnsi="Tahoma" w:cs="Tahoma"/>
          <w:sz w:val="18"/>
          <w:szCs w:val="18"/>
          <w:rtl/>
        </w:rPr>
        <w:t>תוכניות</w:t>
      </w:r>
      <w:r w:rsidRPr="00211D07">
        <w:rPr>
          <w:rFonts w:ascii="Tahoma" w:hAnsi="Tahoma" w:cs="Tahoma"/>
          <w:sz w:val="18"/>
          <w:szCs w:val="18"/>
          <w:rtl/>
        </w:rPr>
        <w:t xml:space="preserve"> לטיפול במכורים ולשיקומם.</w:t>
      </w:r>
      <w:r w:rsidRPr="00211D07">
        <w:rPr>
          <w:rFonts w:ascii="Tahoma" w:hAnsi="Tahoma" w:cs="Tahoma" w:hint="cs"/>
          <w:sz w:val="18"/>
          <w:szCs w:val="18"/>
          <w:rtl/>
        </w:rPr>
        <w:t xml:space="preserve"> </w:t>
      </w:r>
      <w:r w:rsidRPr="00211D07">
        <w:rPr>
          <w:rFonts w:ascii="Tahoma" w:hAnsi="Tahoma" w:cs="Tahoma"/>
          <w:sz w:val="18"/>
          <w:szCs w:val="18"/>
          <w:rtl/>
        </w:rPr>
        <w:t>תקציב השירות להתמכרויות היה בשנת 2018 כ-89 מיליון ש"ח.</w:t>
      </w:r>
    </w:p>
    <w:p w:rsidR="009B6D36" w:rsidRPr="00211D07" w:rsidP="00211D07">
      <w:pPr>
        <w:spacing w:line="240" w:lineRule="exact"/>
        <w:ind w:right="2268"/>
        <w:jc w:val="both"/>
        <w:rPr>
          <w:rFonts w:ascii="Tahoma" w:hAnsi="Tahoma" w:cs="Tahoma"/>
          <w:sz w:val="18"/>
          <w:szCs w:val="18"/>
        </w:rPr>
      </w:pPr>
    </w:p>
    <w:p w:rsidR="009B6D36" w:rsidRPr="00211D07" w:rsidP="00211D07">
      <w:pPr>
        <w:spacing w:line="240" w:lineRule="exact"/>
        <w:ind w:right="2268"/>
        <w:jc w:val="both"/>
        <w:rPr>
          <w:rFonts w:ascii="Tahoma" w:hAnsi="Tahoma" w:cs="Tahoma"/>
          <w:sz w:val="18"/>
          <w:szCs w:val="18"/>
          <w:rtl/>
        </w:rPr>
      </w:pPr>
    </w:p>
    <w:p w:rsidR="009B6D36" w:rsidP="00211D07">
      <w:pPr>
        <w:pStyle w:val="KOT4"/>
        <w:rPr>
          <w:rtl/>
        </w:rPr>
      </w:pPr>
      <w:r>
        <w:rPr>
          <w:rFonts w:hint="cs"/>
          <w:rtl/>
        </w:rPr>
        <w:t>פעולות הביקורת</w:t>
      </w:r>
    </w:p>
    <w:p w:rsidR="009B6D36" w:rsidRPr="00211D07" w:rsidP="00211D07">
      <w:pPr>
        <w:spacing w:line="240" w:lineRule="exact"/>
        <w:ind w:right="2268"/>
        <w:jc w:val="both"/>
        <w:rPr>
          <w:rFonts w:ascii="Tahoma" w:hAnsi="Tahoma" w:cs="Tahoma"/>
          <w:sz w:val="18"/>
          <w:szCs w:val="18"/>
          <w:rtl/>
        </w:rPr>
      </w:pPr>
      <w:r w:rsidRPr="00211D07">
        <w:rPr>
          <w:rFonts w:ascii="Tahoma" w:hAnsi="Tahoma" w:cs="Tahoma" w:hint="cs"/>
          <w:sz w:val="18"/>
          <w:szCs w:val="18"/>
          <w:rtl/>
        </w:rPr>
        <w:t>הטיפול בהתמכרויות ובמכורים נעשה על ידי כמה גופים ובכללם ה</w:t>
      </w:r>
      <w:r w:rsidRPr="00211D07">
        <w:rPr>
          <w:rFonts w:ascii="Tahoma" w:hAnsi="Tahoma" w:cs="Tahoma" w:hint="eastAsia"/>
          <w:sz w:val="18"/>
          <w:szCs w:val="18"/>
          <w:rtl/>
        </w:rPr>
        <w:t>רשויות</w:t>
      </w:r>
      <w:r w:rsidRPr="00211D07">
        <w:rPr>
          <w:rFonts w:ascii="Tahoma" w:hAnsi="Tahoma" w:cs="Tahoma"/>
          <w:sz w:val="18"/>
          <w:szCs w:val="18"/>
          <w:rtl/>
        </w:rPr>
        <w:t xml:space="preserve"> </w:t>
      </w:r>
      <w:r w:rsidRPr="00211D07">
        <w:rPr>
          <w:rFonts w:ascii="Tahoma" w:hAnsi="Tahoma" w:cs="Tahoma" w:hint="cs"/>
          <w:sz w:val="18"/>
          <w:szCs w:val="18"/>
          <w:rtl/>
        </w:rPr>
        <w:t>ה</w:t>
      </w:r>
      <w:r w:rsidRPr="00211D07">
        <w:rPr>
          <w:rFonts w:ascii="Tahoma" w:hAnsi="Tahoma" w:cs="Tahoma" w:hint="eastAsia"/>
          <w:sz w:val="18"/>
          <w:szCs w:val="18"/>
          <w:rtl/>
        </w:rPr>
        <w:t>מקומיות</w:t>
      </w:r>
      <w:r w:rsidRPr="00211D07">
        <w:rPr>
          <w:rFonts w:ascii="Tahoma" w:hAnsi="Tahoma" w:cs="Tahoma" w:hint="cs"/>
          <w:sz w:val="18"/>
          <w:szCs w:val="18"/>
          <w:rtl/>
        </w:rPr>
        <w:t xml:space="preserve">, משרדי הרווחה והבריאות, </w:t>
      </w:r>
      <w:r w:rsidRPr="00211D07">
        <w:rPr>
          <w:rFonts w:ascii="Tahoma" w:eastAsia="Times New Roman" w:hAnsi="Tahoma" w:cs="Tahoma"/>
          <w:sz w:val="18"/>
          <w:szCs w:val="18"/>
          <w:rtl/>
        </w:rPr>
        <w:t>הרשות למאבק באלימות, בסמים ובאלכוהו</w:t>
      </w:r>
      <w:r w:rsidRPr="00211D07">
        <w:rPr>
          <w:rFonts w:ascii="Tahoma" w:eastAsia="Times New Roman" w:hAnsi="Tahoma" w:cs="Tahoma" w:hint="cs"/>
          <w:sz w:val="18"/>
          <w:szCs w:val="18"/>
          <w:rtl/>
        </w:rPr>
        <w:t>ל</w:t>
      </w:r>
      <w:r>
        <w:rPr>
          <w:rStyle w:val="FootnoteReference0"/>
          <w:rFonts w:ascii="Tahoma" w:eastAsia="Times New Roman" w:hAnsi="Tahoma" w:cs="Tahoma"/>
          <w:sz w:val="18"/>
          <w:szCs w:val="18"/>
          <w:rtl/>
        </w:rPr>
        <w:footnoteReference w:id="17"/>
      </w:r>
      <w:r w:rsidRPr="00211D07">
        <w:rPr>
          <w:rFonts w:ascii="Tahoma" w:hAnsi="Tahoma" w:cs="Tahoma" w:hint="cs"/>
          <w:sz w:val="18"/>
          <w:szCs w:val="18"/>
          <w:rtl/>
        </w:rPr>
        <w:t xml:space="preserve"> במשרד לביטחון הפנים, </w:t>
      </w:r>
      <w:r w:rsidRPr="00211D07">
        <w:rPr>
          <w:rFonts w:ascii="Tahoma" w:hAnsi="Tahoma" w:cs="Tahoma"/>
          <w:sz w:val="18"/>
          <w:szCs w:val="18"/>
          <w:rtl/>
        </w:rPr>
        <w:t>משרד החינוך שמטפל בנושא המניעה</w:t>
      </w:r>
      <w:r w:rsidRPr="00211D07">
        <w:rPr>
          <w:rFonts w:ascii="Tahoma" w:hAnsi="Tahoma" w:cs="Tahoma" w:hint="cs"/>
          <w:sz w:val="18"/>
          <w:szCs w:val="18"/>
          <w:rtl/>
        </w:rPr>
        <w:t xml:space="preserve"> בקרב תלמידים</w:t>
      </w:r>
      <w:r w:rsidRPr="00211D07">
        <w:rPr>
          <w:rFonts w:ascii="Tahoma" w:hAnsi="Tahoma" w:cs="Tahoma"/>
          <w:sz w:val="18"/>
          <w:szCs w:val="18"/>
          <w:rtl/>
        </w:rPr>
        <w:t xml:space="preserve">, </w:t>
      </w:r>
      <w:r w:rsidRPr="00211D07">
        <w:rPr>
          <w:rFonts w:ascii="Tahoma" w:hAnsi="Tahoma" w:cs="Tahoma" w:hint="cs"/>
          <w:sz w:val="18"/>
          <w:szCs w:val="18"/>
          <w:rtl/>
        </w:rPr>
        <w:t>וכן שירות בתי הסוהר והרשות לשיקום האסיר שמטפלים באסירים מכורים</w:t>
      </w:r>
      <w:r w:rsidRPr="00211D07">
        <w:rPr>
          <w:rFonts w:ascii="Tahoma" w:hAnsi="Tahoma" w:cs="Tahoma"/>
          <w:sz w:val="18"/>
          <w:szCs w:val="18"/>
          <w:rtl/>
        </w:rPr>
        <w:t>.</w:t>
      </w:r>
      <w:r w:rsidRPr="00211D07">
        <w:rPr>
          <w:rFonts w:ascii="Tahoma" w:hAnsi="Tahoma" w:cs="Tahoma" w:hint="cs"/>
          <w:sz w:val="18"/>
          <w:szCs w:val="18"/>
          <w:rtl/>
        </w:rPr>
        <w:t xml:space="preserve"> </w:t>
      </w:r>
      <w:r w:rsidRPr="00211D07">
        <w:rPr>
          <w:rFonts w:ascii="Tahoma" w:hAnsi="Tahoma" w:cs="Tahoma"/>
          <w:sz w:val="18"/>
          <w:szCs w:val="18"/>
          <w:rtl/>
        </w:rPr>
        <w:t xml:space="preserve">בחודשים </w:t>
      </w:r>
      <w:r w:rsidRPr="00211D07">
        <w:rPr>
          <w:rFonts w:ascii="Tahoma" w:hAnsi="Tahoma" w:cs="Tahoma" w:hint="cs"/>
          <w:sz w:val="18"/>
          <w:szCs w:val="18"/>
          <w:rtl/>
        </w:rPr>
        <w:t xml:space="preserve">ינואר-אוגוסט 2018 </w:t>
      </w:r>
      <w:r w:rsidRPr="00211D07">
        <w:rPr>
          <w:rFonts w:ascii="Tahoma" w:hAnsi="Tahoma" w:cs="Tahoma"/>
          <w:sz w:val="18"/>
          <w:szCs w:val="18"/>
          <w:rtl/>
        </w:rPr>
        <w:t xml:space="preserve">בדק משרד מבקר המדינה את </w:t>
      </w:r>
      <w:r w:rsidRPr="00211D07">
        <w:rPr>
          <w:rFonts w:ascii="Tahoma" w:hAnsi="Tahoma" w:cs="Tahoma" w:hint="cs"/>
          <w:sz w:val="18"/>
          <w:szCs w:val="18"/>
          <w:rtl/>
        </w:rPr>
        <w:t>שלבי הטיפול בהתמכרויות הנפוצות לסמים, אלכוהול והימורים</w:t>
      </w:r>
      <w:r>
        <w:rPr>
          <w:rStyle w:val="FootnoteReference0"/>
          <w:rFonts w:ascii="Tahoma" w:hAnsi="Tahoma" w:cs="Tahoma"/>
          <w:sz w:val="18"/>
          <w:szCs w:val="18"/>
          <w:rtl/>
        </w:rPr>
        <w:footnoteReference w:id="18"/>
      </w:r>
      <w:r w:rsidRPr="00211D07">
        <w:rPr>
          <w:rFonts w:ascii="Tahoma" w:hAnsi="Tahoma" w:cs="Tahoma" w:hint="cs"/>
          <w:sz w:val="18"/>
          <w:szCs w:val="18"/>
          <w:rtl/>
        </w:rPr>
        <w:t xml:space="preserve">: איתור, טיפול ומניעה. </w:t>
      </w:r>
      <w:r w:rsidRPr="00211D07">
        <w:rPr>
          <w:rFonts w:ascii="Tahoma" w:hAnsi="Tahoma" w:cs="Tahoma"/>
          <w:sz w:val="18"/>
          <w:szCs w:val="18"/>
          <w:rtl/>
        </w:rPr>
        <w:t>הבדיק</w:t>
      </w:r>
      <w:r w:rsidRPr="00211D07">
        <w:rPr>
          <w:rFonts w:ascii="Tahoma" w:hAnsi="Tahoma" w:cs="Tahoma" w:hint="cs"/>
          <w:sz w:val="18"/>
          <w:szCs w:val="18"/>
          <w:rtl/>
        </w:rPr>
        <w:t>ה</w:t>
      </w:r>
      <w:r w:rsidRPr="00211D07">
        <w:rPr>
          <w:rFonts w:ascii="Tahoma" w:hAnsi="Tahoma" w:cs="Tahoma"/>
          <w:sz w:val="18"/>
          <w:szCs w:val="18"/>
          <w:rtl/>
        </w:rPr>
        <w:t xml:space="preserve"> נעש</w:t>
      </w:r>
      <w:r w:rsidRPr="00211D07">
        <w:rPr>
          <w:rFonts w:ascii="Tahoma" w:hAnsi="Tahoma" w:cs="Tahoma" w:hint="cs"/>
          <w:sz w:val="18"/>
          <w:szCs w:val="18"/>
          <w:rtl/>
        </w:rPr>
        <w:t>תה</w:t>
      </w:r>
      <w:r w:rsidRPr="00211D07">
        <w:rPr>
          <w:rFonts w:ascii="Tahoma" w:hAnsi="Tahoma" w:cs="Tahoma"/>
          <w:sz w:val="18"/>
          <w:szCs w:val="18"/>
          <w:rtl/>
        </w:rPr>
        <w:t xml:space="preserve"> ב</w:t>
      </w:r>
      <w:r w:rsidRPr="00211D07">
        <w:rPr>
          <w:rFonts w:ascii="Tahoma" w:hAnsi="Tahoma" w:cs="Tahoma" w:hint="cs"/>
          <w:sz w:val="18"/>
          <w:szCs w:val="18"/>
          <w:rtl/>
        </w:rPr>
        <w:t xml:space="preserve">גופים מרכזיים שמטפלים בנושא: </w:t>
      </w:r>
      <w:r w:rsidRPr="00211D07">
        <w:rPr>
          <w:rFonts w:ascii="Tahoma" w:hAnsi="Tahoma" w:cs="Tahoma"/>
          <w:sz w:val="18"/>
          <w:szCs w:val="18"/>
          <w:rtl/>
        </w:rPr>
        <w:t>משרד הרווחה</w:t>
      </w:r>
      <w:r w:rsidRPr="00211D07">
        <w:rPr>
          <w:rFonts w:ascii="Tahoma" w:hAnsi="Tahoma" w:cs="Tahoma" w:hint="cs"/>
          <w:sz w:val="18"/>
          <w:szCs w:val="18"/>
          <w:rtl/>
        </w:rPr>
        <w:t>, משרד הבריאות ומשרד החינוך</w:t>
      </w:r>
      <w:r w:rsidRPr="00211D07">
        <w:rPr>
          <w:rFonts w:ascii="Tahoma" w:hAnsi="Tahoma" w:cs="Tahoma"/>
          <w:sz w:val="18"/>
          <w:szCs w:val="18"/>
          <w:rtl/>
        </w:rPr>
        <w:t>. בדיקות השלמה נעשו במשרד האוצר, בשירותי בריאות כללית, במכבי שירותי בריאות</w:t>
      </w:r>
      <w:r>
        <w:rPr>
          <w:rFonts w:ascii="Tahoma" w:hAnsi="Tahoma" w:cs="Tahoma"/>
          <w:sz w:val="18"/>
          <w:szCs w:val="18"/>
          <w:vertAlign w:val="superscript"/>
          <w:rtl/>
        </w:rPr>
        <w:footnoteReference w:id="19"/>
      </w:r>
      <w:r w:rsidRPr="00211D07">
        <w:rPr>
          <w:rFonts w:ascii="Tahoma" w:hAnsi="Tahoma" w:cs="Tahoma" w:hint="cs"/>
          <w:sz w:val="18"/>
          <w:szCs w:val="18"/>
          <w:rtl/>
        </w:rPr>
        <w:t>,</w:t>
      </w:r>
      <w:r w:rsidRPr="00211D07">
        <w:rPr>
          <w:rFonts w:ascii="Tahoma" w:hAnsi="Tahoma" w:cs="Tahoma"/>
          <w:sz w:val="18"/>
          <w:szCs w:val="18"/>
          <w:rtl/>
        </w:rPr>
        <w:t xml:space="preserve"> </w:t>
      </w:r>
      <w:r w:rsidRPr="00211D07">
        <w:rPr>
          <w:rFonts w:ascii="Tahoma" w:hAnsi="Tahoma" w:cs="Tahoma" w:hint="cs"/>
          <w:sz w:val="18"/>
          <w:szCs w:val="18"/>
          <w:rtl/>
        </w:rPr>
        <w:t>בארבע עיריות (נס ציונה, נתיבות, ערד ורעננה) ו</w:t>
      </w:r>
      <w:r w:rsidRPr="00211D07">
        <w:rPr>
          <w:rFonts w:ascii="Tahoma" w:hAnsi="Tahoma" w:cs="Tahoma"/>
          <w:sz w:val="18"/>
          <w:szCs w:val="18"/>
          <w:rtl/>
        </w:rPr>
        <w:t>במרכז השלטון המקומי בישראל</w:t>
      </w:r>
      <w:r w:rsidRPr="00211D07">
        <w:rPr>
          <w:rFonts w:ascii="Tahoma" w:hAnsi="Tahoma" w:cs="Tahoma" w:hint="cs"/>
          <w:sz w:val="18"/>
          <w:szCs w:val="18"/>
          <w:rtl/>
        </w:rPr>
        <w:t>.</w:t>
      </w:r>
    </w:p>
    <w:p w:rsidR="009B6D36" w:rsidRPr="00211D07" w:rsidP="00211D07">
      <w:pPr>
        <w:spacing w:line="240" w:lineRule="exact"/>
        <w:ind w:right="2268"/>
        <w:jc w:val="both"/>
        <w:rPr>
          <w:rFonts w:ascii="Tahoma" w:hAnsi="Tahoma" w:cs="Tahoma"/>
          <w:sz w:val="18"/>
          <w:szCs w:val="18"/>
          <w:rtl/>
        </w:rPr>
      </w:pPr>
    </w:p>
    <w:p w:rsidR="009B6D36" w:rsidRPr="00CC6021" w:rsidP="00211D07">
      <w:pPr>
        <w:pStyle w:val="KOT2"/>
        <w:rPr>
          <w:rtl/>
        </w:rPr>
      </w:pPr>
      <w:r w:rsidRPr="00CC6021">
        <w:rPr>
          <w:rFonts w:hint="cs"/>
          <w:rtl/>
        </w:rPr>
        <w:t>איתור המכורים</w:t>
      </w:r>
    </w:p>
    <w:p w:rsidR="009B6D36" w:rsidRPr="00211D07" w:rsidP="00211D07">
      <w:pPr>
        <w:spacing w:line="240" w:lineRule="exact"/>
        <w:ind w:right="2268"/>
        <w:jc w:val="both"/>
        <w:rPr>
          <w:rFonts w:ascii="Tahoma" w:hAnsi="Tahoma" w:cs="Tahoma"/>
          <w:sz w:val="18"/>
          <w:szCs w:val="18"/>
          <w:rtl/>
        </w:rPr>
      </w:pPr>
      <w:r w:rsidRPr="00211D07">
        <w:rPr>
          <w:rFonts w:ascii="Tahoma" w:eastAsia="Times New Roman" w:hAnsi="Tahoma" w:cs="Tahoma" w:hint="cs"/>
          <w:sz w:val="18"/>
          <w:szCs w:val="18"/>
          <w:rtl/>
        </w:rPr>
        <w:t xml:space="preserve">לפי הערכת </w:t>
      </w:r>
      <w:r w:rsidRPr="00211D07">
        <w:rPr>
          <w:rFonts w:ascii="Tahoma" w:hAnsi="Tahoma" w:cs="Tahoma"/>
          <w:sz w:val="18"/>
          <w:szCs w:val="18"/>
          <w:rtl/>
        </w:rPr>
        <w:t>השירות</w:t>
      </w:r>
      <w:r w:rsidRPr="00211D07">
        <w:rPr>
          <w:rFonts w:ascii="Tahoma" w:hAnsi="Tahoma" w:cs="Tahoma" w:hint="cs"/>
          <w:sz w:val="18"/>
          <w:szCs w:val="18"/>
          <w:rtl/>
        </w:rPr>
        <w:t xml:space="preserve"> להתמכרויות </w:t>
      </w:r>
      <w:r w:rsidRPr="00211D07">
        <w:rPr>
          <w:rFonts w:ascii="Tahoma" w:eastAsia="Times New Roman" w:hAnsi="Tahoma" w:cs="Tahoma" w:hint="cs"/>
          <w:sz w:val="18"/>
          <w:szCs w:val="18"/>
          <w:rtl/>
        </w:rPr>
        <w:t>כ-120,000 איש בישראל סובלים מבעיית התמכרות, אך</w:t>
      </w:r>
      <w:r w:rsidRPr="00211D07">
        <w:rPr>
          <w:rFonts w:ascii="Tahoma" w:hAnsi="Tahoma" w:cs="Tahoma" w:hint="cs"/>
          <w:sz w:val="18"/>
          <w:szCs w:val="18"/>
          <w:rtl/>
        </w:rPr>
        <w:t xml:space="preserve"> יותר</w:t>
      </w:r>
      <w:r w:rsidRPr="00211D07">
        <w:rPr>
          <w:rFonts w:ascii="Tahoma" w:hAnsi="Tahoma" w:cs="Tahoma"/>
          <w:sz w:val="18"/>
          <w:szCs w:val="18"/>
          <w:rtl/>
        </w:rPr>
        <w:t xml:space="preserve"> מ-80% מ</w:t>
      </w:r>
      <w:r w:rsidRPr="00211D07">
        <w:rPr>
          <w:rFonts w:ascii="Tahoma" w:hAnsi="Tahoma" w:cs="Tahoma" w:hint="cs"/>
          <w:sz w:val="18"/>
          <w:szCs w:val="18"/>
          <w:rtl/>
        </w:rPr>
        <w:t xml:space="preserve">הם </w:t>
      </w:r>
      <w:r w:rsidRPr="00211D07">
        <w:rPr>
          <w:rFonts w:ascii="Tahoma" w:hAnsi="Tahoma" w:cs="Tahoma"/>
          <w:sz w:val="18"/>
          <w:szCs w:val="18"/>
          <w:rtl/>
        </w:rPr>
        <w:t>א</w:t>
      </w:r>
      <w:r w:rsidRPr="00211D07">
        <w:rPr>
          <w:rFonts w:ascii="Tahoma" w:hAnsi="Tahoma" w:cs="Tahoma" w:hint="cs"/>
          <w:sz w:val="18"/>
          <w:szCs w:val="18"/>
          <w:rtl/>
        </w:rPr>
        <w:t>ינם</w:t>
      </w:r>
      <w:r w:rsidRPr="00211D07">
        <w:rPr>
          <w:rFonts w:ascii="Tahoma" w:hAnsi="Tahoma" w:cs="Tahoma"/>
          <w:sz w:val="18"/>
          <w:szCs w:val="18"/>
          <w:rtl/>
        </w:rPr>
        <w:t xml:space="preserve"> מקבלים מש</w:t>
      </w:r>
      <w:r w:rsidRPr="00211D07">
        <w:rPr>
          <w:rFonts w:ascii="Tahoma" w:hAnsi="Tahoma" w:cs="Tahoma" w:hint="cs"/>
          <w:sz w:val="18"/>
          <w:szCs w:val="18"/>
          <w:rtl/>
        </w:rPr>
        <w:t>י</w:t>
      </w:r>
      <w:r w:rsidRPr="00211D07">
        <w:rPr>
          <w:rFonts w:ascii="Tahoma" w:hAnsi="Tahoma" w:cs="Tahoma"/>
          <w:sz w:val="18"/>
          <w:szCs w:val="18"/>
          <w:rtl/>
        </w:rPr>
        <w:t>רותי הרווחה והבריאות טיפול בבעיית</w:t>
      </w:r>
      <w:r w:rsidRPr="00211D07">
        <w:rPr>
          <w:rFonts w:ascii="Tahoma" w:hAnsi="Tahoma" w:cs="Tahoma" w:hint="cs"/>
          <w:sz w:val="18"/>
          <w:szCs w:val="18"/>
          <w:rtl/>
        </w:rPr>
        <w:t>ם</w:t>
      </w:r>
      <w:r>
        <w:rPr>
          <w:rStyle w:val="FootnoteReference0"/>
          <w:rFonts w:ascii="Tahoma" w:hAnsi="Tahoma" w:cs="Tahoma"/>
          <w:sz w:val="18"/>
          <w:szCs w:val="18"/>
          <w:rtl/>
        </w:rPr>
        <w:footnoteReference w:id="20"/>
      </w:r>
      <w:r w:rsidRPr="00211D07">
        <w:rPr>
          <w:rFonts w:ascii="Tahoma" w:hAnsi="Tahoma" w:cs="Tahoma"/>
          <w:sz w:val="18"/>
          <w:szCs w:val="18"/>
          <w:rtl/>
        </w:rPr>
        <w:t>.</w:t>
      </w:r>
      <w:r w:rsidRPr="00211D07">
        <w:rPr>
          <w:rFonts w:ascii="Tahoma" w:hAnsi="Tahoma" w:cs="Tahoma" w:hint="cs"/>
          <w:sz w:val="18"/>
          <w:szCs w:val="18"/>
          <w:rtl/>
        </w:rPr>
        <w:t xml:space="preserve"> להלן כמה ליקויים בתהליכי העבודה של משרדי הרווחה והבריאות שתיקונם נדרש כדי להגדיל את מספר המכורים שיקבלו טיפול בבעיית ההתמכרות.</w:t>
      </w:r>
    </w:p>
    <w:p w:rsidR="009B6D36" w:rsidRPr="00211D07" w:rsidP="00211D07">
      <w:pPr>
        <w:spacing w:line="240" w:lineRule="exact"/>
        <w:ind w:right="2268"/>
        <w:jc w:val="both"/>
        <w:rPr>
          <w:rFonts w:ascii="Tahoma" w:hAnsi="Tahoma" w:cs="Tahoma"/>
          <w:sz w:val="18"/>
          <w:szCs w:val="18"/>
        </w:rPr>
      </w:pPr>
    </w:p>
    <w:p w:rsidR="009B6D36" w:rsidRPr="00211D07" w:rsidP="00211D07">
      <w:pPr>
        <w:spacing w:line="240" w:lineRule="exact"/>
        <w:ind w:right="2268"/>
        <w:jc w:val="both"/>
        <w:rPr>
          <w:rFonts w:ascii="Tahoma" w:hAnsi="Tahoma" w:cs="Tahoma"/>
          <w:sz w:val="18"/>
          <w:szCs w:val="18"/>
          <w:rtl/>
        </w:rPr>
      </w:pPr>
    </w:p>
    <w:p w:rsidR="009B6D36" w:rsidP="00211D07">
      <w:pPr>
        <w:pStyle w:val="KOT4"/>
        <w:rPr>
          <w:rtl/>
        </w:rPr>
      </w:pPr>
      <w:r>
        <w:rPr>
          <w:rFonts w:hint="cs"/>
          <w:rtl/>
        </w:rPr>
        <w:t xml:space="preserve">הפעולות של שירותי הרווחה לאיתור מכורים </w:t>
      </w:r>
    </w:p>
    <w:p w:rsidR="009B6D36" w:rsidRPr="00211D07" w:rsidP="00211D07">
      <w:pPr>
        <w:spacing w:line="240" w:lineRule="exact"/>
        <w:ind w:right="2268"/>
        <w:jc w:val="both"/>
        <w:rPr>
          <w:rFonts w:ascii="Tahoma" w:hAnsi="Tahoma" w:cs="Tahoma"/>
          <w:sz w:val="18"/>
          <w:szCs w:val="18"/>
          <w:rtl/>
        </w:rPr>
      </w:pPr>
      <w:r w:rsidRPr="00211D07">
        <w:rPr>
          <w:rFonts w:ascii="Tahoma" w:hAnsi="Tahoma" w:cs="Tahoma" w:hint="cs"/>
          <w:sz w:val="18"/>
          <w:szCs w:val="18"/>
          <w:rtl/>
        </w:rPr>
        <w:t xml:space="preserve">נוסף על בעיית ההתמכרות מכורים רבים ובני משפחותיהם סובלים גם מבעיות סוציאליות, לעיתים קשות, כמו </w:t>
      </w:r>
      <w:r w:rsidRPr="00211D07">
        <w:rPr>
          <w:rFonts w:ascii="Tahoma" w:hAnsi="Tahoma" w:cs="Tahoma"/>
          <w:sz w:val="18"/>
          <w:szCs w:val="18"/>
          <w:rtl/>
        </w:rPr>
        <w:t>חוסר תפקוד</w:t>
      </w:r>
      <w:r w:rsidRPr="00211D07">
        <w:rPr>
          <w:rFonts w:ascii="Tahoma" w:hAnsi="Tahoma" w:cs="Tahoma" w:hint="cs"/>
          <w:sz w:val="18"/>
          <w:szCs w:val="18"/>
          <w:rtl/>
        </w:rPr>
        <w:t xml:space="preserve"> הורי</w:t>
      </w:r>
      <w:r w:rsidRPr="00211D07">
        <w:rPr>
          <w:rFonts w:ascii="Tahoma" w:hAnsi="Tahoma" w:cs="Tahoma"/>
          <w:sz w:val="18"/>
          <w:szCs w:val="18"/>
          <w:rtl/>
        </w:rPr>
        <w:t>, אלימות במשפחה</w:t>
      </w:r>
      <w:r w:rsidRPr="00211D07">
        <w:rPr>
          <w:rFonts w:ascii="Tahoma" w:hAnsi="Tahoma" w:cs="Tahoma" w:hint="cs"/>
          <w:sz w:val="18"/>
          <w:szCs w:val="18"/>
          <w:rtl/>
        </w:rPr>
        <w:t>,</w:t>
      </w:r>
      <w:r w:rsidRPr="00211D07">
        <w:rPr>
          <w:rFonts w:ascii="Tahoma" w:hAnsi="Tahoma" w:cs="Tahoma"/>
          <w:sz w:val="18"/>
          <w:szCs w:val="18"/>
          <w:rtl/>
        </w:rPr>
        <w:t xml:space="preserve"> </w:t>
      </w:r>
      <w:r w:rsidRPr="00211D07">
        <w:rPr>
          <w:rFonts w:ascii="Tahoma" w:hAnsi="Tahoma" w:cs="Tahoma" w:hint="cs"/>
          <w:sz w:val="18"/>
          <w:szCs w:val="18"/>
          <w:rtl/>
        </w:rPr>
        <w:t xml:space="preserve">עבריינות ועוני. חלקן </w:t>
      </w:r>
      <w:r w:rsidRPr="00211D07">
        <w:rPr>
          <w:rFonts w:ascii="Tahoma" w:hAnsi="Tahoma" w:cs="Tahoma"/>
          <w:sz w:val="18"/>
          <w:szCs w:val="18"/>
          <w:rtl/>
        </w:rPr>
        <w:t>מוכר</w:t>
      </w:r>
      <w:r w:rsidRPr="00211D07">
        <w:rPr>
          <w:rFonts w:ascii="Tahoma" w:hAnsi="Tahoma" w:cs="Tahoma" w:hint="cs"/>
          <w:sz w:val="18"/>
          <w:szCs w:val="18"/>
          <w:rtl/>
        </w:rPr>
        <w:t>ות</w:t>
      </w:r>
      <w:r w:rsidRPr="00211D07">
        <w:rPr>
          <w:rFonts w:ascii="Tahoma" w:hAnsi="Tahoma" w:cs="Tahoma"/>
          <w:sz w:val="18"/>
          <w:szCs w:val="18"/>
          <w:rtl/>
        </w:rPr>
        <w:t xml:space="preserve"> </w:t>
      </w:r>
      <w:r w:rsidRPr="00211D07">
        <w:rPr>
          <w:rFonts w:ascii="Tahoma" w:hAnsi="Tahoma" w:cs="Tahoma" w:hint="cs"/>
          <w:sz w:val="18"/>
          <w:szCs w:val="18"/>
          <w:rtl/>
        </w:rPr>
        <w:t xml:space="preserve">ומטופלות על ידי העובדים הסוציאליים (להלן - </w:t>
      </w:r>
      <w:r w:rsidRPr="00211D07">
        <w:rPr>
          <w:rFonts w:ascii="Tahoma" w:hAnsi="Tahoma" w:cs="Tahoma"/>
          <w:sz w:val="18"/>
          <w:szCs w:val="18"/>
          <w:rtl/>
        </w:rPr>
        <w:t>עו"ס</w:t>
      </w:r>
      <w:r w:rsidRPr="00211D07">
        <w:rPr>
          <w:rFonts w:ascii="Tahoma" w:hAnsi="Tahoma" w:cs="Tahoma" w:hint="cs"/>
          <w:sz w:val="18"/>
          <w:szCs w:val="18"/>
          <w:rtl/>
        </w:rPr>
        <w:t>ים</w:t>
      </w:r>
      <w:r w:rsidRPr="00211D07">
        <w:rPr>
          <w:rFonts w:ascii="Tahoma" w:hAnsi="Tahoma" w:cs="Tahoma" w:hint="cs"/>
          <w:sz w:val="18"/>
          <w:szCs w:val="18"/>
          <w:rtl/>
        </w:rPr>
        <w:t xml:space="preserve">) </w:t>
      </w:r>
      <w:r w:rsidRPr="00211D07">
        <w:rPr>
          <w:rFonts w:ascii="Tahoma" w:hAnsi="Tahoma" w:cs="Tahoma"/>
          <w:sz w:val="18"/>
          <w:szCs w:val="18"/>
          <w:rtl/>
        </w:rPr>
        <w:t xml:space="preserve">במחלקות לשירותים חברתיים </w:t>
      </w:r>
      <w:r w:rsidRPr="00211D07">
        <w:rPr>
          <w:rFonts w:ascii="Tahoma" w:hAnsi="Tahoma" w:cs="Tahoma" w:hint="cs"/>
          <w:sz w:val="18"/>
          <w:szCs w:val="18"/>
          <w:rtl/>
        </w:rPr>
        <w:t>ש</w:t>
      </w:r>
      <w:r w:rsidRPr="00211D07">
        <w:rPr>
          <w:rFonts w:ascii="Tahoma" w:hAnsi="Tahoma" w:cs="Tahoma"/>
          <w:sz w:val="18"/>
          <w:szCs w:val="18"/>
          <w:rtl/>
        </w:rPr>
        <w:t>ברשויות המקומיות (להלן -</w:t>
      </w:r>
      <w:r w:rsidRPr="00211D07">
        <w:rPr>
          <w:rFonts w:ascii="Tahoma" w:hAnsi="Tahoma" w:cs="Tahoma" w:hint="cs"/>
          <w:sz w:val="18"/>
          <w:szCs w:val="18"/>
          <w:rtl/>
        </w:rPr>
        <w:t xml:space="preserve"> </w:t>
      </w:r>
      <w:r w:rsidRPr="00211D07">
        <w:rPr>
          <w:rFonts w:ascii="Tahoma" w:hAnsi="Tahoma" w:cs="Tahoma"/>
          <w:sz w:val="18"/>
          <w:szCs w:val="18"/>
          <w:rtl/>
        </w:rPr>
        <w:t>מש"ח</w:t>
      </w:r>
      <w:r w:rsidRPr="00211D07">
        <w:rPr>
          <w:rFonts w:ascii="Tahoma" w:hAnsi="Tahoma" w:cs="Tahoma" w:hint="cs"/>
          <w:sz w:val="18"/>
          <w:szCs w:val="18"/>
          <w:rtl/>
        </w:rPr>
        <w:t>).</w:t>
      </w:r>
    </w:p>
    <w:p w:rsidR="009B6D36" w:rsidRPr="00211D07" w:rsidP="00211D07">
      <w:pPr>
        <w:spacing w:line="240" w:lineRule="exact"/>
        <w:ind w:right="2268"/>
        <w:jc w:val="both"/>
        <w:rPr>
          <w:rFonts w:ascii="Tahoma" w:hAnsi="Tahoma" w:cs="Tahoma"/>
          <w:sz w:val="18"/>
          <w:szCs w:val="18"/>
          <w:rtl/>
        </w:rPr>
      </w:pPr>
      <w:r w:rsidRPr="00211D07">
        <w:rPr>
          <w:rFonts w:ascii="Tahoma" w:eastAsia="Calibri" w:hAnsi="Tahoma" w:cs="Tahoma" w:hint="cs"/>
          <w:sz w:val="18"/>
          <w:szCs w:val="18"/>
          <w:rtl/>
        </w:rPr>
        <w:t>ה</w:t>
      </w:r>
      <w:r w:rsidRPr="00211D07">
        <w:rPr>
          <w:rFonts w:ascii="Tahoma" w:eastAsia="Calibri" w:hAnsi="Tahoma" w:cs="Tahoma"/>
          <w:sz w:val="18"/>
          <w:szCs w:val="18"/>
          <w:rtl/>
        </w:rPr>
        <w:t>רשות המקומית אחר</w:t>
      </w:r>
      <w:r w:rsidRPr="00211D07">
        <w:rPr>
          <w:rFonts w:ascii="Tahoma" w:eastAsia="Calibri" w:hAnsi="Tahoma" w:cs="Tahoma" w:hint="cs"/>
          <w:sz w:val="18"/>
          <w:szCs w:val="18"/>
          <w:rtl/>
        </w:rPr>
        <w:t>א</w:t>
      </w:r>
      <w:r w:rsidRPr="00211D07">
        <w:rPr>
          <w:rFonts w:ascii="Tahoma" w:eastAsia="Calibri" w:hAnsi="Tahoma" w:cs="Tahoma"/>
          <w:sz w:val="18"/>
          <w:szCs w:val="18"/>
          <w:rtl/>
        </w:rPr>
        <w:t>ית לט</w:t>
      </w:r>
      <w:r w:rsidRPr="00211D07">
        <w:rPr>
          <w:rFonts w:ascii="Tahoma" w:eastAsia="Calibri" w:hAnsi="Tahoma" w:cs="Tahoma" w:hint="cs"/>
          <w:sz w:val="18"/>
          <w:szCs w:val="18"/>
          <w:rtl/>
        </w:rPr>
        <w:t>י</w:t>
      </w:r>
      <w:r w:rsidRPr="00211D07">
        <w:rPr>
          <w:rFonts w:ascii="Tahoma" w:eastAsia="Calibri" w:hAnsi="Tahoma" w:cs="Tahoma"/>
          <w:sz w:val="18"/>
          <w:szCs w:val="18"/>
          <w:rtl/>
        </w:rPr>
        <w:t>פ</w:t>
      </w:r>
      <w:r w:rsidRPr="00211D07">
        <w:rPr>
          <w:rFonts w:ascii="Tahoma" w:eastAsia="Calibri" w:hAnsi="Tahoma" w:cs="Tahoma" w:hint="cs"/>
          <w:sz w:val="18"/>
          <w:szCs w:val="18"/>
          <w:rtl/>
        </w:rPr>
        <w:t>ו</w:t>
      </w:r>
      <w:r w:rsidRPr="00211D07">
        <w:rPr>
          <w:rFonts w:ascii="Tahoma" w:eastAsia="Calibri" w:hAnsi="Tahoma" w:cs="Tahoma"/>
          <w:sz w:val="18"/>
          <w:szCs w:val="18"/>
          <w:rtl/>
        </w:rPr>
        <w:t xml:space="preserve">ל בנזקקים </w:t>
      </w:r>
      <w:r w:rsidRPr="00211D07">
        <w:rPr>
          <w:rFonts w:ascii="Tahoma" w:eastAsia="Calibri" w:hAnsi="Tahoma" w:cs="Tahoma" w:hint="cs"/>
          <w:sz w:val="18"/>
          <w:szCs w:val="18"/>
          <w:rtl/>
        </w:rPr>
        <w:t>ש</w:t>
      </w:r>
      <w:r w:rsidRPr="00211D07">
        <w:rPr>
          <w:rFonts w:ascii="Tahoma" w:eastAsia="Calibri" w:hAnsi="Tahoma" w:cs="Tahoma"/>
          <w:sz w:val="18"/>
          <w:szCs w:val="18"/>
          <w:rtl/>
        </w:rPr>
        <w:t>בתחומ</w:t>
      </w:r>
      <w:r w:rsidRPr="00211D07">
        <w:rPr>
          <w:rFonts w:ascii="Tahoma" w:eastAsia="Calibri" w:hAnsi="Tahoma" w:cs="Tahoma" w:hint="cs"/>
          <w:sz w:val="18"/>
          <w:szCs w:val="18"/>
          <w:rtl/>
        </w:rPr>
        <w:t>ה</w:t>
      </w:r>
      <w:r w:rsidRPr="00211D07">
        <w:rPr>
          <w:rFonts w:ascii="Tahoma" w:eastAsia="Calibri" w:hAnsi="Tahoma" w:cs="Tahoma"/>
          <w:sz w:val="18"/>
          <w:szCs w:val="18"/>
          <w:rtl/>
        </w:rPr>
        <w:t xml:space="preserve"> </w:t>
      </w:r>
      <w:r w:rsidRPr="00211D07">
        <w:rPr>
          <w:rFonts w:ascii="Tahoma" w:eastAsia="Calibri" w:hAnsi="Tahoma" w:cs="Tahoma" w:hint="cs"/>
          <w:sz w:val="18"/>
          <w:szCs w:val="18"/>
          <w:rtl/>
        </w:rPr>
        <w:t>באמצעות</w:t>
      </w:r>
      <w:r w:rsidRPr="00211D07">
        <w:rPr>
          <w:rFonts w:ascii="Tahoma" w:eastAsia="Calibri" w:hAnsi="Tahoma" w:cs="Tahoma"/>
          <w:sz w:val="18"/>
          <w:szCs w:val="18"/>
          <w:rtl/>
        </w:rPr>
        <w:t xml:space="preserve"> </w:t>
      </w:r>
      <w:r w:rsidRPr="00211D07">
        <w:rPr>
          <w:rFonts w:ascii="Tahoma" w:eastAsia="Calibri" w:hAnsi="Tahoma" w:cs="Tahoma" w:hint="cs"/>
          <w:sz w:val="18"/>
          <w:szCs w:val="18"/>
          <w:rtl/>
        </w:rPr>
        <w:t>ה</w:t>
      </w:r>
      <w:r w:rsidRPr="00211D07">
        <w:rPr>
          <w:rFonts w:ascii="Tahoma" w:eastAsia="Calibri" w:hAnsi="Tahoma" w:cs="Tahoma"/>
          <w:sz w:val="18"/>
          <w:szCs w:val="18"/>
          <w:rtl/>
        </w:rPr>
        <w:t>מש"ח</w:t>
      </w:r>
      <w:r w:rsidRPr="00211D07">
        <w:rPr>
          <w:rFonts w:ascii="Tahoma" w:eastAsia="Calibri" w:hAnsi="Tahoma" w:cs="Tahoma" w:hint="cs"/>
          <w:sz w:val="18"/>
          <w:szCs w:val="18"/>
          <w:rtl/>
        </w:rPr>
        <w:t>.</w:t>
      </w:r>
      <w:r w:rsidRPr="00211D07">
        <w:rPr>
          <w:rFonts w:ascii="Tahoma" w:eastAsia="Calibri" w:hAnsi="Tahoma" w:cs="Tahoma"/>
          <w:sz w:val="18"/>
          <w:szCs w:val="18"/>
          <w:rtl/>
        </w:rPr>
        <w:t xml:space="preserve"> חוק שירותי הסעד, התשי"ח-1958 </w:t>
      </w:r>
      <w:r w:rsidRPr="00211D07">
        <w:rPr>
          <w:rFonts w:ascii="Tahoma" w:eastAsia="Calibri" w:hAnsi="Tahoma" w:cs="Tahoma" w:hint="cs"/>
          <w:sz w:val="18"/>
          <w:szCs w:val="18"/>
          <w:rtl/>
        </w:rPr>
        <w:t xml:space="preserve">(להלן- חוק הסעד) </w:t>
      </w:r>
      <w:r w:rsidRPr="00211D07">
        <w:rPr>
          <w:rFonts w:ascii="Tahoma" w:eastAsia="Calibri" w:hAnsi="Tahoma" w:cs="Tahoma"/>
          <w:sz w:val="18"/>
          <w:szCs w:val="18"/>
          <w:rtl/>
        </w:rPr>
        <w:t>קובע לעניין זה כי ברשות המקומית תהיה לשכת סעד, קרי מחלקה לשירותים חברתיים, שתפקידה לתת טיפול סוציאלי וסעד לנזקקים. תקנות שירותי הסעד (טיפול בנזקקים), התשמ"ו-1986</w:t>
      </w:r>
      <w:r w:rsidRPr="00211D07">
        <w:rPr>
          <w:rFonts w:ascii="Tahoma" w:eastAsia="Calibri" w:hAnsi="Tahoma" w:cs="Tahoma" w:hint="cs"/>
          <w:sz w:val="18"/>
          <w:szCs w:val="18"/>
          <w:rtl/>
        </w:rPr>
        <w:t xml:space="preserve"> קובעות כי </w:t>
      </w:r>
      <w:r w:rsidRPr="00211D07">
        <w:rPr>
          <w:rFonts w:ascii="Tahoma" w:eastAsia="Calibri" w:hAnsi="Tahoma" w:cs="Tahoma"/>
          <w:sz w:val="18"/>
          <w:szCs w:val="18"/>
          <w:rtl/>
        </w:rPr>
        <w:t>המש"ח</w:t>
      </w:r>
      <w:r w:rsidRPr="00211D07">
        <w:rPr>
          <w:rFonts w:ascii="Tahoma" w:eastAsia="Calibri" w:hAnsi="Tahoma" w:cs="Tahoma"/>
          <w:sz w:val="18"/>
          <w:szCs w:val="18"/>
          <w:rtl/>
        </w:rPr>
        <w:t xml:space="preserve"> תטפל בנזקקים הפונים אליה על פי ההנחיות המקצועיות </w:t>
      </w:r>
      <w:r w:rsidRPr="00211D07">
        <w:rPr>
          <w:rFonts w:ascii="Tahoma" w:eastAsia="Calibri" w:hAnsi="Tahoma" w:cs="Tahoma"/>
          <w:sz w:val="18"/>
          <w:szCs w:val="18"/>
          <w:rtl/>
        </w:rPr>
        <w:t>והמינהליות</w:t>
      </w:r>
      <w:r w:rsidRPr="00211D07">
        <w:rPr>
          <w:rFonts w:ascii="Tahoma" w:eastAsia="Calibri" w:hAnsi="Tahoma" w:cs="Tahoma"/>
          <w:sz w:val="18"/>
          <w:szCs w:val="18"/>
          <w:rtl/>
        </w:rPr>
        <w:t xml:space="preserve"> של משרד הרווחה המקובצות</w:t>
      </w:r>
      <w:r w:rsidRPr="00211D07">
        <w:rPr>
          <w:rFonts w:ascii="Tahoma" w:eastAsia="Calibri" w:hAnsi="Tahoma" w:cs="Tahoma" w:hint="cs"/>
          <w:sz w:val="18"/>
          <w:szCs w:val="18"/>
          <w:rtl/>
        </w:rPr>
        <w:t xml:space="preserve"> </w:t>
      </w:r>
      <w:r w:rsidRPr="00211D07">
        <w:rPr>
          <w:rFonts w:ascii="Tahoma" w:eastAsia="Calibri" w:hAnsi="Tahoma" w:cs="Tahoma"/>
          <w:sz w:val="18"/>
          <w:szCs w:val="18"/>
          <w:rtl/>
        </w:rPr>
        <w:t xml:space="preserve">בתקנון לעבודה סוציאלית (להלן - </w:t>
      </w:r>
      <w:r w:rsidRPr="00211D07">
        <w:rPr>
          <w:rFonts w:ascii="Tahoma" w:eastAsia="Calibri" w:hAnsi="Tahoma" w:cs="Tahoma"/>
          <w:sz w:val="18"/>
          <w:szCs w:val="18"/>
          <w:rtl/>
        </w:rPr>
        <w:t>התע"ס</w:t>
      </w:r>
      <w:r w:rsidRPr="00211D07">
        <w:rPr>
          <w:rFonts w:ascii="Tahoma" w:eastAsia="Calibri" w:hAnsi="Tahoma" w:cs="Tahoma"/>
          <w:sz w:val="18"/>
          <w:szCs w:val="18"/>
          <w:rtl/>
        </w:rPr>
        <w:t>).</w:t>
      </w:r>
      <w:r w:rsidRPr="00211D07">
        <w:rPr>
          <w:rFonts w:ascii="Tahoma" w:eastAsia="Calibri" w:hAnsi="Tahoma" w:cs="Tahoma" w:hint="cs"/>
          <w:sz w:val="18"/>
          <w:szCs w:val="18"/>
          <w:rtl/>
        </w:rPr>
        <w:t xml:space="preserve"> </w:t>
      </w:r>
      <w:r w:rsidRPr="00211D07">
        <w:rPr>
          <w:rFonts w:ascii="Tahoma" w:hAnsi="Tahoma" w:cs="Tahoma"/>
          <w:sz w:val="18"/>
          <w:szCs w:val="18"/>
          <w:rtl/>
        </w:rPr>
        <w:t xml:space="preserve">משרד הרווחה </w:t>
      </w:r>
      <w:r w:rsidRPr="00211D07">
        <w:rPr>
          <w:rFonts w:ascii="Tahoma" w:hAnsi="Tahoma" w:cs="Tahoma" w:hint="cs"/>
          <w:sz w:val="18"/>
          <w:szCs w:val="18"/>
          <w:rtl/>
        </w:rPr>
        <w:t xml:space="preserve">קבע כי </w:t>
      </w:r>
      <w:r w:rsidRPr="00211D07">
        <w:rPr>
          <w:rFonts w:ascii="Tahoma" w:hAnsi="Tahoma" w:cs="Tahoma"/>
          <w:sz w:val="18"/>
          <w:szCs w:val="18"/>
          <w:rtl/>
        </w:rPr>
        <w:t>העובד הסוציאלי המטפל במשפחה (להלן - עו"ס המשפחה)</w:t>
      </w:r>
      <w:r>
        <w:rPr>
          <w:rFonts w:ascii="Tahoma" w:hAnsi="Tahoma" w:cs="Tahoma"/>
          <w:sz w:val="18"/>
          <w:szCs w:val="18"/>
          <w:vertAlign w:val="superscript"/>
          <w:rtl/>
        </w:rPr>
        <w:footnoteReference w:id="21"/>
      </w:r>
      <w:r w:rsidRPr="00211D07">
        <w:rPr>
          <w:rFonts w:ascii="Tahoma" w:hAnsi="Tahoma" w:cs="Tahoma" w:hint="cs"/>
          <w:sz w:val="18"/>
          <w:szCs w:val="18"/>
          <w:rtl/>
        </w:rPr>
        <w:t xml:space="preserve"> ינהל את הטיפול ויבצע את תהליך המיון וההערכה והנחה אותו לאתר בתהליך זה </w:t>
      </w:r>
      <w:r w:rsidRPr="00211D07">
        <w:rPr>
          <w:rFonts w:ascii="Tahoma" w:hAnsi="Tahoma" w:cs="Tahoma" w:hint="eastAsia"/>
          <w:sz w:val="18"/>
          <w:szCs w:val="18"/>
          <w:rtl/>
        </w:rPr>
        <w:t>גם</w:t>
      </w:r>
      <w:r w:rsidRPr="00211D07">
        <w:rPr>
          <w:rFonts w:ascii="Tahoma" w:hAnsi="Tahoma" w:cs="Tahoma" w:hint="cs"/>
          <w:sz w:val="18"/>
          <w:szCs w:val="18"/>
          <w:rtl/>
        </w:rPr>
        <w:t xml:space="preserve"> את המכורים שבקרבם, ולהפנות אותם לטיפול ה</w:t>
      </w:r>
      <w:r w:rsidRPr="00211D07">
        <w:rPr>
          <w:rFonts w:ascii="Tahoma" w:hAnsi="Tahoma" w:cs="Tahoma"/>
          <w:sz w:val="18"/>
          <w:szCs w:val="18"/>
          <w:rtl/>
        </w:rPr>
        <w:t xml:space="preserve">עובד </w:t>
      </w:r>
      <w:r w:rsidRPr="00211D07">
        <w:rPr>
          <w:rFonts w:ascii="Tahoma" w:hAnsi="Tahoma" w:cs="Tahoma" w:hint="cs"/>
          <w:sz w:val="18"/>
          <w:szCs w:val="18"/>
          <w:rtl/>
        </w:rPr>
        <w:t>ה</w:t>
      </w:r>
      <w:r w:rsidRPr="00211D07">
        <w:rPr>
          <w:rFonts w:ascii="Tahoma" w:hAnsi="Tahoma" w:cs="Tahoma"/>
          <w:sz w:val="18"/>
          <w:szCs w:val="18"/>
          <w:rtl/>
        </w:rPr>
        <w:t xml:space="preserve">סוציאלי </w:t>
      </w:r>
      <w:r w:rsidRPr="00211D07">
        <w:rPr>
          <w:rFonts w:ascii="Tahoma" w:hAnsi="Tahoma" w:cs="Tahoma" w:hint="cs"/>
          <w:sz w:val="18"/>
          <w:szCs w:val="18"/>
          <w:rtl/>
        </w:rPr>
        <w:t>ה</w:t>
      </w:r>
      <w:r w:rsidRPr="00211D07">
        <w:rPr>
          <w:rFonts w:ascii="Tahoma" w:hAnsi="Tahoma" w:cs="Tahoma"/>
          <w:sz w:val="18"/>
          <w:szCs w:val="18"/>
          <w:rtl/>
        </w:rPr>
        <w:t xml:space="preserve">ייעודי </w:t>
      </w:r>
      <w:r w:rsidRPr="00211D07">
        <w:rPr>
          <w:rFonts w:ascii="Tahoma" w:hAnsi="Tahoma" w:cs="Tahoma" w:hint="cs"/>
          <w:sz w:val="18"/>
          <w:szCs w:val="18"/>
          <w:rtl/>
        </w:rPr>
        <w:t>לטיפול</w:t>
      </w:r>
      <w:r w:rsidRPr="00211D07">
        <w:rPr>
          <w:rFonts w:ascii="Tahoma" w:hAnsi="Tahoma" w:cs="Tahoma"/>
          <w:sz w:val="18"/>
          <w:szCs w:val="18"/>
          <w:rtl/>
        </w:rPr>
        <w:t xml:space="preserve"> במכורים לסמים ולאלכוהול</w:t>
      </w:r>
      <w:r w:rsidRPr="00211D07">
        <w:rPr>
          <w:rFonts w:ascii="Tahoma" w:hAnsi="Tahoma" w:cs="Tahoma" w:hint="cs"/>
          <w:sz w:val="18"/>
          <w:szCs w:val="18"/>
          <w:rtl/>
        </w:rPr>
        <w:t xml:space="preserve"> שעבר הכשרה ייעודית בנושא (להלן - עו"ס ההתמכרויות).</w:t>
      </w:r>
    </w:p>
    <w:p w:rsidR="009B6D36" w:rsidRPr="00211D07" w:rsidP="00211D07">
      <w:pPr>
        <w:spacing w:line="240" w:lineRule="exact"/>
        <w:ind w:right="2268"/>
        <w:jc w:val="both"/>
        <w:rPr>
          <w:rFonts w:ascii="Tahoma" w:hAnsi="Tahoma" w:cs="Tahoma"/>
          <w:sz w:val="18"/>
          <w:szCs w:val="18"/>
          <w:rtl/>
        </w:rPr>
      </w:pPr>
    </w:p>
    <w:p w:rsidR="009B6D36" w:rsidP="00211D07">
      <w:pPr>
        <w:pStyle w:val="KOT5"/>
        <w:rPr>
          <w:rtl/>
        </w:rPr>
      </w:pPr>
      <w:r>
        <w:rPr>
          <w:rFonts w:hint="cs"/>
          <w:rtl/>
        </w:rPr>
        <w:t xml:space="preserve">איתור חלקי של מכורים בידי </w:t>
      </w:r>
      <w:r w:rsidRPr="00562C7D">
        <w:rPr>
          <w:rFonts w:hint="cs"/>
          <w:rtl/>
        </w:rPr>
        <w:t>עו"ס המשפחה</w:t>
      </w:r>
      <w:r>
        <w:rPr>
          <w:rFonts w:hint="cs"/>
          <w:rtl/>
        </w:rPr>
        <w:t xml:space="preserve"> </w:t>
      </w:r>
    </w:p>
    <w:p w:rsidR="009B6D36" w:rsidRPr="00211D07" w:rsidP="00211D07">
      <w:pPr>
        <w:spacing w:line="240" w:lineRule="exact"/>
        <w:ind w:right="2268"/>
        <w:jc w:val="both"/>
        <w:rPr>
          <w:rFonts w:ascii="Tahoma" w:hAnsi="Tahoma" w:cs="Tahoma"/>
          <w:sz w:val="18"/>
          <w:szCs w:val="18"/>
          <w:rtl/>
          <w:lang w:eastAsia="he-IL"/>
        </w:rPr>
      </w:pPr>
      <w:r w:rsidRPr="00211D07">
        <w:rPr>
          <w:rFonts w:ascii="Tahoma" w:hAnsi="Tahoma" w:cs="Tahoma"/>
          <w:sz w:val="18"/>
          <w:szCs w:val="18"/>
          <w:rtl/>
        </w:rPr>
        <w:t xml:space="preserve">לפי נתוני השירות להתמכרויות </w:t>
      </w:r>
      <w:r w:rsidRPr="00211D07">
        <w:rPr>
          <w:rFonts w:ascii="Tahoma" w:hAnsi="Tahoma" w:cs="Tahoma" w:hint="cs"/>
          <w:sz w:val="18"/>
          <w:szCs w:val="18"/>
          <w:rtl/>
        </w:rPr>
        <w:t>לשנת 2017</w:t>
      </w:r>
      <w:r w:rsidRPr="00211D07">
        <w:rPr>
          <w:rFonts w:ascii="Tahoma" w:hAnsi="Tahoma" w:cs="Tahoma"/>
          <w:sz w:val="18"/>
          <w:szCs w:val="18"/>
          <w:rtl/>
        </w:rPr>
        <w:t>,</w:t>
      </w:r>
      <w:r w:rsidRPr="00211D07">
        <w:rPr>
          <w:rFonts w:ascii="Tahoma" w:hAnsi="Tahoma" w:cs="Tahoma" w:hint="cs"/>
          <w:sz w:val="18"/>
          <w:szCs w:val="18"/>
          <w:rtl/>
        </w:rPr>
        <w:t xml:space="preserve"> מתוך כ-12,000 מטופלים 68% גרו עם משפחתם (או בני זוגם) ולכ-35% מהם היו ילדים עד גיל 18</w:t>
      </w:r>
      <w:r w:rsidRPr="00211D07">
        <w:rPr>
          <w:rFonts w:ascii="Tahoma" w:hAnsi="Tahoma" w:cs="Tahoma" w:hint="cs"/>
          <w:sz w:val="18"/>
          <w:szCs w:val="18"/>
          <w:rtl/>
          <w:lang w:eastAsia="he-IL"/>
        </w:rPr>
        <w:t>. נתונים אלו מחייבים את קיומו של קשר רציף בין עו"ס משפחה לעו"ס התמכרויות.</w:t>
      </w:r>
    </w:p>
    <w:p w:rsidR="009B6D36" w:rsidRPr="00211D07" w:rsidP="00211D07">
      <w:pPr>
        <w:spacing w:line="240" w:lineRule="exact"/>
        <w:ind w:right="2268"/>
        <w:jc w:val="both"/>
        <w:rPr>
          <w:rFonts w:ascii="Tahoma" w:hAnsi="Tahoma" w:cs="Tahoma"/>
          <w:sz w:val="18"/>
          <w:szCs w:val="18"/>
          <w:rtl/>
        </w:rPr>
      </w:pPr>
      <w:r w:rsidRPr="00211D07">
        <w:rPr>
          <w:rFonts w:ascii="Tahoma" w:hAnsi="Tahoma" w:cs="Tahoma"/>
          <w:sz w:val="18"/>
          <w:szCs w:val="18"/>
          <w:rtl/>
        </w:rPr>
        <w:t xml:space="preserve">משרד הרווחה הנחה את </w:t>
      </w:r>
      <w:r w:rsidRPr="00211D07">
        <w:rPr>
          <w:rFonts w:ascii="Tahoma" w:hAnsi="Tahoma" w:cs="Tahoma"/>
          <w:sz w:val="18"/>
          <w:szCs w:val="18"/>
          <w:rtl/>
        </w:rPr>
        <w:t>ה</w:t>
      </w:r>
      <w:r w:rsidRPr="00211D07">
        <w:rPr>
          <w:rFonts w:ascii="Tahoma" w:hAnsi="Tahoma" w:cs="Tahoma" w:hint="cs"/>
          <w:sz w:val="18"/>
          <w:szCs w:val="18"/>
          <w:rtl/>
        </w:rPr>
        <w:t>עו"ס</w:t>
      </w:r>
      <w:r w:rsidRPr="00211D07">
        <w:rPr>
          <w:rFonts w:ascii="Tahoma" w:hAnsi="Tahoma" w:cs="Tahoma" w:hint="cs"/>
          <w:sz w:val="18"/>
          <w:szCs w:val="18"/>
          <w:rtl/>
        </w:rPr>
        <w:t xml:space="preserve"> </w:t>
      </w:r>
      <w:r w:rsidRPr="00211D07">
        <w:rPr>
          <w:rFonts w:ascii="Tahoma" w:hAnsi="Tahoma" w:cs="Tahoma" w:hint="cs"/>
          <w:sz w:val="18"/>
          <w:szCs w:val="18"/>
          <w:rtl/>
        </w:rPr>
        <w:t>ב</w:t>
      </w:r>
      <w:r w:rsidRPr="00211D07">
        <w:rPr>
          <w:rFonts w:ascii="Tahoma" w:hAnsi="Tahoma" w:cs="Tahoma"/>
          <w:sz w:val="18"/>
          <w:szCs w:val="18"/>
          <w:rtl/>
        </w:rPr>
        <w:t>מש"ח</w:t>
      </w:r>
      <w:r w:rsidRPr="00211D07">
        <w:rPr>
          <w:rFonts w:ascii="Tahoma" w:hAnsi="Tahoma" w:cs="Tahoma"/>
          <w:sz w:val="18"/>
          <w:szCs w:val="18"/>
          <w:rtl/>
        </w:rPr>
        <w:t xml:space="preserve"> לרשום </w:t>
      </w:r>
      <w:r w:rsidRPr="00211D07">
        <w:rPr>
          <w:rFonts w:ascii="Tahoma" w:hAnsi="Tahoma" w:cs="Tahoma" w:hint="cs"/>
          <w:sz w:val="18"/>
          <w:szCs w:val="18"/>
          <w:rtl/>
        </w:rPr>
        <w:t xml:space="preserve">במאגר הנתונים שהם מנהלים (להלן - </w:t>
      </w:r>
      <w:r w:rsidRPr="00211D07">
        <w:rPr>
          <w:rFonts w:ascii="Tahoma" w:hAnsi="Tahoma" w:cs="Tahoma"/>
          <w:sz w:val="18"/>
          <w:szCs w:val="18"/>
          <w:rtl/>
        </w:rPr>
        <w:t>מאגר נתוני היסוד</w:t>
      </w:r>
      <w:r w:rsidRPr="00211D07">
        <w:rPr>
          <w:rFonts w:ascii="Tahoma" w:hAnsi="Tahoma" w:cs="Tahoma" w:hint="cs"/>
          <w:sz w:val="18"/>
          <w:szCs w:val="18"/>
          <w:rtl/>
        </w:rPr>
        <w:t xml:space="preserve">) </w:t>
      </w:r>
      <w:r w:rsidRPr="00211D07">
        <w:rPr>
          <w:rFonts w:ascii="Tahoma" w:hAnsi="Tahoma" w:cs="Tahoma"/>
          <w:sz w:val="18"/>
          <w:szCs w:val="18"/>
          <w:rtl/>
        </w:rPr>
        <w:t>פרטים</w:t>
      </w:r>
      <w:r w:rsidRPr="00211D07">
        <w:rPr>
          <w:rFonts w:ascii="Tahoma" w:hAnsi="Tahoma" w:cs="Tahoma" w:hint="cs"/>
          <w:sz w:val="18"/>
          <w:szCs w:val="18"/>
          <w:rtl/>
        </w:rPr>
        <w:t xml:space="preserve"> על</w:t>
      </w:r>
      <w:r w:rsidRPr="00211D07">
        <w:rPr>
          <w:rFonts w:ascii="Tahoma" w:hAnsi="Tahoma" w:cs="Tahoma"/>
          <w:sz w:val="18"/>
          <w:szCs w:val="18"/>
          <w:rtl/>
        </w:rPr>
        <w:t xml:space="preserve"> </w:t>
      </w:r>
      <w:r w:rsidRPr="00211D07">
        <w:rPr>
          <w:rFonts w:ascii="Tahoma" w:hAnsi="Tahoma" w:cs="Tahoma" w:hint="cs"/>
          <w:sz w:val="18"/>
          <w:szCs w:val="18"/>
          <w:rtl/>
        </w:rPr>
        <w:t>אודות</w:t>
      </w:r>
      <w:r w:rsidRPr="00211D07">
        <w:rPr>
          <w:rFonts w:ascii="Tahoma" w:hAnsi="Tahoma" w:cs="Tahoma"/>
          <w:sz w:val="18"/>
          <w:szCs w:val="18"/>
          <w:rtl/>
        </w:rPr>
        <w:t xml:space="preserve"> הנזקקים </w:t>
      </w:r>
      <w:r w:rsidRPr="00211D07">
        <w:rPr>
          <w:rFonts w:ascii="Tahoma" w:hAnsi="Tahoma" w:cs="Tahoma" w:hint="cs"/>
          <w:sz w:val="18"/>
          <w:szCs w:val="18"/>
          <w:rtl/>
        </w:rPr>
        <w:t>ובכלל זה</w:t>
      </w:r>
      <w:r w:rsidRPr="00211D07">
        <w:rPr>
          <w:rFonts w:ascii="Tahoma" w:hAnsi="Tahoma" w:cs="Tahoma"/>
          <w:sz w:val="18"/>
          <w:szCs w:val="18"/>
          <w:rtl/>
        </w:rPr>
        <w:t xml:space="preserve"> "מהות </w:t>
      </w:r>
      <w:r w:rsidRPr="00211D07">
        <w:rPr>
          <w:rFonts w:ascii="Tahoma" w:hAnsi="Tahoma" w:cs="Tahoma"/>
          <w:sz w:val="18"/>
          <w:szCs w:val="18"/>
          <w:rtl/>
        </w:rPr>
        <w:t>הנזקקות" שלהם</w:t>
      </w:r>
      <w:r w:rsidRPr="00211D07">
        <w:rPr>
          <w:rFonts w:ascii="Tahoma" w:hAnsi="Tahoma" w:cs="Tahoma" w:hint="cs"/>
          <w:sz w:val="18"/>
          <w:szCs w:val="18"/>
          <w:rtl/>
        </w:rPr>
        <w:t xml:space="preserve">. </w:t>
      </w:r>
      <w:r w:rsidRPr="00211D07">
        <w:rPr>
          <w:rFonts w:ascii="Tahoma" w:hAnsi="Tahoma" w:cs="Tahoma"/>
          <w:sz w:val="18"/>
          <w:szCs w:val="18"/>
          <w:rtl/>
        </w:rPr>
        <w:t>שלוש מ</w:t>
      </w:r>
      <w:r w:rsidRPr="00211D07">
        <w:rPr>
          <w:rFonts w:ascii="Tahoma" w:hAnsi="Tahoma" w:cs="Tahoma" w:hint="cs"/>
          <w:sz w:val="18"/>
          <w:szCs w:val="18"/>
          <w:rtl/>
        </w:rPr>
        <w:t>-</w:t>
      </w:r>
      <w:r w:rsidRPr="00211D07">
        <w:rPr>
          <w:rFonts w:ascii="Tahoma" w:hAnsi="Tahoma" w:cs="Tahoma"/>
          <w:sz w:val="18"/>
          <w:szCs w:val="18"/>
          <w:rtl/>
        </w:rPr>
        <w:t xml:space="preserve">55 האפשרויות של "מהות נזקקות" עוסקות ישירות בהתמכרות: אלכוהוליזם, קלפים והימורים </w:t>
      </w:r>
      <w:r w:rsidRPr="00211D07">
        <w:rPr>
          <w:rFonts w:ascii="Tahoma" w:hAnsi="Tahoma" w:cs="Tahoma" w:hint="cs"/>
          <w:sz w:val="18"/>
          <w:szCs w:val="18"/>
          <w:rtl/>
        </w:rPr>
        <w:t>ו</w:t>
      </w:r>
      <w:r w:rsidRPr="00211D07">
        <w:rPr>
          <w:rFonts w:ascii="Tahoma" w:hAnsi="Tahoma" w:cs="Tahoma"/>
          <w:sz w:val="18"/>
          <w:szCs w:val="18"/>
          <w:rtl/>
        </w:rPr>
        <w:t>התמכרות לסמים</w:t>
      </w:r>
      <w:r w:rsidRPr="00211D07">
        <w:rPr>
          <w:rFonts w:ascii="Tahoma" w:hAnsi="Tahoma" w:cs="Tahoma" w:hint="cs"/>
          <w:sz w:val="18"/>
          <w:szCs w:val="18"/>
          <w:rtl/>
        </w:rPr>
        <w:t xml:space="preserve"> (להלן - נזקקות שהיא התמכרות)</w:t>
      </w:r>
      <w:r w:rsidRPr="00211D07">
        <w:rPr>
          <w:rFonts w:ascii="Tahoma" w:hAnsi="Tahoma" w:cs="Tahoma"/>
          <w:sz w:val="18"/>
          <w:szCs w:val="18"/>
          <w:rtl/>
        </w:rPr>
        <w:t>.</w:t>
      </w:r>
      <w:r w:rsidRPr="00211D07">
        <w:rPr>
          <w:rFonts w:ascii="Tahoma" w:hAnsi="Tahoma" w:cs="Tahoma" w:hint="cs"/>
          <w:sz w:val="18"/>
          <w:szCs w:val="18"/>
          <w:rtl/>
        </w:rPr>
        <w:t xml:space="preserve"> </w:t>
      </w:r>
    </w:p>
    <w:p w:rsidR="009B6D36" w:rsidRPr="00211D07" w:rsidP="00211D07">
      <w:pPr>
        <w:spacing w:after="240" w:line="240" w:lineRule="exact"/>
        <w:ind w:right="2268"/>
        <w:jc w:val="both"/>
        <w:rPr>
          <w:rFonts w:ascii="Tahoma" w:hAnsi="Tahoma" w:cs="Tahoma"/>
          <w:sz w:val="18"/>
          <w:szCs w:val="18"/>
          <w:rtl/>
        </w:rPr>
      </w:pPr>
      <w:r w:rsidRPr="00211D07">
        <w:rPr>
          <w:rFonts w:ascii="Tahoma" w:hAnsi="Tahoma" w:cs="Tahoma" w:hint="cs"/>
          <w:sz w:val="18"/>
          <w:szCs w:val="18"/>
          <w:rtl/>
        </w:rPr>
        <w:t xml:space="preserve">משרד מבקר המדינה קיבל ממשרד הרווחה נתונים על נזקקים שנרשמו </w:t>
      </w:r>
      <w:r w:rsidRPr="00211D07">
        <w:rPr>
          <w:rFonts w:ascii="Tahoma" w:hAnsi="Tahoma" w:cs="Tahoma"/>
          <w:sz w:val="18"/>
          <w:szCs w:val="18"/>
          <w:rtl/>
        </w:rPr>
        <w:t>בשנים</w:t>
      </w:r>
      <w:r w:rsidRPr="00211D07">
        <w:rPr>
          <w:rFonts w:ascii="Tahoma" w:hAnsi="Tahoma" w:cs="Tahoma" w:hint="cs"/>
          <w:sz w:val="18"/>
          <w:szCs w:val="18"/>
          <w:rtl/>
        </w:rPr>
        <w:t xml:space="preserve"> </w:t>
      </w:r>
      <w:r w:rsidRPr="00211D07">
        <w:rPr>
          <w:rFonts w:ascii="Tahoma" w:hAnsi="Tahoma" w:cs="Tahoma"/>
          <w:sz w:val="18"/>
          <w:szCs w:val="18"/>
          <w:rtl/>
        </w:rPr>
        <w:t>2017-2010</w:t>
      </w:r>
      <w:r w:rsidRPr="00211D07">
        <w:rPr>
          <w:rFonts w:ascii="Tahoma" w:hAnsi="Tahoma" w:cs="Tahoma" w:hint="cs"/>
          <w:sz w:val="18"/>
          <w:szCs w:val="18"/>
          <w:rtl/>
        </w:rPr>
        <w:t xml:space="preserve"> במאגר נתוני היסוד וכן נתונים על מכורים שקיבלו באותן שנים טיפול בהתמכרות ממסגרות טיפול חוץ ביתיות ובקהילה והצליב ביניהם.</w:t>
      </w:r>
    </w:p>
    <w:p w:rsidR="009B6D36" w:rsidRPr="00211D07" w:rsidP="00211D07">
      <w:pPr>
        <w:pStyle w:val="RESHET"/>
        <w:rPr>
          <w:rtl/>
        </w:rPr>
      </w:pPr>
      <w:r w:rsidRPr="00211D07">
        <w:rPr>
          <w:rFonts w:hint="cs"/>
          <w:rtl/>
        </w:rPr>
        <w:t xml:space="preserve">בביקורת עלה כי כ-5,500 נזקקים קיבלו טיפול בהתמכרות, ואולם לפי נתוני </w:t>
      </w:r>
      <w:r w:rsidRPr="00211D07">
        <w:rPr>
          <w:rFonts w:hint="cs"/>
          <w:rtl/>
        </w:rPr>
        <w:t>המש"ח</w:t>
      </w:r>
      <w:r w:rsidRPr="00211D07">
        <w:rPr>
          <w:rFonts w:hint="cs"/>
          <w:rtl/>
        </w:rPr>
        <w:t xml:space="preserve"> הם לא היו מוכרים לעו"ס המשפחה כמכורים, ולפיכך לא היו רשומים במאגר נתוני היסוד כמכורים אלא כנזקקים לטיפול סוציאלי אחר. זאת ועוד, הועלה כי אוכלוסיית המכורים אינה חלק מאוכלוסיית היעד של עו"ס המשפחה כלל, כך שבפועל, </w:t>
      </w:r>
      <w:r w:rsidRPr="00211D07">
        <w:rPr>
          <w:rtl/>
        </w:rPr>
        <w:t xml:space="preserve">למרות </w:t>
      </w:r>
      <w:r w:rsidRPr="00211D07">
        <w:rPr>
          <w:rFonts w:hint="cs"/>
          <w:rtl/>
        </w:rPr>
        <w:t>ההנחיה</w:t>
      </w:r>
      <w:r w:rsidRPr="00211D07">
        <w:rPr>
          <w:rtl/>
        </w:rPr>
        <w:t xml:space="preserve"> כאמור של משרד הרווחה</w:t>
      </w:r>
      <w:r w:rsidRPr="00211D07">
        <w:rPr>
          <w:rFonts w:hint="cs"/>
          <w:rtl/>
        </w:rPr>
        <w:t>, עו"ס המשפחה לפעמים אינו מודע לבעיית ההתמכרות ולכן אינו מעורב בטיפול בה בקרב המשפחות שבטיפולו. אי-איתור בעיית ההתמכרות במשפחה יכול להשפיע על המהות ועל האיכות של הטיפול הסוציאלי שניתן למשפחה, וייתכן שאף על המכור עצמו, ועלול לפגוע ביכולתה להיחלץ מסבך הבעיות שבו היא נתונה.</w:t>
      </w:r>
    </w:p>
    <w:p w:rsidR="009B6D36" w:rsidRPr="00211D07" w:rsidP="00211D07">
      <w:pPr>
        <w:pStyle w:val="RESHET"/>
        <w:rPr>
          <w:rtl/>
        </w:rPr>
      </w:pPr>
      <w:r w:rsidRPr="00211D07">
        <w:rPr>
          <w:rFonts w:hint="eastAsia"/>
          <w:rtl/>
        </w:rPr>
        <w:t>על</w:t>
      </w:r>
      <w:r w:rsidRPr="00211D07">
        <w:rPr>
          <w:rtl/>
        </w:rPr>
        <w:t xml:space="preserve"> </w:t>
      </w:r>
      <w:r w:rsidRPr="00211D07">
        <w:rPr>
          <w:rFonts w:hint="eastAsia"/>
          <w:rtl/>
        </w:rPr>
        <w:t>משרד</w:t>
      </w:r>
      <w:r w:rsidRPr="00211D07">
        <w:rPr>
          <w:rtl/>
        </w:rPr>
        <w:t xml:space="preserve"> </w:t>
      </w:r>
      <w:r w:rsidRPr="00211D07">
        <w:rPr>
          <w:rFonts w:hint="eastAsia"/>
          <w:rtl/>
        </w:rPr>
        <w:t>הרווחה</w:t>
      </w:r>
      <w:r w:rsidRPr="00211D07">
        <w:rPr>
          <w:rtl/>
        </w:rPr>
        <w:t xml:space="preserve"> </w:t>
      </w:r>
      <w:r w:rsidRPr="00211D07">
        <w:rPr>
          <w:rFonts w:hint="eastAsia"/>
          <w:rtl/>
        </w:rPr>
        <w:t>לוודא</w:t>
      </w:r>
      <w:r w:rsidRPr="00211D07">
        <w:rPr>
          <w:rtl/>
        </w:rPr>
        <w:t xml:space="preserve"> </w:t>
      </w:r>
      <w:r w:rsidRPr="00211D07">
        <w:rPr>
          <w:rFonts w:hint="eastAsia"/>
          <w:rtl/>
        </w:rPr>
        <w:t>כי</w:t>
      </w:r>
      <w:r w:rsidRPr="00211D07">
        <w:rPr>
          <w:rtl/>
        </w:rPr>
        <w:t xml:space="preserve"> </w:t>
      </w:r>
      <w:r w:rsidRPr="00211D07">
        <w:rPr>
          <w:rFonts w:hint="eastAsia"/>
          <w:rtl/>
        </w:rPr>
        <w:t>עו</w:t>
      </w:r>
      <w:r w:rsidRPr="00211D07">
        <w:rPr>
          <w:rtl/>
        </w:rPr>
        <w:t xml:space="preserve">"ס </w:t>
      </w:r>
      <w:r w:rsidRPr="00211D07">
        <w:rPr>
          <w:rFonts w:hint="eastAsia"/>
          <w:rtl/>
        </w:rPr>
        <w:t>המשפחה</w:t>
      </w:r>
      <w:r w:rsidRPr="00211D07">
        <w:rPr>
          <w:rFonts w:hint="cs"/>
          <w:rtl/>
        </w:rPr>
        <w:t xml:space="preserve"> שברשויות המקומיות</w:t>
      </w:r>
      <w:r w:rsidRPr="00211D07">
        <w:rPr>
          <w:rtl/>
        </w:rPr>
        <w:t xml:space="preserve"> </w:t>
      </w:r>
      <w:r w:rsidRPr="00211D07">
        <w:rPr>
          <w:rFonts w:hint="cs"/>
          <w:rtl/>
        </w:rPr>
        <w:t xml:space="preserve">מיישם את הנחיותיו, </w:t>
      </w:r>
      <w:r w:rsidRPr="00211D07">
        <w:rPr>
          <w:rFonts w:hint="eastAsia"/>
          <w:rtl/>
        </w:rPr>
        <w:t>יודע</w:t>
      </w:r>
      <w:r w:rsidRPr="00211D07">
        <w:rPr>
          <w:rtl/>
        </w:rPr>
        <w:t xml:space="preserve"> </w:t>
      </w:r>
      <w:r w:rsidRPr="00211D07">
        <w:rPr>
          <w:rFonts w:hint="eastAsia"/>
          <w:rtl/>
        </w:rPr>
        <w:t>לאתר</w:t>
      </w:r>
      <w:r w:rsidRPr="00211D07">
        <w:rPr>
          <w:rtl/>
        </w:rPr>
        <w:t xml:space="preserve"> </w:t>
      </w:r>
      <w:r w:rsidRPr="00211D07">
        <w:rPr>
          <w:rFonts w:hint="eastAsia"/>
          <w:rtl/>
        </w:rPr>
        <w:t>את</w:t>
      </w:r>
      <w:r w:rsidRPr="00211D07">
        <w:rPr>
          <w:rtl/>
        </w:rPr>
        <w:t xml:space="preserve"> </w:t>
      </w:r>
      <w:r w:rsidRPr="00211D07">
        <w:rPr>
          <w:rFonts w:hint="eastAsia"/>
          <w:rtl/>
        </w:rPr>
        <w:t>המכורים</w:t>
      </w:r>
      <w:r w:rsidRPr="00211D07">
        <w:rPr>
          <w:rtl/>
        </w:rPr>
        <w:t xml:space="preserve"> </w:t>
      </w:r>
      <w:r w:rsidRPr="00211D07">
        <w:rPr>
          <w:rFonts w:hint="cs"/>
          <w:rtl/>
        </w:rPr>
        <w:t>בקרב ה</w:t>
      </w:r>
      <w:r w:rsidRPr="00211D07">
        <w:rPr>
          <w:rFonts w:hint="eastAsia"/>
          <w:rtl/>
        </w:rPr>
        <w:t>משפחות</w:t>
      </w:r>
      <w:r w:rsidRPr="00211D07">
        <w:rPr>
          <w:rtl/>
        </w:rPr>
        <w:t xml:space="preserve"> </w:t>
      </w:r>
      <w:r w:rsidRPr="00211D07">
        <w:rPr>
          <w:rFonts w:hint="eastAsia"/>
          <w:rtl/>
        </w:rPr>
        <w:t>שבטיפולו</w:t>
      </w:r>
      <w:r w:rsidRPr="00211D07">
        <w:rPr>
          <w:rFonts w:hint="cs"/>
          <w:rtl/>
        </w:rPr>
        <w:t xml:space="preserve"> ופועל לשם כך,</w:t>
      </w:r>
      <w:r w:rsidRPr="00211D07">
        <w:rPr>
          <w:rtl/>
        </w:rPr>
        <w:t xml:space="preserve"> </w:t>
      </w:r>
      <w:r w:rsidRPr="00211D07">
        <w:rPr>
          <w:rFonts w:hint="cs"/>
          <w:rtl/>
        </w:rPr>
        <w:t>ובשלב המיון וההערכה נכלל גם איתור של מכורים. כמ</w:t>
      </w:r>
      <w:r w:rsidRPr="00211D07">
        <w:rPr>
          <w:rFonts w:hint="eastAsia"/>
          <w:rtl/>
        </w:rPr>
        <w:t>ו</w:t>
      </w:r>
      <w:r w:rsidRPr="00211D07">
        <w:rPr>
          <w:rFonts w:hint="cs"/>
          <w:rtl/>
        </w:rPr>
        <w:t xml:space="preserve"> כן עליו לוודא שעו"ס המשפחה מ</w:t>
      </w:r>
      <w:r w:rsidRPr="00211D07">
        <w:rPr>
          <w:rFonts w:hint="eastAsia"/>
          <w:rtl/>
        </w:rPr>
        <w:t>פנה</w:t>
      </w:r>
      <w:r w:rsidRPr="00211D07">
        <w:rPr>
          <w:rtl/>
        </w:rPr>
        <w:t xml:space="preserve"> </w:t>
      </w:r>
      <w:r w:rsidRPr="00211D07">
        <w:rPr>
          <w:rFonts w:hint="eastAsia"/>
          <w:rtl/>
        </w:rPr>
        <w:t>את</w:t>
      </w:r>
      <w:r w:rsidRPr="00211D07">
        <w:rPr>
          <w:rtl/>
        </w:rPr>
        <w:t xml:space="preserve"> </w:t>
      </w:r>
      <w:r w:rsidRPr="00211D07">
        <w:rPr>
          <w:rFonts w:hint="eastAsia"/>
          <w:rtl/>
        </w:rPr>
        <w:t>המכורים</w:t>
      </w:r>
      <w:r w:rsidRPr="00211D07">
        <w:rPr>
          <w:rtl/>
        </w:rPr>
        <w:t xml:space="preserve"> </w:t>
      </w:r>
      <w:r w:rsidRPr="00211D07">
        <w:rPr>
          <w:rFonts w:hint="eastAsia"/>
          <w:rtl/>
        </w:rPr>
        <w:t>לטיפול</w:t>
      </w:r>
      <w:r w:rsidRPr="00211D07">
        <w:rPr>
          <w:rFonts w:hint="cs"/>
          <w:rtl/>
        </w:rPr>
        <w:t>ו</w:t>
      </w:r>
      <w:r w:rsidRPr="00211D07">
        <w:rPr>
          <w:rtl/>
        </w:rPr>
        <w:t xml:space="preserve"> </w:t>
      </w:r>
      <w:r w:rsidRPr="00211D07">
        <w:rPr>
          <w:rFonts w:hint="cs"/>
          <w:rtl/>
        </w:rPr>
        <w:t>של</w:t>
      </w:r>
      <w:r w:rsidRPr="00211D07">
        <w:rPr>
          <w:rtl/>
        </w:rPr>
        <w:t xml:space="preserve"> </w:t>
      </w:r>
      <w:r w:rsidRPr="00211D07">
        <w:rPr>
          <w:rFonts w:hint="eastAsia"/>
          <w:rtl/>
        </w:rPr>
        <w:t>עו</w:t>
      </w:r>
      <w:r w:rsidRPr="00211D07">
        <w:rPr>
          <w:rtl/>
        </w:rPr>
        <w:t xml:space="preserve">"ס </w:t>
      </w:r>
      <w:r w:rsidRPr="00211D07">
        <w:rPr>
          <w:rFonts w:hint="eastAsia"/>
          <w:rtl/>
        </w:rPr>
        <w:t>התמכרויות</w:t>
      </w:r>
      <w:r w:rsidRPr="00211D07">
        <w:rPr>
          <w:rFonts w:hint="cs"/>
          <w:rtl/>
        </w:rPr>
        <w:t xml:space="preserve">, ככל שיש כזה </w:t>
      </w:r>
      <w:r w:rsidRPr="00211D07">
        <w:rPr>
          <w:rFonts w:hint="cs"/>
          <w:rtl/>
        </w:rPr>
        <w:t>במש"ח</w:t>
      </w:r>
      <w:r w:rsidRPr="00211D07">
        <w:rPr>
          <w:rFonts w:hint="cs"/>
          <w:rtl/>
        </w:rPr>
        <w:t xml:space="preserve"> (ראו להלן בפרק</w:t>
      </w:r>
      <w:r w:rsidRPr="00211D07">
        <w:rPr>
          <w:rtl/>
        </w:rPr>
        <w:t xml:space="preserve"> </w:t>
      </w:r>
      <w:r w:rsidRPr="00211D07">
        <w:rPr>
          <w:rFonts w:hint="eastAsia"/>
          <w:rtl/>
        </w:rPr>
        <w:t>על</w:t>
      </w:r>
      <w:r w:rsidRPr="00211D07">
        <w:rPr>
          <w:rFonts w:hint="cs"/>
          <w:rtl/>
        </w:rPr>
        <w:t xml:space="preserve"> </w:t>
      </w:r>
      <w:r w:rsidRPr="00211D07">
        <w:rPr>
          <w:rtl/>
        </w:rPr>
        <w:t>אי-ניצול של תוספת תקציבית שהוקצתה לשירות להתמכרויות</w:t>
      </w:r>
      <w:r w:rsidRPr="00211D07">
        <w:rPr>
          <w:rFonts w:hint="cs"/>
          <w:rtl/>
        </w:rPr>
        <w:t>)</w:t>
      </w:r>
      <w:r w:rsidRPr="00211D07">
        <w:rPr>
          <w:rtl/>
        </w:rPr>
        <w:t>.</w:t>
      </w:r>
    </w:p>
    <w:p w:rsidR="009B6D36" w:rsidRPr="00211D07" w:rsidP="00211D07">
      <w:pPr>
        <w:spacing w:line="240" w:lineRule="exact"/>
        <w:ind w:right="2268"/>
        <w:jc w:val="both"/>
        <w:rPr>
          <w:rFonts w:ascii="Tahoma" w:hAnsi="Tahoma" w:cs="Tahoma"/>
          <w:sz w:val="18"/>
          <w:szCs w:val="18"/>
          <w:rtl/>
        </w:rPr>
      </w:pPr>
    </w:p>
    <w:p w:rsidR="009B6D36" w:rsidP="00211D07">
      <w:pPr>
        <w:pStyle w:val="KOT5"/>
        <w:rPr>
          <w:rtl/>
        </w:rPr>
      </w:pPr>
      <w:r>
        <w:rPr>
          <w:rFonts w:hint="cs"/>
          <w:rtl/>
        </w:rPr>
        <w:t>איתור חלקי על ידי עו"ס התמכרויות</w:t>
      </w:r>
    </w:p>
    <w:p w:rsidR="009B6D36" w:rsidRPr="00211D07" w:rsidP="00211D07">
      <w:pPr>
        <w:spacing w:line="240" w:lineRule="exact"/>
        <w:ind w:right="2268"/>
        <w:jc w:val="both"/>
        <w:rPr>
          <w:rFonts w:ascii="Tahoma" w:hAnsi="Tahoma" w:cs="Tahoma"/>
          <w:sz w:val="18"/>
          <w:szCs w:val="18"/>
          <w:rtl/>
        </w:rPr>
      </w:pPr>
      <w:r w:rsidRPr="00211D07">
        <w:rPr>
          <w:rFonts w:ascii="Tahoma" w:hAnsi="Tahoma" w:cs="Tahoma" w:hint="cs"/>
          <w:sz w:val="18"/>
          <w:szCs w:val="18"/>
          <w:rtl/>
        </w:rPr>
        <w:t xml:space="preserve">עו"ס התמכרויות אמור לטפל במכורים </w:t>
      </w:r>
      <w:r w:rsidRPr="00211D07">
        <w:rPr>
          <w:rFonts w:ascii="Tahoma" w:hAnsi="Tahoma" w:cs="Tahoma" w:hint="eastAsia"/>
          <w:sz w:val="18"/>
          <w:szCs w:val="18"/>
          <w:rtl/>
        </w:rPr>
        <w:t>שהפנה</w:t>
      </w:r>
      <w:r w:rsidRPr="00211D07">
        <w:rPr>
          <w:rFonts w:ascii="Tahoma" w:hAnsi="Tahoma" w:cs="Tahoma"/>
          <w:sz w:val="18"/>
          <w:szCs w:val="18"/>
          <w:rtl/>
        </w:rPr>
        <w:t xml:space="preserve"> אליו עו"ס המשפחה</w:t>
      </w:r>
      <w:r w:rsidRPr="00211D07">
        <w:rPr>
          <w:rFonts w:ascii="Tahoma" w:hAnsi="Tahoma" w:cs="Tahoma" w:hint="cs"/>
          <w:sz w:val="18"/>
          <w:szCs w:val="18"/>
          <w:rtl/>
        </w:rPr>
        <w:t xml:space="preserve"> וגם במכורים אחרים. משרד הרווחה הנחה את עו"ס ההתמכרויות לאתר מכורים באמצעות "מפגשים ושיחות... בכל מקום [בו הם עשויים להימצא]". כלי חיוני שבו </w:t>
      </w:r>
      <w:r w:rsidRPr="00211D07">
        <w:rPr>
          <w:rFonts w:ascii="Tahoma" w:hAnsi="Tahoma" w:cs="Tahoma" w:hint="eastAsia"/>
          <w:sz w:val="18"/>
          <w:szCs w:val="18"/>
          <w:rtl/>
        </w:rPr>
        <w:t>ניתן</w:t>
      </w:r>
      <w:r w:rsidRPr="00211D07">
        <w:rPr>
          <w:rFonts w:ascii="Tahoma" w:hAnsi="Tahoma" w:cs="Tahoma" w:hint="cs"/>
          <w:sz w:val="18"/>
          <w:szCs w:val="18"/>
          <w:rtl/>
        </w:rPr>
        <w:t xml:space="preserve"> להשתמש הוא מאגר נתוני היסוד של משרד הרווחה; באמצעות המאגר </w:t>
      </w:r>
      <w:r w:rsidRPr="00211D07">
        <w:rPr>
          <w:rFonts w:ascii="Tahoma" w:hAnsi="Tahoma" w:cs="Tahoma" w:hint="eastAsia"/>
          <w:sz w:val="18"/>
          <w:szCs w:val="18"/>
          <w:rtl/>
        </w:rPr>
        <w:t>יכול</w:t>
      </w:r>
      <w:r w:rsidRPr="00211D07">
        <w:rPr>
          <w:rFonts w:ascii="Tahoma" w:hAnsi="Tahoma" w:cs="Tahoma" w:hint="cs"/>
          <w:sz w:val="18"/>
          <w:szCs w:val="18"/>
          <w:rtl/>
        </w:rPr>
        <w:t xml:space="preserve"> עו"ס התמכרויות לזהות מכורים </w:t>
      </w:r>
      <w:r w:rsidRPr="00211D07">
        <w:rPr>
          <w:rFonts w:ascii="Tahoma" w:hAnsi="Tahoma" w:cs="Tahoma" w:hint="eastAsia"/>
          <w:sz w:val="18"/>
          <w:szCs w:val="18"/>
          <w:rtl/>
        </w:rPr>
        <w:t>שה</w:t>
      </w:r>
      <w:r w:rsidRPr="00211D07">
        <w:rPr>
          <w:rFonts w:ascii="Tahoma" w:hAnsi="Tahoma" w:cs="Tahoma"/>
          <w:sz w:val="18"/>
          <w:szCs w:val="18"/>
          <w:rtl/>
        </w:rPr>
        <w:t>מש"ח</w:t>
      </w:r>
      <w:r w:rsidRPr="00211D07">
        <w:rPr>
          <w:rFonts w:ascii="Tahoma" w:hAnsi="Tahoma" w:cs="Tahoma"/>
          <w:sz w:val="18"/>
          <w:szCs w:val="18"/>
          <w:rtl/>
        </w:rPr>
        <w:t xml:space="preserve"> </w:t>
      </w:r>
      <w:r w:rsidRPr="00211D07">
        <w:rPr>
          <w:rFonts w:ascii="Tahoma" w:hAnsi="Tahoma" w:cs="Tahoma" w:hint="eastAsia"/>
          <w:sz w:val="18"/>
          <w:szCs w:val="18"/>
          <w:rtl/>
        </w:rPr>
        <w:t>כבר</w:t>
      </w:r>
      <w:r w:rsidRPr="00211D07">
        <w:rPr>
          <w:rFonts w:ascii="Tahoma" w:hAnsi="Tahoma" w:cs="Tahoma"/>
          <w:sz w:val="18"/>
          <w:szCs w:val="18"/>
          <w:rtl/>
        </w:rPr>
        <w:t xml:space="preserve"> </w:t>
      </w:r>
      <w:r w:rsidRPr="00211D07">
        <w:rPr>
          <w:rFonts w:ascii="Tahoma" w:hAnsi="Tahoma" w:cs="Tahoma" w:hint="eastAsia"/>
          <w:sz w:val="18"/>
          <w:szCs w:val="18"/>
          <w:rtl/>
        </w:rPr>
        <w:t>איתרו</w:t>
      </w:r>
      <w:r w:rsidRPr="00211D07">
        <w:rPr>
          <w:rFonts w:ascii="Tahoma" w:hAnsi="Tahoma" w:cs="Tahoma" w:hint="cs"/>
          <w:sz w:val="18"/>
          <w:szCs w:val="18"/>
          <w:rtl/>
        </w:rPr>
        <w:t xml:space="preserve">, </w:t>
      </w:r>
      <w:r w:rsidRPr="00211D07">
        <w:rPr>
          <w:rFonts w:ascii="Tahoma" w:hAnsi="Tahoma" w:cs="Tahoma"/>
          <w:sz w:val="18"/>
          <w:szCs w:val="18"/>
          <w:rtl/>
        </w:rPr>
        <w:t xml:space="preserve">אך לא </w:t>
      </w:r>
      <w:r w:rsidRPr="00211D07">
        <w:rPr>
          <w:rFonts w:ascii="Tahoma" w:hAnsi="Tahoma" w:cs="Tahoma" w:hint="eastAsia"/>
          <w:sz w:val="18"/>
          <w:szCs w:val="18"/>
          <w:rtl/>
        </w:rPr>
        <w:t>הפנו</w:t>
      </w:r>
      <w:r w:rsidRPr="00211D07">
        <w:rPr>
          <w:rFonts w:ascii="Tahoma" w:hAnsi="Tahoma" w:cs="Tahoma" w:hint="cs"/>
          <w:sz w:val="18"/>
          <w:szCs w:val="18"/>
          <w:rtl/>
        </w:rPr>
        <w:t xml:space="preserve"> אותם להמשך טיפול של עו"ס התמכרויות. </w:t>
      </w:r>
    </w:p>
    <w:p w:rsidR="009B6D36" w:rsidRPr="00211D07" w:rsidP="00211D07">
      <w:pPr>
        <w:spacing w:after="240" w:line="240" w:lineRule="exact"/>
        <w:ind w:left="-1" w:right="2268"/>
        <w:jc w:val="both"/>
        <w:rPr>
          <w:rFonts w:ascii="Tahoma" w:hAnsi="Tahoma" w:cs="Tahoma"/>
          <w:sz w:val="18"/>
          <w:szCs w:val="18"/>
          <w:rtl/>
        </w:rPr>
      </w:pPr>
      <w:r w:rsidRPr="00211D07">
        <w:rPr>
          <w:rFonts w:ascii="Tahoma" w:hAnsi="Tahoma" w:cs="Tahoma"/>
          <w:sz w:val="18"/>
          <w:szCs w:val="18"/>
          <w:rtl/>
        </w:rPr>
        <w:t>לפי השירות להתמכרויות</w:t>
      </w:r>
      <w:r w:rsidRPr="00211D07">
        <w:rPr>
          <w:rFonts w:ascii="Tahoma" w:hAnsi="Tahoma" w:cs="Tahoma" w:hint="cs"/>
          <w:sz w:val="18"/>
          <w:szCs w:val="18"/>
          <w:rtl/>
        </w:rPr>
        <w:t xml:space="preserve"> במרץ 2018 היו רשומים במאגר נתוני היסוד </w:t>
      </w:r>
      <w:r w:rsidRPr="00211D07">
        <w:rPr>
          <w:rFonts w:ascii="Tahoma" w:hAnsi="Tahoma" w:cs="Tahoma"/>
          <w:sz w:val="18"/>
          <w:szCs w:val="18"/>
          <w:rtl/>
        </w:rPr>
        <w:t xml:space="preserve">כ-21,000 מטופלים פעילים </w:t>
      </w:r>
      <w:r w:rsidRPr="00211D07">
        <w:rPr>
          <w:rFonts w:ascii="Tahoma" w:hAnsi="Tahoma" w:cs="Tahoma" w:hint="cs"/>
          <w:sz w:val="18"/>
          <w:szCs w:val="18"/>
          <w:rtl/>
        </w:rPr>
        <w:t>ש</w:t>
      </w:r>
      <w:r w:rsidRPr="00211D07">
        <w:rPr>
          <w:rFonts w:ascii="Tahoma" w:hAnsi="Tahoma" w:cs="Tahoma"/>
          <w:sz w:val="18"/>
          <w:szCs w:val="18"/>
          <w:rtl/>
        </w:rPr>
        <w:t>נזקקות</w:t>
      </w:r>
      <w:r w:rsidRPr="00211D07">
        <w:rPr>
          <w:rFonts w:ascii="Tahoma" w:hAnsi="Tahoma" w:cs="Tahoma" w:hint="cs"/>
          <w:sz w:val="18"/>
          <w:szCs w:val="18"/>
          <w:rtl/>
        </w:rPr>
        <w:t>ם</w:t>
      </w:r>
      <w:r w:rsidRPr="00211D07">
        <w:rPr>
          <w:rFonts w:ascii="Tahoma" w:hAnsi="Tahoma" w:cs="Tahoma"/>
          <w:sz w:val="18"/>
          <w:szCs w:val="18"/>
          <w:rtl/>
        </w:rPr>
        <w:t xml:space="preserve"> </w:t>
      </w:r>
      <w:r w:rsidRPr="00211D07">
        <w:rPr>
          <w:rFonts w:ascii="Tahoma" w:hAnsi="Tahoma" w:cs="Tahoma" w:hint="cs"/>
          <w:sz w:val="18"/>
          <w:szCs w:val="18"/>
          <w:rtl/>
        </w:rPr>
        <w:t>זוהתה כ</w:t>
      </w:r>
      <w:r w:rsidRPr="00211D07">
        <w:rPr>
          <w:rFonts w:ascii="Tahoma" w:hAnsi="Tahoma" w:cs="Tahoma"/>
          <w:sz w:val="18"/>
          <w:szCs w:val="18"/>
          <w:rtl/>
        </w:rPr>
        <w:t>התמכרות</w:t>
      </w:r>
      <w:r w:rsidRPr="00211D07">
        <w:rPr>
          <w:rFonts w:ascii="Tahoma" w:hAnsi="Tahoma" w:cs="Tahoma" w:hint="cs"/>
          <w:sz w:val="18"/>
          <w:szCs w:val="18"/>
          <w:rtl/>
        </w:rPr>
        <w:t>, אף שב</w:t>
      </w:r>
      <w:r w:rsidRPr="00211D07">
        <w:rPr>
          <w:rFonts w:ascii="Tahoma" w:hAnsi="Tahoma" w:cs="Tahoma"/>
          <w:sz w:val="18"/>
          <w:szCs w:val="18"/>
          <w:rtl/>
        </w:rPr>
        <w:t xml:space="preserve">ינואר 2018 טופלו במסגרות </w:t>
      </w:r>
      <w:r w:rsidRPr="00211D07">
        <w:rPr>
          <w:rFonts w:ascii="Tahoma" w:hAnsi="Tahoma" w:cs="Tahoma" w:hint="cs"/>
          <w:sz w:val="18"/>
          <w:szCs w:val="18"/>
          <w:rtl/>
        </w:rPr>
        <w:t>ש</w:t>
      </w:r>
      <w:r w:rsidRPr="00211D07">
        <w:rPr>
          <w:rFonts w:ascii="Tahoma" w:hAnsi="Tahoma" w:cs="Tahoma"/>
          <w:sz w:val="18"/>
          <w:szCs w:val="18"/>
          <w:rtl/>
        </w:rPr>
        <w:t xml:space="preserve">במימון השירות </w:t>
      </w:r>
      <w:r w:rsidRPr="00211D07">
        <w:rPr>
          <w:rFonts w:ascii="Tahoma" w:hAnsi="Tahoma" w:cs="Tahoma" w:hint="cs"/>
          <w:sz w:val="18"/>
          <w:szCs w:val="18"/>
          <w:rtl/>
        </w:rPr>
        <w:t xml:space="preserve">רק </w:t>
      </w:r>
      <w:r w:rsidRPr="00211D07">
        <w:rPr>
          <w:rFonts w:ascii="Tahoma" w:hAnsi="Tahoma" w:cs="Tahoma"/>
          <w:sz w:val="18"/>
          <w:szCs w:val="18"/>
          <w:rtl/>
        </w:rPr>
        <w:t>כ-15,000 מכורים.</w:t>
      </w:r>
      <w:r w:rsidRPr="00211D07">
        <w:rPr>
          <w:rFonts w:ascii="Tahoma" w:hAnsi="Tahoma" w:cs="Tahoma" w:hint="cs"/>
          <w:sz w:val="18"/>
          <w:szCs w:val="18"/>
          <w:rtl/>
        </w:rPr>
        <w:t xml:space="preserve"> </w:t>
      </w:r>
      <w:r w:rsidRPr="00211D07">
        <w:rPr>
          <w:rFonts w:ascii="Tahoma" w:hAnsi="Tahoma" w:cs="Tahoma"/>
          <w:sz w:val="18"/>
          <w:szCs w:val="18"/>
          <w:rtl/>
        </w:rPr>
        <w:t xml:space="preserve">מכאן שבתחילת שנת 2018 </w:t>
      </w:r>
      <w:r w:rsidRPr="00211D07">
        <w:rPr>
          <w:rFonts w:ascii="Tahoma" w:hAnsi="Tahoma" w:cs="Tahoma" w:hint="cs"/>
          <w:sz w:val="18"/>
          <w:szCs w:val="18"/>
          <w:rtl/>
        </w:rPr>
        <w:t>עו"ס ההתמכרויות</w:t>
      </w:r>
      <w:r w:rsidRPr="00211D07">
        <w:rPr>
          <w:rFonts w:ascii="Tahoma" w:hAnsi="Tahoma" w:cs="Tahoma"/>
          <w:sz w:val="18"/>
          <w:szCs w:val="18"/>
          <w:rtl/>
        </w:rPr>
        <w:t xml:space="preserve"> </w:t>
      </w:r>
      <w:r w:rsidRPr="00211D07">
        <w:rPr>
          <w:rFonts w:ascii="Tahoma" w:hAnsi="Tahoma" w:cs="Tahoma" w:hint="cs"/>
          <w:sz w:val="18"/>
          <w:szCs w:val="18"/>
          <w:rtl/>
        </w:rPr>
        <w:t>לא היו מעורבים בטיפול ב</w:t>
      </w:r>
      <w:r w:rsidRPr="00211D07">
        <w:rPr>
          <w:rFonts w:ascii="Tahoma" w:hAnsi="Tahoma" w:cs="Tahoma"/>
          <w:sz w:val="18"/>
          <w:szCs w:val="18"/>
          <w:rtl/>
        </w:rPr>
        <w:t xml:space="preserve">כ-6,000 נזקקים </w:t>
      </w:r>
      <w:r w:rsidRPr="00211D07">
        <w:rPr>
          <w:rFonts w:ascii="Tahoma" w:hAnsi="Tahoma" w:cs="Tahoma" w:hint="cs"/>
          <w:sz w:val="18"/>
          <w:szCs w:val="18"/>
          <w:rtl/>
        </w:rPr>
        <w:t>ש</w:t>
      </w:r>
      <w:r w:rsidRPr="00211D07">
        <w:rPr>
          <w:rFonts w:ascii="Tahoma" w:hAnsi="Tahoma" w:cs="Tahoma"/>
          <w:sz w:val="18"/>
          <w:szCs w:val="18"/>
          <w:rtl/>
        </w:rPr>
        <w:t xml:space="preserve">נתוניהם היו זמינים </w:t>
      </w:r>
      <w:r w:rsidRPr="00211D07">
        <w:rPr>
          <w:rFonts w:ascii="Tahoma" w:hAnsi="Tahoma" w:cs="Tahoma" w:hint="cs"/>
          <w:sz w:val="18"/>
          <w:szCs w:val="18"/>
          <w:rtl/>
        </w:rPr>
        <w:t>להם</w:t>
      </w:r>
      <w:r w:rsidRPr="00211D07">
        <w:rPr>
          <w:rFonts w:ascii="Tahoma" w:hAnsi="Tahoma" w:cs="Tahoma"/>
          <w:sz w:val="18"/>
          <w:szCs w:val="18"/>
          <w:rtl/>
        </w:rPr>
        <w:t xml:space="preserve"> </w:t>
      </w:r>
      <w:r w:rsidRPr="00211D07">
        <w:rPr>
          <w:rFonts w:ascii="Tahoma" w:hAnsi="Tahoma" w:cs="Tahoma" w:hint="cs"/>
          <w:sz w:val="18"/>
          <w:szCs w:val="18"/>
          <w:rtl/>
        </w:rPr>
        <w:t>ו</w:t>
      </w:r>
      <w:r w:rsidRPr="00211D07">
        <w:rPr>
          <w:rFonts w:ascii="Tahoma" w:hAnsi="Tahoma" w:cs="Tahoma"/>
          <w:sz w:val="18"/>
          <w:szCs w:val="18"/>
          <w:rtl/>
        </w:rPr>
        <w:t xml:space="preserve">הוכרו </w:t>
      </w:r>
      <w:r w:rsidRPr="00211D07">
        <w:rPr>
          <w:rFonts w:ascii="Tahoma" w:hAnsi="Tahoma" w:cs="Tahoma"/>
          <w:sz w:val="18"/>
          <w:szCs w:val="18"/>
          <w:rtl/>
        </w:rPr>
        <w:t>במש"ח</w:t>
      </w:r>
      <w:r w:rsidRPr="00211D07">
        <w:rPr>
          <w:rFonts w:ascii="Tahoma" w:hAnsi="Tahoma" w:cs="Tahoma"/>
          <w:sz w:val="18"/>
          <w:szCs w:val="18"/>
          <w:rtl/>
        </w:rPr>
        <w:t xml:space="preserve"> </w:t>
      </w:r>
      <w:r w:rsidRPr="00211D07">
        <w:rPr>
          <w:rFonts w:ascii="Tahoma" w:hAnsi="Tahoma" w:cs="Tahoma" w:hint="cs"/>
          <w:sz w:val="18"/>
          <w:szCs w:val="18"/>
          <w:rtl/>
        </w:rPr>
        <w:t>כבעלי</w:t>
      </w:r>
      <w:r w:rsidRPr="00211D07">
        <w:rPr>
          <w:rFonts w:ascii="Tahoma" w:hAnsi="Tahoma" w:cs="Tahoma"/>
          <w:sz w:val="18"/>
          <w:szCs w:val="18"/>
          <w:rtl/>
        </w:rPr>
        <w:t xml:space="preserve"> בעיית התמכרות</w:t>
      </w:r>
      <w:r w:rsidRPr="00211D07">
        <w:rPr>
          <w:rFonts w:ascii="Tahoma" w:hAnsi="Tahoma" w:cs="Tahoma" w:hint="cs"/>
          <w:sz w:val="18"/>
          <w:szCs w:val="18"/>
          <w:rtl/>
        </w:rPr>
        <w:t>.</w:t>
      </w:r>
    </w:p>
    <w:p w:rsidR="009B6D36" w:rsidRPr="00211D07" w:rsidP="00211D07">
      <w:pPr>
        <w:pStyle w:val="RESHET"/>
        <w:rPr>
          <w:rtl/>
        </w:rPr>
      </w:pPr>
      <w:r w:rsidRPr="00211D07">
        <w:rPr>
          <w:rFonts w:hint="cs"/>
          <w:rtl/>
        </w:rPr>
        <w:t xml:space="preserve">בביקורת עלה כי השירות להתמכרויות לא הנחה את עו"ס ההתמכרויות לאתר ביוזמתם במאגר הנתונים של משרד הרווחה את הנזקקים שאותרו כמכורים </w:t>
      </w:r>
      <w:r w:rsidRPr="00211D07">
        <w:rPr>
          <w:rFonts w:hint="cs"/>
          <w:rtl/>
        </w:rPr>
        <w:t>במש"ח</w:t>
      </w:r>
      <w:r w:rsidRPr="00211D07">
        <w:rPr>
          <w:rFonts w:hint="cs"/>
          <w:rtl/>
        </w:rPr>
        <w:t xml:space="preserve">, ולברר את הסיבה לכך שאינם מקבלים טיפול בהתמכרותם. במצב זה עלולים להיפגע המכור שאינו מקבל טיפול מתאים, וגם משפחתו </w:t>
      </w:r>
      <w:r w:rsidRPr="00211D07">
        <w:rPr>
          <w:rFonts w:hint="cs"/>
          <w:rtl/>
        </w:rPr>
        <w:t>שאיתה</w:t>
      </w:r>
      <w:r w:rsidRPr="00211D07">
        <w:rPr>
          <w:rFonts w:hint="cs"/>
          <w:rtl/>
        </w:rPr>
        <w:t xml:space="preserve"> הוא גר.</w:t>
      </w:r>
    </w:p>
    <w:p w:rsidR="009B6D36" w:rsidRPr="00211D07" w:rsidP="00211D07">
      <w:pPr>
        <w:spacing w:line="240" w:lineRule="exact"/>
        <w:ind w:right="2268"/>
        <w:jc w:val="both"/>
        <w:rPr>
          <w:rFonts w:ascii="Tahoma" w:hAnsi="Tahoma" w:cs="Tahoma"/>
          <w:sz w:val="18"/>
          <w:szCs w:val="18"/>
          <w:rtl/>
        </w:rPr>
      </w:pPr>
    </w:p>
    <w:p w:rsidR="009B6D36" w:rsidRPr="00026AE4" w:rsidP="00211D07">
      <w:pPr>
        <w:pStyle w:val="KOT5"/>
        <w:rPr>
          <w:rtl/>
        </w:rPr>
      </w:pPr>
      <w:r w:rsidRPr="00026AE4">
        <w:rPr>
          <w:rFonts w:hint="cs"/>
          <w:rtl/>
        </w:rPr>
        <w:t xml:space="preserve">אי-הסדרת התיאום בין עו"ס המשפחה לעו"ס התמכרויות </w:t>
      </w:r>
    </w:p>
    <w:p w:rsidR="009B6D36" w:rsidRPr="00211D07" w:rsidP="00211D07">
      <w:pPr>
        <w:pStyle w:val="RESHET"/>
        <w:rPr>
          <w:rtl/>
        </w:rPr>
      </w:pPr>
      <w:r w:rsidRPr="00211D07">
        <w:rPr>
          <w:rFonts w:hint="cs"/>
          <w:rtl/>
        </w:rPr>
        <w:t xml:space="preserve">לא פעם עשויים שני הגורמים - עו"ס המשפחה ועו"ס ההתמכרויות, להיות מעורבים בו זמנית בטיפול במכורים, כל אחד בתחום אחריותו, ואולם בביקורת עלה כי אופן התיאום ביניהם לא הוסדר. </w:t>
      </w:r>
    </w:p>
    <w:p w:rsidR="009B6D36" w:rsidRPr="00211D07" w:rsidP="00211D07">
      <w:pPr>
        <w:pStyle w:val="RESHET"/>
        <w:rPr>
          <w:rtl/>
        </w:rPr>
      </w:pPr>
      <w:r w:rsidRPr="00211D07">
        <w:rPr>
          <w:rFonts w:hint="cs"/>
          <w:rtl/>
        </w:rPr>
        <w:t xml:space="preserve">בקשר לכך אמר מנהל </w:t>
      </w:r>
      <w:r w:rsidRPr="00211D07">
        <w:rPr>
          <w:rtl/>
        </w:rPr>
        <w:t>השירות להתמכרויות</w:t>
      </w:r>
      <w:r w:rsidRPr="00211D07">
        <w:rPr>
          <w:rFonts w:hint="cs"/>
          <w:rtl/>
        </w:rPr>
        <w:t xml:space="preserve"> במהלך הביקורת למשרד מבקר המדינה כי </w:t>
      </w:r>
      <w:r w:rsidRPr="00211D07">
        <w:rPr>
          <w:rtl/>
        </w:rPr>
        <w:t>יש</w:t>
      </w:r>
      <w:r w:rsidRPr="00211D07">
        <w:rPr>
          <w:rFonts w:hint="cs"/>
          <w:rtl/>
        </w:rPr>
        <w:t>נן</w:t>
      </w:r>
      <w:r w:rsidRPr="00211D07">
        <w:rPr>
          <w:rtl/>
        </w:rPr>
        <w:t xml:space="preserve"> רשויות מקומיות </w:t>
      </w:r>
      <w:r w:rsidRPr="00211D07">
        <w:rPr>
          <w:rFonts w:hint="cs"/>
          <w:rtl/>
        </w:rPr>
        <w:t>ש</w:t>
      </w:r>
      <w:r w:rsidRPr="00211D07">
        <w:rPr>
          <w:rtl/>
        </w:rPr>
        <w:t xml:space="preserve">בהן שיתוף </w:t>
      </w:r>
      <w:r w:rsidRPr="00211D07">
        <w:rPr>
          <w:rFonts w:hint="cs"/>
          <w:rtl/>
        </w:rPr>
        <w:t>ה</w:t>
      </w:r>
      <w:r w:rsidRPr="00211D07">
        <w:rPr>
          <w:rtl/>
        </w:rPr>
        <w:t>פעולה</w:t>
      </w:r>
      <w:r w:rsidRPr="00211D07">
        <w:rPr>
          <w:rFonts w:hint="cs"/>
          <w:rtl/>
        </w:rPr>
        <w:t xml:space="preserve"> בין עו"ס המשפחה לעו"ס התמכרויות</w:t>
      </w:r>
      <w:r w:rsidRPr="00211D07">
        <w:rPr>
          <w:rtl/>
        </w:rPr>
        <w:t xml:space="preserve"> הוא </w:t>
      </w:r>
      <w:r w:rsidRPr="00211D07">
        <w:rPr>
          <w:rFonts w:hint="cs"/>
          <w:rtl/>
        </w:rPr>
        <w:t>חלקי. ראש</w:t>
      </w:r>
      <w:r w:rsidRPr="00211D07">
        <w:rPr>
          <w:rtl/>
        </w:rPr>
        <w:t xml:space="preserve"> </w:t>
      </w:r>
      <w:r w:rsidRPr="00211D07">
        <w:rPr>
          <w:rtl/>
        </w:rPr>
        <w:t>מינהל</w:t>
      </w:r>
      <w:r w:rsidRPr="00211D07">
        <w:rPr>
          <w:rtl/>
        </w:rPr>
        <w:t xml:space="preserve"> שירותים אישיים וחברתיים במשרד הרווחה</w:t>
      </w:r>
      <w:r w:rsidRPr="00211D07">
        <w:rPr>
          <w:rFonts w:hint="cs"/>
          <w:rtl/>
        </w:rPr>
        <w:t xml:space="preserve"> אמרה במהלך הביקורת למשרד מבקר המדינה כי בכמה מהרשויות המקומיות לא מועבר מידע בנוגע למכורים מעו"ס המשפחה לעו"ס ההתמכרויות</w:t>
      </w:r>
      <w:r w:rsidRPr="00211D07">
        <w:rPr>
          <w:rtl/>
        </w:rPr>
        <w:t>.</w:t>
      </w:r>
      <w:r w:rsidRPr="00211D07">
        <w:rPr>
          <w:rFonts w:hint="cs"/>
          <w:rtl/>
        </w:rPr>
        <w:t xml:space="preserve"> </w:t>
      </w:r>
    </w:p>
    <w:p w:rsidR="009B6D36" w:rsidRPr="00211D07" w:rsidP="00211D07">
      <w:pPr>
        <w:spacing w:before="180" w:after="240" w:line="240" w:lineRule="exact"/>
        <w:ind w:left="-1" w:right="2268"/>
        <w:jc w:val="both"/>
        <w:rPr>
          <w:rFonts w:ascii="Tahoma" w:hAnsi="Tahoma" w:cs="Tahoma"/>
          <w:sz w:val="18"/>
          <w:szCs w:val="18"/>
          <w:rtl/>
        </w:rPr>
      </w:pPr>
      <w:r w:rsidRPr="00211D07">
        <w:rPr>
          <w:rFonts w:ascii="Tahoma" w:hAnsi="Tahoma" w:cs="Tahoma" w:hint="cs"/>
          <w:sz w:val="18"/>
          <w:szCs w:val="18"/>
          <w:rtl/>
        </w:rPr>
        <w:t xml:space="preserve">הדרך להסדרת התיאום בין עו"ס המשפחה לעו"ס ההתמכרויות היא באמצעות הנחיות שיקבע משרד הרווחה, למשל בהוראות </w:t>
      </w:r>
      <w:r w:rsidRPr="00211D07">
        <w:rPr>
          <w:rFonts w:ascii="Tahoma" w:hAnsi="Tahoma" w:cs="Tahoma" w:hint="cs"/>
          <w:sz w:val="18"/>
          <w:szCs w:val="18"/>
          <w:rtl/>
        </w:rPr>
        <w:t>תע"ס</w:t>
      </w:r>
      <w:r w:rsidRPr="00211D07">
        <w:rPr>
          <w:rFonts w:ascii="Tahoma" w:hAnsi="Tahoma" w:cs="Tahoma" w:hint="cs"/>
          <w:sz w:val="18"/>
          <w:szCs w:val="18"/>
          <w:rtl/>
        </w:rPr>
        <w:t xml:space="preserve">. במהלך קידום רפורמה בשירותים החברתיים שמוביל משרד הרווחה, נקבע עוד בשנת 2011 כי יש צורך למסד את מתכונת ההסדרה של יחסי הגומלין שבין עו"ס המשפחה לעו"ס הייעודיים בהוראות </w:t>
      </w:r>
      <w:r w:rsidRPr="00211D07">
        <w:rPr>
          <w:rFonts w:ascii="Tahoma" w:hAnsi="Tahoma" w:cs="Tahoma" w:hint="cs"/>
          <w:sz w:val="18"/>
          <w:szCs w:val="18"/>
          <w:rtl/>
        </w:rPr>
        <w:t>תע"ס</w:t>
      </w:r>
      <w:r w:rsidRPr="00211D07">
        <w:rPr>
          <w:rFonts w:ascii="Tahoma" w:hAnsi="Tahoma" w:cs="Tahoma" w:hint="cs"/>
          <w:sz w:val="18"/>
          <w:szCs w:val="18"/>
          <w:rtl/>
        </w:rPr>
        <w:t xml:space="preserve"> החדשות שיגובשו. יצוין כי </w:t>
      </w:r>
      <w:r w:rsidRPr="00211D07">
        <w:rPr>
          <w:rFonts w:ascii="Tahoma" w:hAnsi="Tahoma" w:cs="Tahoma"/>
          <w:sz w:val="18"/>
          <w:szCs w:val="18"/>
          <w:rtl/>
        </w:rPr>
        <w:t xml:space="preserve">עו"ס ההתמכרויות הוא אחד </w:t>
      </w:r>
      <w:r w:rsidRPr="00211D07">
        <w:rPr>
          <w:rFonts w:ascii="Tahoma" w:hAnsi="Tahoma" w:cs="Tahoma"/>
          <w:sz w:val="18"/>
          <w:szCs w:val="18"/>
          <w:rtl/>
        </w:rPr>
        <w:t>העוסי"ם</w:t>
      </w:r>
      <w:r w:rsidRPr="00211D07">
        <w:rPr>
          <w:rFonts w:ascii="Tahoma" w:hAnsi="Tahoma" w:cs="Tahoma"/>
          <w:sz w:val="18"/>
          <w:szCs w:val="18"/>
          <w:rtl/>
        </w:rPr>
        <w:t xml:space="preserve"> הייעודיים</w:t>
      </w:r>
      <w:r w:rsidRPr="00211D07">
        <w:rPr>
          <w:rFonts w:ascii="Tahoma" w:hAnsi="Tahoma" w:cs="Tahoma" w:hint="cs"/>
          <w:sz w:val="18"/>
          <w:szCs w:val="18"/>
          <w:rtl/>
        </w:rPr>
        <w:t>.</w:t>
      </w:r>
    </w:p>
    <w:p w:rsidR="009B6D36" w:rsidRPr="00211D07" w:rsidP="00211D07">
      <w:pPr>
        <w:pStyle w:val="RESHET"/>
        <w:rPr>
          <w:rtl/>
        </w:rPr>
      </w:pPr>
      <w:r w:rsidRPr="00211D07">
        <w:rPr>
          <w:rFonts w:hint="eastAsia"/>
          <w:rtl/>
        </w:rPr>
        <w:t>בביקורת</w:t>
      </w:r>
      <w:r w:rsidRPr="00211D07">
        <w:rPr>
          <w:rtl/>
        </w:rPr>
        <w:t xml:space="preserve"> עלה כי השירות להתמכרויות ומנהלת הרפורמה </w:t>
      </w:r>
      <w:r w:rsidRPr="00211D07">
        <w:rPr>
          <w:rFonts w:hint="eastAsia"/>
          <w:rtl/>
        </w:rPr>
        <w:t>בשירותים</w:t>
      </w:r>
      <w:r w:rsidRPr="00211D07">
        <w:rPr>
          <w:rtl/>
        </w:rPr>
        <w:t xml:space="preserve"> </w:t>
      </w:r>
      <w:r w:rsidRPr="00211D07">
        <w:rPr>
          <w:rFonts w:hint="eastAsia"/>
          <w:rtl/>
        </w:rPr>
        <w:t>החברתיים</w:t>
      </w:r>
      <w:r w:rsidRPr="00211D07">
        <w:rPr>
          <w:rtl/>
        </w:rPr>
        <w:t xml:space="preserve"> אכן </w:t>
      </w:r>
      <w:r w:rsidRPr="00211D07">
        <w:rPr>
          <w:rFonts w:hint="eastAsia"/>
          <w:rtl/>
        </w:rPr>
        <w:t>קיימו</w:t>
      </w:r>
      <w:r w:rsidRPr="00211D07">
        <w:rPr>
          <w:rtl/>
        </w:rPr>
        <w:t xml:space="preserve"> </w:t>
      </w:r>
      <w:r w:rsidRPr="00211D07">
        <w:rPr>
          <w:rFonts w:hint="eastAsia"/>
          <w:rtl/>
        </w:rPr>
        <w:t>ביניהם</w:t>
      </w:r>
      <w:r w:rsidRPr="00211D07">
        <w:rPr>
          <w:rtl/>
        </w:rPr>
        <w:t xml:space="preserve"> בשנים האחרונות כמה פ</w:t>
      </w:r>
      <w:r w:rsidRPr="00211D07">
        <w:rPr>
          <w:rFonts w:hint="eastAsia"/>
          <w:rtl/>
        </w:rPr>
        <w:t>גישות</w:t>
      </w:r>
      <w:r w:rsidRPr="00211D07">
        <w:rPr>
          <w:rtl/>
        </w:rPr>
        <w:t xml:space="preserve"> </w:t>
      </w:r>
      <w:r w:rsidRPr="00211D07">
        <w:rPr>
          <w:rFonts w:hint="eastAsia"/>
          <w:rtl/>
        </w:rPr>
        <w:t>בנוגע</w:t>
      </w:r>
      <w:r w:rsidRPr="00211D07">
        <w:rPr>
          <w:rtl/>
        </w:rPr>
        <w:t xml:space="preserve"> </w:t>
      </w:r>
      <w:r w:rsidRPr="00211D07">
        <w:rPr>
          <w:rFonts w:hint="eastAsia"/>
          <w:rtl/>
        </w:rPr>
        <w:t>לטיוטת</w:t>
      </w:r>
      <w:r w:rsidRPr="00211D07">
        <w:rPr>
          <w:rtl/>
        </w:rPr>
        <w:t xml:space="preserve"> </w:t>
      </w:r>
      <w:r w:rsidRPr="00211D07">
        <w:rPr>
          <w:rFonts w:hint="eastAsia"/>
          <w:rtl/>
        </w:rPr>
        <w:t>נוהל</w:t>
      </w:r>
      <w:r w:rsidRPr="00211D07">
        <w:rPr>
          <w:rtl/>
        </w:rPr>
        <w:t xml:space="preserve"> </w:t>
      </w:r>
      <w:r w:rsidRPr="00211D07">
        <w:rPr>
          <w:rFonts w:hint="eastAsia"/>
          <w:rtl/>
        </w:rPr>
        <w:t>לשיתוף</w:t>
      </w:r>
      <w:r w:rsidRPr="00211D07">
        <w:rPr>
          <w:rtl/>
        </w:rPr>
        <w:t xml:space="preserve"> </w:t>
      </w:r>
      <w:r w:rsidRPr="00211D07">
        <w:rPr>
          <w:rFonts w:hint="eastAsia"/>
          <w:rtl/>
        </w:rPr>
        <w:t>פעולה</w:t>
      </w:r>
      <w:r w:rsidRPr="00211D07">
        <w:rPr>
          <w:rtl/>
        </w:rPr>
        <w:t xml:space="preserve"> </w:t>
      </w:r>
      <w:r w:rsidRPr="00211D07">
        <w:rPr>
          <w:rFonts w:hint="eastAsia"/>
          <w:rtl/>
        </w:rPr>
        <w:t>בין</w:t>
      </w:r>
      <w:r w:rsidRPr="00211D07">
        <w:rPr>
          <w:rtl/>
        </w:rPr>
        <w:t xml:space="preserve"> </w:t>
      </w:r>
      <w:r w:rsidRPr="00211D07">
        <w:rPr>
          <w:rFonts w:hint="eastAsia"/>
          <w:rtl/>
        </w:rPr>
        <w:t>עו</w:t>
      </w:r>
      <w:r w:rsidRPr="00211D07">
        <w:rPr>
          <w:rtl/>
        </w:rPr>
        <w:t xml:space="preserve">"ס </w:t>
      </w:r>
      <w:r w:rsidRPr="00211D07">
        <w:rPr>
          <w:rFonts w:hint="eastAsia"/>
          <w:rtl/>
        </w:rPr>
        <w:t>משפחה</w:t>
      </w:r>
      <w:r w:rsidRPr="00211D07">
        <w:rPr>
          <w:rtl/>
        </w:rPr>
        <w:t xml:space="preserve"> </w:t>
      </w:r>
      <w:r w:rsidRPr="00211D07">
        <w:rPr>
          <w:rFonts w:hint="eastAsia"/>
          <w:rtl/>
        </w:rPr>
        <w:t>לעו</w:t>
      </w:r>
      <w:r w:rsidRPr="00211D07">
        <w:rPr>
          <w:rtl/>
        </w:rPr>
        <w:t xml:space="preserve">"ס </w:t>
      </w:r>
      <w:r w:rsidRPr="00211D07">
        <w:rPr>
          <w:rFonts w:hint="eastAsia"/>
          <w:rtl/>
        </w:rPr>
        <w:t>התמכרויות</w:t>
      </w:r>
      <w:r w:rsidRPr="00211D07">
        <w:rPr>
          <w:rtl/>
        </w:rPr>
        <w:t>.</w:t>
      </w:r>
      <w:r w:rsidRPr="00211D07">
        <w:rPr>
          <w:rFonts w:hint="cs"/>
          <w:rtl/>
        </w:rPr>
        <w:t xml:space="preserve"> ואולם הגרסה האחרונה של נוהל שיתוף הפעולה מדצמבר 2017, </w:t>
      </w:r>
      <w:r w:rsidRPr="00211D07">
        <w:rPr>
          <w:rtl/>
        </w:rPr>
        <w:t xml:space="preserve">לא </w:t>
      </w:r>
      <w:r w:rsidRPr="00211D07">
        <w:rPr>
          <w:rFonts w:hint="cs"/>
          <w:rtl/>
        </w:rPr>
        <w:t>קיבלה תוקף כ</w:t>
      </w:r>
      <w:r w:rsidRPr="00211D07">
        <w:rPr>
          <w:rtl/>
        </w:rPr>
        <w:t xml:space="preserve">מסמך מנחה </w:t>
      </w:r>
      <w:r w:rsidRPr="00211D07">
        <w:rPr>
          <w:rFonts w:hint="cs"/>
          <w:rtl/>
        </w:rPr>
        <w:t xml:space="preserve">לשיתוף הפעולה הנדרש בין </w:t>
      </w:r>
      <w:r w:rsidRPr="00211D07">
        <w:rPr>
          <w:rtl/>
        </w:rPr>
        <w:t xml:space="preserve">עו"ס המשפחה </w:t>
      </w:r>
      <w:r w:rsidRPr="00211D07">
        <w:rPr>
          <w:rFonts w:hint="cs"/>
          <w:rtl/>
        </w:rPr>
        <w:t xml:space="preserve">ועו"ס ההתמכרויות ומשרד הרווחה לא קבע </w:t>
      </w:r>
      <w:r w:rsidRPr="00211D07">
        <w:rPr>
          <w:rFonts w:hint="cs"/>
          <w:rtl/>
        </w:rPr>
        <w:t>תע"ס</w:t>
      </w:r>
      <w:r w:rsidRPr="00211D07">
        <w:rPr>
          <w:rFonts w:hint="cs"/>
          <w:rtl/>
        </w:rPr>
        <w:t xml:space="preserve"> בעניין.</w:t>
      </w:r>
    </w:p>
    <w:p w:rsidR="00211D07" w:rsidRPr="00D43E82" w:rsidP="00211D07">
      <w:pPr>
        <w:spacing w:before="240" w:after="240" w:line="240" w:lineRule="atLeast"/>
        <w:ind w:right="2268"/>
        <w:jc w:val="center"/>
        <w:rPr>
          <w:sz w:val="32"/>
          <w:szCs w:val="32"/>
          <w:rtl/>
        </w:rPr>
      </w:pPr>
      <w:r w:rsidRPr="00D43E82">
        <w:rPr>
          <w:rFonts w:ascii="Wingdings 2" w:hAnsi="Wingdings 2"/>
          <w:sz w:val="32"/>
          <w:szCs w:val="32"/>
        </w:rPr>
        <w:sym w:font="Wingdings 2" w:char="F0F3"/>
      </w:r>
    </w:p>
    <w:p w:rsidR="009B6D36" w:rsidRPr="00211D07" w:rsidP="00335CD4">
      <w:pPr>
        <w:pStyle w:val="RESHET"/>
        <w:rPr>
          <w:rtl/>
        </w:rPr>
      </w:pPr>
      <w:r w:rsidRPr="00211D07">
        <w:rPr>
          <w:rFonts w:hint="cs"/>
          <w:rtl/>
        </w:rPr>
        <w:t xml:space="preserve">מכל האמור עולה, כי </w:t>
      </w:r>
      <w:r w:rsidRPr="00211D07">
        <w:rPr>
          <w:rtl/>
        </w:rPr>
        <w:t xml:space="preserve">אף שרבים מהמכורים גרים עם משפחתם </w:t>
      </w:r>
      <w:r w:rsidRPr="00211D07">
        <w:rPr>
          <w:rFonts w:hint="cs"/>
          <w:rtl/>
        </w:rPr>
        <w:t>ו</w:t>
      </w:r>
      <w:r w:rsidRPr="00211D07">
        <w:rPr>
          <w:rtl/>
        </w:rPr>
        <w:t>ידוע שהמשפחה היא גורם חשוב בהנעת המכור לקבל טיפול</w:t>
      </w:r>
      <w:r w:rsidRPr="00211D07">
        <w:rPr>
          <w:rFonts w:hint="cs"/>
          <w:rtl/>
        </w:rPr>
        <w:t xml:space="preserve"> -</w:t>
      </w:r>
      <w:r w:rsidRPr="00211D07">
        <w:rPr>
          <w:rtl/>
        </w:rPr>
        <w:t xml:space="preserve"> משרד הרווחה לא עשה די כדי לאתר את המכורים </w:t>
      </w:r>
      <w:r w:rsidRPr="00211D07">
        <w:rPr>
          <w:rFonts w:hint="cs"/>
          <w:rtl/>
        </w:rPr>
        <w:t>ב</w:t>
      </w:r>
      <w:r w:rsidRPr="00211D07">
        <w:rPr>
          <w:rtl/>
        </w:rPr>
        <w:t xml:space="preserve">קרב המשפחות המטופלות </w:t>
      </w:r>
      <w:r w:rsidRPr="00211D07">
        <w:rPr>
          <w:rtl/>
        </w:rPr>
        <w:t>במש"ח</w:t>
      </w:r>
      <w:r w:rsidRPr="00211D07">
        <w:rPr>
          <w:rtl/>
        </w:rPr>
        <w:t xml:space="preserve"> </w:t>
      </w:r>
      <w:r w:rsidRPr="00211D07">
        <w:rPr>
          <w:rFonts w:hint="cs"/>
          <w:rtl/>
        </w:rPr>
        <w:t>ו</w:t>
      </w:r>
      <w:r w:rsidRPr="00211D07">
        <w:rPr>
          <w:rtl/>
        </w:rPr>
        <w:t>למסד את שיתוף הפעולה בין עו"ס המשפחה</w:t>
      </w:r>
      <w:r w:rsidRPr="00211D07">
        <w:rPr>
          <w:rFonts w:hint="cs"/>
          <w:rtl/>
        </w:rPr>
        <w:t xml:space="preserve"> ל</w:t>
      </w:r>
      <w:r w:rsidRPr="00211D07">
        <w:rPr>
          <w:rtl/>
        </w:rPr>
        <w:t>עו"ס ההתמכרויות.</w:t>
      </w:r>
      <w:r w:rsidRPr="00290C9B" w:rsidR="00290C9B">
        <w:rPr>
          <w:noProof/>
          <w:szCs w:val="17"/>
          <w:rtl/>
        </w:rPr>
        <w:t xml:space="preserve"> </w:t>
      </w:r>
      <w:r w:rsidRPr="0012789B" w:rsidR="00290C9B">
        <w:rPr>
          <w:noProof/>
          <w:szCs w:val="17"/>
          <w:rtl/>
          <w:lang w:eastAsia="en-US"/>
        </w:rPr>
        <mc:AlternateContent>
          <mc:Choice Requires="wps">
            <w:drawing>
              <wp:anchor distT="0" distB="0" distL="114300" distR="114300" simplePos="0" relativeHeight="251678720" behindDoc="1" locked="0" layoutInCell="1" allowOverlap="1">
                <wp:simplePos x="0" y="0"/>
                <wp:positionH relativeFrom="margin">
                  <wp:posOffset>-431800</wp:posOffset>
                </wp:positionH>
                <wp:positionV relativeFrom="margin">
                  <wp:align>top</wp:align>
                </wp:positionV>
                <wp:extent cx="1620000" cy="4140000"/>
                <wp:effectExtent l="0" t="0" r="0" b="0"/>
                <wp:wrapNone/>
                <wp:docPr id="43"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290C9B" w:rsidRPr="00373C5D" w:rsidP="00290C9B">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29846469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929917"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290C9B" w:rsidRPr="00881D99" w:rsidP="00290C9B">
                            <w:pPr>
                              <w:spacing w:after="0" w:line="240" w:lineRule="auto"/>
                              <w:rPr>
                                <w:color w:val="0B5294"/>
                                <w:spacing w:val="-4"/>
                                <w:sz w:val="24"/>
                                <w:szCs w:val="24"/>
                                <w:rtl/>
                                <w:cs/>
                              </w:rPr>
                            </w:pPr>
                            <w:r w:rsidRPr="00335CD4">
                              <w:rPr>
                                <w:rFonts w:cs="Tahoma" w:hint="eastAsia"/>
                                <w:color w:val="0B5294"/>
                                <w:spacing w:val="-4"/>
                                <w:sz w:val="24"/>
                                <w:szCs w:val="24"/>
                                <w:rtl/>
                              </w:rPr>
                              <w:t>משרד</w:t>
                            </w:r>
                            <w:r w:rsidRPr="00335CD4">
                              <w:rPr>
                                <w:rFonts w:cs="Tahoma"/>
                                <w:color w:val="0B5294"/>
                                <w:spacing w:val="-4"/>
                                <w:sz w:val="24"/>
                                <w:szCs w:val="24"/>
                                <w:rtl/>
                              </w:rPr>
                              <w:t xml:space="preserve"> </w:t>
                            </w:r>
                            <w:r w:rsidRPr="00335CD4">
                              <w:rPr>
                                <w:rFonts w:cs="Tahoma" w:hint="eastAsia"/>
                                <w:color w:val="0B5294"/>
                                <w:spacing w:val="-4"/>
                                <w:sz w:val="24"/>
                                <w:szCs w:val="24"/>
                                <w:rtl/>
                              </w:rPr>
                              <w:t>הרווחה</w:t>
                            </w:r>
                            <w:r w:rsidRPr="00335CD4">
                              <w:rPr>
                                <w:rFonts w:cs="Tahoma"/>
                                <w:color w:val="0B5294"/>
                                <w:spacing w:val="-4"/>
                                <w:sz w:val="24"/>
                                <w:szCs w:val="24"/>
                                <w:rtl/>
                              </w:rPr>
                              <w:t xml:space="preserve"> </w:t>
                            </w:r>
                            <w:r w:rsidRPr="00335CD4">
                              <w:rPr>
                                <w:rFonts w:cs="Tahoma" w:hint="eastAsia"/>
                                <w:color w:val="0B5294"/>
                                <w:spacing w:val="-4"/>
                                <w:sz w:val="24"/>
                                <w:szCs w:val="24"/>
                                <w:rtl/>
                              </w:rPr>
                              <w:t>לא</w:t>
                            </w:r>
                            <w:r w:rsidRPr="00335CD4">
                              <w:rPr>
                                <w:rFonts w:cs="Tahoma"/>
                                <w:color w:val="0B5294"/>
                                <w:spacing w:val="-4"/>
                                <w:sz w:val="24"/>
                                <w:szCs w:val="24"/>
                                <w:rtl/>
                              </w:rPr>
                              <w:t xml:space="preserve"> </w:t>
                            </w:r>
                            <w:r w:rsidRPr="00335CD4">
                              <w:rPr>
                                <w:rFonts w:cs="Tahoma" w:hint="eastAsia"/>
                                <w:color w:val="0B5294"/>
                                <w:spacing w:val="-4"/>
                                <w:sz w:val="24"/>
                                <w:szCs w:val="24"/>
                                <w:rtl/>
                              </w:rPr>
                              <w:t>עשה</w:t>
                            </w:r>
                            <w:r w:rsidRPr="00335CD4">
                              <w:rPr>
                                <w:rFonts w:cs="Tahoma"/>
                                <w:color w:val="0B5294"/>
                                <w:spacing w:val="-4"/>
                                <w:sz w:val="24"/>
                                <w:szCs w:val="24"/>
                                <w:rtl/>
                              </w:rPr>
                              <w:t xml:space="preserve"> </w:t>
                            </w:r>
                            <w:r w:rsidRPr="00335CD4">
                              <w:rPr>
                                <w:rFonts w:cs="Tahoma" w:hint="eastAsia"/>
                                <w:color w:val="0B5294"/>
                                <w:spacing w:val="-4"/>
                                <w:sz w:val="24"/>
                                <w:szCs w:val="24"/>
                                <w:rtl/>
                              </w:rPr>
                              <w:t>די</w:t>
                            </w:r>
                            <w:r w:rsidRPr="00335CD4">
                              <w:rPr>
                                <w:rFonts w:cs="Tahoma"/>
                                <w:color w:val="0B5294"/>
                                <w:spacing w:val="-4"/>
                                <w:sz w:val="24"/>
                                <w:szCs w:val="24"/>
                                <w:rtl/>
                              </w:rPr>
                              <w:t xml:space="preserve"> </w:t>
                            </w:r>
                            <w:r w:rsidRPr="00335CD4">
                              <w:rPr>
                                <w:rFonts w:cs="Tahoma" w:hint="eastAsia"/>
                                <w:color w:val="0B5294"/>
                                <w:spacing w:val="-4"/>
                                <w:sz w:val="24"/>
                                <w:szCs w:val="24"/>
                                <w:rtl/>
                              </w:rPr>
                              <w:t>כדי</w:t>
                            </w:r>
                            <w:r w:rsidRPr="00335CD4">
                              <w:rPr>
                                <w:rFonts w:cs="Tahoma"/>
                                <w:color w:val="0B5294"/>
                                <w:spacing w:val="-4"/>
                                <w:sz w:val="24"/>
                                <w:szCs w:val="24"/>
                                <w:rtl/>
                              </w:rPr>
                              <w:t xml:space="preserve"> </w:t>
                            </w:r>
                            <w:r w:rsidRPr="00335CD4">
                              <w:rPr>
                                <w:rFonts w:cs="Tahoma" w:hint="eastAsia"/>
                                <w:color w:val="0B5294"/>
                                <w:spacing w:val="-4"/>
                                <w:sz w:val="24"/>
                                <w:szCs w:val="24"/>
                                <w:rtl/>
                              </w:rPr>
                              <w:t>לאתר</w:t>
                            </w:r>
                            <w:r w:rsidRPr="00335CD4">
                              <w:rPr>
                                <w:rFonts w:cs="Tahoma"/>
                                <w:color w:val="0B5294"/>
                                <w:spacing w:val="-4"/>
                                <w:sz w:val="24"/>
                                <w:szCs w:val="24"/>
                                <w:rtl/>
                              </w:rPr>
                              <w:t xml:space="preserve"> </w:t>
                            </w:r>
                            <w:r w:rsidRPr="00335CD4">
                              <w:rPr>
                                <w:rFonts w:cs="Tahoma" w:hint="eastAsia"/>
                                <w:color w:val="0B5294"/>
                                <w:spacing w:val="-4"/>
                                <w:sz w:val="24"/>
                                <w:szCs w:val="24"/>
                                <w:rtl/>
                              </w:rPr>
                              <w:t>את</w:t>
                            </w:r>
                            <w:r w:rsidRPr="00335CD4">
                              <w:rPr>
                                <w:rFonts w:cs="Tahoma"/>
                                <w:color w:val="0B5294"/>
                                <w:spacing w:val="-4"/>
                                <w:sz w:val="24"/>
                                <w:szCs w:val="24"/>
                                <w:rtl/>
                              </w:rPr>
                              <w:t xml:space="preserve"> </w:t>
                            </w:r>
                            <w:r w:rsidRPr="00335CD4">
                              <w:rPr>
                                <w:rFonts w:cs="Tahoma" w:hint="eastAsia"/>
                                <w:color w:val="0B5294"/>
                                <w:spacing w:val="-4"/>
                                <w:sz w:val="24"/>
                                <w:szCs w:val="24"/>
                                <w:rtl/>
                              </w:rPr>
                              <w:t>המכורים</w:t>
                            </w:r>
                            <w:r w:rsidRPr="00335CD4">
                              <w:rPr>
                                <w:rFonts w:cs="Tahoma"/>
                                <w:color w:val="0B5294"/>
                                <w:spacing w:val="-4"/>
                                <w:sz w:val="24"/>
                                <w:szCs w:val="24"/>
                                <w:rtl/>
                              </w:rPr>
                              <w:t xml:space="preserve"> </w:t>
                            </w:r>
                            <w:r w:rsidRPr="00335CD4">
                              <w:rPr>
                                <w:rFonts w:cs="Tahoma" w:hint="eastAsia"/>
                                <w:color w:val="0B5294"/>
                                <w:spacing w:val="-4"/>
                                <w:sz w:val="24"/>
                                <w:szCs w:val="24"/>
                                <w:rtl/>
                              </w:rPr>
                              <w:t>בקרב</w:t>
                            </w:r>
                            <w:r w:rsidRPr="00335CD4">
                              <w:rPr>
                                <w:rFonts w:cs="Tahoma"/>
                                <w:color w:val="0B5294"/>
                                <w:spacing w:val="-4"/>
                                <w:sz w:val="24"/>
                                <w:szCs w:val="24"/>
                                <w:rtl/>
                              </w:rPr>
                              <w:t xml:space="preserve"> </w:t>
                            </w:r>
                            <w:r w:rsidRPr="00335CD4">
                              <w:rPr>
                                <w:rFonts w:cs="Tahoma" w:hint="eastAsia"/>
                                <w:color w:val="0B5294"/>
                                <w:spacing w:val="-4"/>
                                <w:sz w:val="24"/>
                                <w:szCs w:val="24"/>
                                <w:rtl/>
                              </w:rPr>
                              <w:t>המשפחות</w:t>
                            </w:r>
                            <w:r w:rsidRPr="00335CD4">
                              <w:rPr>
                                <w:rFonts w:cs="Tahoma"/>
                                <w:color w:val="0B5294"/>
                                <w:spacing w:val="-4"/>
                                <w:sz w:val="24"/>
                                <w:szCs w:val="24"/>
                                <w:rtl/>
                              </w:rPr>
                              <w:t xml:space="preserve"> </w:t>
                            </w:r>
                            <w:r w:rsidRPr="00335CD4">
                              <w:rPr>
                                <w:rFonts w:cs="Tahoma" w:hint="eastAsia"/>
                                <w:color w:val="0B5294"/>
                                <w:spacing w:val="-4"/>
                                <w:sz w:val="24"/>
                                <w:szCs w:val="24"/>
                                <w:rtl/>
                              </w:rPr>
                              <w:t>המטופלות</w:t>
                            </w:r>
                            <w:r w:rsidRPr="00335CD4">
                              <w:rPr>
                                <w:rFonts w:cs="Tahoma"/>
                                <w:color w:val="0B5294"/>
                                <w:spacing w:val="-4"/>
                                <w:sz w:val="24"/>
                                <w:szCs w:val="24"/>
                                <w:rtl/>
                              </w:rPr>
                              <w:t xml:space="preserve"> </w:t>
                            </w:r>
                            <w:r w:rsidRPr="00335CD4">
                              <w:rPr>
                                <w:rFonts w:cs="Tahoma" w:hint="eastAsia"/>
                                <w:color w:val="0B5294"/>
                                <w:spacing w:val="-4"/>
                                <w:sz w:val="24"/>
                                <w:szCs w:val="24"/>
                                <w:rtl/>
                              </w:rPr>
                              <w:t>במחלקות</w:t>
                            </w:r>
                            <w:r w:rsidRPr="00335CD4">
                              <w:rPr>
                                <w:rFonts w:cs="Tahoma"/>
                                <w:color w:val="0B5294"/>
                                <w:spacing w:val="-4"/>
                                <w:sz w:val="24"/>
                                <w:szCs w:val="24"/>
                                <w:rtl/>
                              </w:rPr>
                              <w:t xml:space="preserve"> </w:t>
                            </w:r>
                            <w:r w:rsidRPr="00335CD4">
                              <w:rPr>
                                <w:rFonts w:cs="Tahoma" w:hint="eastAsia"/>
                                <w:color w:val="0B5294"/>
                                <w:spacing w:val="-4"/>
                                <w:sz w:val="24"/>
                                <w:szCs w:val="24"/>
                                <w:rtl/>
                              </w:rPr>
                              <w:t>לשירותים</w:t>
                            </w:r>
                            <w:r w:rsidRPr="00335CD4">
                              <w:rPr>
                                <w:rFonts w:cs="Tahoma"/>
                                <w:color w:val="0B5294"/>
                                <w:spacing w:val="-4"/>
                                <w:sz w:val="24"/>
                                <w:szCs w:val="24"/>
                                <w:rtl/>
                              </w:rPr>
                              <w:t xml:space="preserve"> </w:t>
                            </w:r>
                            <w:r w:rsidRPr="00335CD4">
                              <w:rPr>
                                <w:rFonts w:cs="Tahoma" w:hint="eastAsia"/>
                                <w:color w:val="0B5294"/>
                                <w:spacing w:val="-4"/>
                                <w:sz w:val="24"/>
                                <w:szCs w:val="24"/>
                                <w:rtl/>
                              </w:rPr>
                              <w:t>חברתיים</w:t>
                            </w:r>
                            <w:r w:rsidRPr="00335CD4">
                              <w:rPr>
                                <w:rFonts w:cs="Tahoma"/>
                                <w:color w:val="0B5294"/>
                                <w:spacing w:val="-4"/>
                                <w:sz w:val="24"/>
                                <w:szCs w:val="24"/>
                                <w:rtl/>
                              </w:rPr>
                              <w:t xml:space="preserve"> </w:t>
                            </w:r>
                            <w:r w:rsidRPr="00335CD4">
                              <w:rPr>
                                <w:rFonts w:cs="Tahoma" w:hint="eastAsia"/>
                                <w:color w:val="0B5294"/>
                                <w:spacing w:val="-4"/>
                                <w:sz w:val="24"/>
                                <w:szCs w:val="24"/>
                                <w:rtl/>
                              </w:rPr>
                              <w:t>ולמסד</w:t>
                            </w:r>
                            <w:r w:rsidRPr="00335CD4">
                              <w:rPr>
                                <w:rFonts w:cs="Tahoma"/>
                                <w:color w:val="0B5294"/>
                                <w:spacing w:val="-4"/>
                                <w:sz w:val="24"/>
                                <w:szCs w:val="24"/>
                                <w:rtl/>
                              </w:rPr>
                              <w:t xml:space="preserve"> </w:t>
                            </w:r>
                            <w:r w:rsidRPr="00335CD4">
                              <w:rPr>
                                <w:rFonts w:cs="Tahoma" w:hint="eastAsia"/>
                                <w:color w:val="0B5294"/>
                                <w:spacing w:val="-4"/>
                                <w:sz w:val="24"/>
                                <w:szCs w:val="24"/>
                                <w:rtl/>
                              </w:rPr>
                              <w:t>את</w:t>
                            </w:r>
                            <w:r w:rsidRPr="00335CD4">
                              <w:rPr>
                                <w:rFonts w:cs="Tahoma"/>
                                <w:color w:val="0B5294"/>
                                <w:spacing w:val="-4"/>
                                <w:sz w:val="24"/>
                                <w:szCs w:val="24"/>
                                <w:rtl/>
                              </w:rPr>
                              <w:t xml:space="preserve"> </w:t>
                            </w:r>
                            <w:r w:rsidRPr="00335CD4">
                              <w:rPr>
                                <w:rFonts w:cs="Tahoma" w:hint="eastAsia"/>
                                <w:color w:val="0B5294"/>
                                <w:spacing w:val="-4"/>
                                <w:sz w:val="24"/>
                                <w:szCs w:val="24"/>
                                <w:rtl/>
                              </w:rPr>
                              <w:t>שיתוף</w:t>
                            </w:r>
                            <w:r w:rsidRPr="00335CD4">
                              <w:rPr>
                                <w:rFonts w:cs="Tahoma"/>
                                <w:color w:val="0B5294"/>
                                <w:spacing w:val="-4"/>
                                <w:sz w:val="24"/>
                                <w:szCs w:val="24"/>
                                <w:rtl/>
                              </w:rPr>
                              <w:t xml:space="preserve"> </w:t>
                            </w:r>
                            <w:r w:rsidRPr="00335CD4">
                              <w:rPr>
                                <w:rFonts w:cs="Tahoma" w:hint="eastAsia"/>
                                <w:color w:val="0B5294"/>
                                <w:spacing w:val="-4"/>
                                <w:sz w:val="24"/>
                                <w:szCs w:val="24"/>
                                <w:rtl/>
                              </w:rPr>
                              <w:t>הפעולה</w:t>
                            </w:r>
                            <w:r w:rsidRPr="00335CD4">
                              <w:rPr>
                                <w:rFonts w:cs="Tahoma"/>
                                <w:color w:val="0B5294"/>
                                <w:spacing w:val="-4"/>
                                <w:sz w:val="24"/>
                                <w:szCs w:val="24"/>
                                <w:rtl/>
                              </w:rPr>
                              <w:t xml:space="preserve"> </w:t>
                            </w:r>
                            <w:r w:rsidRPr="00335CD4">
                              <w:rPr>
                                <w:rFonts w:cs="Tahoma" w:hint="eastAsia"/>
                                <w:color w:val="0B5294"/>
                                <w:spacing w:val="-4"/>
                                <w:sz w:val="24"/>
                                <w:szCs w:val="24"/>
                                <w:rtl/>
                              </w:rPr>
                              <w:t>בין</w:t>
                            </w:r>
                            <w:r w:rsidRPr="00335CD4">
                              <w:rPr>
                                <w:rFonts w:cs="Tahoma"/>
                                <w:color w:val="0B5294"/>
                                <w:spacing w:val="-4"/>
                                <w:sz w:val="24"/>
                                <w:szCs w:val="24"/>
                                <w:rtl/>
                              </w:rPr>
                              <w:t xml:space="preserve"> </w:t>
                            </w:r>
                            <w:r w:rsidRPr="00335CD4">
                              <w:rPr>
                                <w:rFonts w:cs="Tahoma" w:hint="eastAsia"/>
                                <w:color w:val="0B5294"/>
                                <w:spacing w:val="-4"/>
                                <w:sz w:val="24"/>
                                <w:szCs w:val="24"/>
                                <w:rtl/>
                              </w:rPr>
                              <w:t>עו</w:t>
                            </w:r>
                            <w:r w:rsidRPr="00335CD4">
                              <w:rPr>
                                <w:rFonts w:cs="Tahoma"/>
                                <w:color w:val="0B5294"/>
                                <w:spacing w:val="-4"/>
                                <w:sz w:val="24"/>
                                <w:szCs w:val="24"/>
                                <w:rtl/>
                              </w:rPr>
                              <w:t>"</w:t>
                            </w:r>
                            <w:r w:rsidRPr="00335CD4">
                              <w:rPr>
                                <w:rFonts w:cs="Tahoma" w:hint="eastAsia"/>
                                <w:color w:val="0B5294"/>
                                <w:spacing w:val="-4"/>
                                <w:sz w:val="24"/>
                                <w:szCs w:val="24"/>
                                <w:rtl/>
                              </w:rPr>
                              <w:t>ס</w:t>
                            </w:r>
                            <w:r w:rsidRPr="00335CD4">
                              <w:rPr>
                                <w:rFonts w:cs="Tahoma"/>
                                <w:color w:val="0B5294"/>
                                <w:spacing w:val="-4"/>
                                <w:sz w:val="24"/>
                                <w:szCs w:val="24"/>
                                <w:rtl/>
                              </w:rPr>
                              <w:t xml:space="preserve"> </w:t>
                            </w:r>
                            <w:r w:rsidRPr="00335CD4">
                              <w:rPr>
                                <w:rFonts w:cs="Tahoma" w:hint="eastAsia"/>
                                <w:color w:val="0B5294"/>
                                <w:spacing w:val="-4"/>
                                <w:sz w:val="24"/>
                                <w:szCs w:val="24"/>
                                <w:rtl/>
                              </w:rPr>
                              <w:t>המשפחה</w:t>
                            </w:r>
                            <w:r w:rsidRPr="00335CD4">
                              <w:rPr>
                                <w:rFonts w:cs="Tahoma"/>
                                <w:color w:val="0B5294"/>
                                <w:spacing w:val="-4"/>
                                <w:sz w:val="24"/>
                                <w:szCs w:val="24"/>
                                <w:rtl/>
                              </w:rPr>
                              <w:t xml:space="preserve"> </w:t>
                            </w:r>
                            <w:r w:rsidRPr="00335CD4">
                              <w:rPr>
                                <w:rFonts w:cs="Tahoma" w:hint="eastAsia"/>
                                <w:color w:val="0B5294"/>
                                <w:spacing w:val="-4"/>
                                <w:sz w:val="24"/>
                                <w:szCs w:val="24"/>
                                <w:rtl/>
                              </w:rPr>
                              <w:t>לעו</w:t>
                            </w:r>
                            <w:r w:rsidRPr="00335CD4">
                              <w:rPr>
                                <w:rFonts w:cs="Tahoma"/>
                                <w:color w:val="0B5294"/>
                                <w:spacing w:val="-4"/>
                                <w:sz w:val="24"/>
                                <w:szCs w:val="24"/>
                                <w:rtl/>
                              </w:rPr>
                              <w:t>"</w:t>
                            </w:r>
                            <w:r w:rsidRPr="00335CD4">
                              <w:rPr>
                                <w:rFonts w:cs="Tahoma" w:hint="eastAsia"/>
                                <w:color w:val="0B5294"/>
                                <w:spacing w:val="-4"/>
                                <w:sz w:val="24"/>
                                <w:szCs w:val="24"/>
                                <w:rtl/>
                              </w:rPr>
                              <w:t>ס</w:t>
                            </w:r>
                            <w:r w:rsidRPr="00335CD4">
                              <w:rPr>
                                <w:rFonts w:cs="Tahoma"/>
                                <w:color w:val="0B5294"/>
                                <w:spacing w:val="-4"/>
                                <w:sz w:val="24"/>
                                <w:szCs w:val="24"/>
                                <w:rtl/>
                              </w:rPr>
                              <w:t xml:space="preserve"> </w:t>
                            </w:r>
                            <w:r w:rsidRPr="00335CD4">
                              <w:rPr>
                                <w:rFonts w:cs="Tahoma" w:hint="eastAsia"/>
                                <w:color w:val="0B5294"/>
                                <w:spacing w:val="-4"/>
                                <w:sz w:val="24"/>
                                <w:szCs w:val="24"/>
                                <w:rtl/>
                              </w:rPr>
                              <w:t>ההתמכרויות</w:t>
                            </w:r>
                          </w:p>
                          <w:p w:rsidR="00290C9B" w:rsidRPr="00373C5D" w:rsidP="00290C9B">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65650406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482942"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0"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6736" filled="f" stroked="f">
                <v:textbox>
                  <w:txbxContent>
                    <w:p w:rsidR="00290C9B" w:rsidRPr="00373C5D" w:rsidP="00290C9B">
                      <w:pPr>
                        <w:spacing w:line="240" w:lineRule="atLeast"/>
                        <w:rPr>
                          <w:rFonts w:cs="Tahoma"/>
                          <w:b/>
                          <w:bCs/>
                          <w:color w:val="0B5294"/>
                          <w:sz w:val="48"/>
                          <w:szCs w:val="48"/>
                          <w:rtl/>
                        </w:rPr>
                      </w:pPr>
                      <w:drawing>
                        <wp:inline distT="0" distB="0" distL="0" distR="0">
                          <wp:extent cx="311150" cy="256800"/>
                          <wp:effectExtent l="0" t="0" r="0" b="0"/>
                          <wp:docPr id="4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897226"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290C9B" w:rsidRPr="00881D99" w:rsidP="00290C9B">
                      <w:pPr>
                        <w:spacing w:after="0" w:line="240" w:lineRule="auto"/>
                        <w:rPr>
                          <w:color w:val="0B5294"/>
                          <w:spacing w:val="-4"/>
                          <w:sz w:val="24"/>
                          <w:szCs w:val="24"/>
                          <w:rtl/>
                          <w:cs/>
                        </w:rPr>
                      </w:pPr>
                      <w:r w:rsidRPr="00335CD4">
                        <w:rPr>
                          <w:rFonts w:cs="Tahoma" w:hint="eastAsia"/>
                          <w:color w:val="0B5294"/>
                          <w:spacing w:val="-4"/>
                          <w:sz w:val="24"/>
                          <w:szCs w:val="24"/>
                          <w:rtl/>
                        </w:rPr>
                        <w:t>משרד</w:t>
                      </w:r>
                      <w:r w:rsidRPr="00335CD4">
                        <w:rPr>
                          <w:rFonts w:cs="Tahoma"/>
                          <w:color w:val="0B5294"/>
                          <w:spacing w:val="-4"/>
                          <w:sz w:val="24"/>
                          <w:szCs w:val="24"/>
                          <w:rtl/>
                        </w:rPr>
                        <w:t xml:space="preserve"> </w:t>
                      </w:r>
                      <w:r w:rsidRPr="00335CD4">
                        <w:rPr>
                          <w:rFonts w:cs="Tahoma" w:hint="eastAsia"/>
                          <w:color w:val="0B5294"/>
                          <w:spacing w:val="-4"/>
                          <w:sz w:val="24"/>
                          <w:szCs w:val="24"/>
                          <w:rtl/>
                        </w:rPr>
                        <w:t>הרווחה</w:t>
                      </w:r>
                      <w:r w:rsidRPr="00335CD4">
                        <w:rPr>
                          <w:rFonts w:cs="Tahoma"/>
                          <w:color w:val="0B5294"/>
                          <w:spacing w:val="-4"/>
                          <w:sz w:val="24"/>
                          <w:szCs w:val="24"/>
                          <w:rtl/>
                        </w:rPr>
                        <w:t xml:space="preserve"> </w:t>
                      </w:r>
                      <w:r w:rsidRPr="00335CD4">
                        <w:rPr>
                          <w:rFonts w:cs="Tahoma" w:hint="eastAsia"/>
                          <w:color w:val="0B5294"/>
                          <w:spacing w:val="-4"/>
                          <w:sz w:val="24"/>
                          <w:szCs w:val="24"/>
                          <w:rtl/>
                        </w:rPr>
                        <w:t>לא</w:t>
                      </w:r>
                      <w:r w:rsidRPr="00335CD4">
                        <w:rPr>
                          <w:rFonts w:cs="Tahoma"/>
                          <w:color w:val="0B5294"/>
                          <w:spacing w:val="-4"/>
                          <w:sz w:val="24"/>
                          <w:szCs w:val="24"/>
                          <w:rtl/>
                        </w:rPr>
                        <w:t xml:space="preserve"> </w:t>
                      </w:r>
                      <w:r w:rsidRPr="00335CD4">
                        <w:rPr>
                          <w:rFonts w:cs="Tahoma" w:hint="eastAsia"/>
                          <w:color w:val="0B5294"/>
                          <w:spacing w:val="-4"/>
                          <w:sz w:val="24"/>
                          <w:szCs w:val="24"/>
                          <w:rtl/>
                        </w:rPr>
                        <w:t>עשה</w:t>
                      </w:r>
                      <w:r w:rsidRPr="00335CD4">
                        <w:rPr>
                          <w:rFonts w:cs="Tahoma"/>
                          <w:color w:val="0B5294"/>
                          <w:spacing w:val="-4"/>
                          <w:sz w:val="24"/>
                          <w:szCs w:val="24"/>
                          <w:rtl/>
                        </w:rPr>
                        <w:t xml:space="preserve"> </w:t>
                      </w:r>
                      <w:r w:rsidRPr="00335CD4">
                        <w:rPr>
                          <w:rFonts w:cs="Tahoma" w:hint="eastAsia"/>
                          <w:color w:val="0B5294"/>
                          <w:spacing w:val="-4"/>
                          <w:sz w:val="24"/>
                          <w:szCs w:val="24"/>
                          <w:rtl/>
                        </w:rPr>
                        <w:t>די</w:t>
                      </w:r>
                      <w:r w:rsidRPr="00335CD4">
                        <w:rPr>
                          <w:rFonts w:cs="Tahoma"/>
                          <w:color w:val="0B5294"/>
                          <w:spacing w:val="-4"/>
                          <w:sz w:val="24"/>
                          <w:szCs w:val="24"/>
                          <w:rtl/>
                        </w:rPr>
                        <w:t xml:space="preserve"> </w:t>
                      </w:r>
                      <w:r w:rsidRPr="00335CD4">
                        <w:rPr>
                          <w:rFonts w:cs="Tahoma" w:hint="eastAsia"/>
                          <w:color w:val="0B5294"/>
                          <w:spacing w:val="-4"/>
                          <w:sz w:val="24"/>
                          <w:szCs w:val="24"/>
                          <w:rtl/>
                        </w:rPr>
                        <w:t>כדי</w:t>
                      </w:r>
                      <w:r w:rsidRPr="00335CD4">
                        <w:rPr>
                          <w:rFonts w:cs="Tahoma"/>
                          <w:color w:val="0B5294"/>
                          <w:spacing w:val="-4"/>
                          <w:sz w:val="24"/>
                          <w:szCs w:val="24"/>
                          <w:rtl/>
                        </w:rPr>
                        <w:t xml:space="preserve"> </w:t>
                      </w:r>
                      <w:r w:rsidRPr="00335CD4">
                        <w:rPr>
                          <w:rFonts w:cs="Tahoma" w:hint="eastAsia"/>
                          <w:color w:val="0B5294"/>
                          <w:spacing w:val="-4"/>
                          <w:sz w:val="24"/>
                          <w:szCs w:val="24"/>
                          <w:rtl/>
                        </w:rPr>
                        <w:t>לאתר</w:t>
                      </w:r>
                      <w:r w:rsidRPr="00335CD4">
                        <w:rPr>
                          <w:rFonts w:cs="Tahoma"/>
                          <w:color w:val="0B5294"/>
                          <w:spacing w:val="-4"/>
                          <w:sz w:val="24"/>
                          <w:szCs w:val="24"/>
                          <w:rtl/>
                        </w:rPr>
                        <w:t xml:space="preserve"> </w:t>
                      </w:r>
                      <w:r w:rsidRPr="00335CD4">
                        <w:rPr>
                          <w:rFonts w:cs="Tahoma" w:hint="eastAsia"/>
                          <w:color w:val="0B5294"/>
                          <w:spacing w:val="-4"/>
                          <w:sz w:val="24"/>
                          <w:szCs w:val="24"/>
                          <w:rtl/>
                        </w:rPr>
                        <w:t>את</w:t>
                      </w:r>
                      <w:r w:rsidRPr="00335CD4">
                        <w:rPr>
                          <w:rFonts w:cs="Tahoma"/>
                          <w:color w:val="0B5294"/>
                          <w:spacing w:val="-4"/>
                          <w:sz w:val="24"/>
                          <w:szCs w:val="24"/>
                          <w:rtl/>
                        </w:rPr>
                        <w:t xml:space="preserve"> </w:t>
                      </w:r>
                      <w:r w:rsidRPr="00335CD4">
                        <w:rPr>
                          <w:rFonts w:cs="Tahoma" w:hint="eastAsia"/>
                          <w:color w:val="0B5294"/>
                          <w:spacing w:val="-4"/>
                          <w:sz w:val="24"/>
                          <w:szCs w:val="24"/>
                          <w:rtl/>
                        </w:rPr>
                        <w:t>המכורים</w:t>
                      </w:r>
                      <w:r w:rsidRPr="00335CD4">
                        <w:rPr>
                          <w:rFonts w:cs="Tahoma"/>
                          <w:color w:val="0B5294"/>
                          <w:spacing w:val="-4"/>
                          <w:sz w:val="24"/>
                          <w:szCs w:val="24"/>
                          <w:rtl/>
                        </w:rPr>
                        <w:t xml:space="preserve"> </w:t>
                      </w:r>
                      <w:r w:rsidRPr="00335CD4">
                        <w:rPr>
                          <w:rFonts w:cs="Tahoma" w:hint="eastAsia"/>
                          <w:color w:val="0B5294"/>
                          <w:spacing w:val="-4"/>
                          <w:sz w:val="24"/>
                          <w:szCs w:val="24"/>
                          <w:rtl/>
                        </w:rPr>
                        <w:t>בקרב</w:t>
                      </w:r>
                      <w:r w:rsidRPr="00335CD4">
                        <w:rPr>
                          <w:rFonts w:cs="Tahoma"/>
                          <w:color w:val="0B5294"/>
                          <w:spacing w:val="-4"/>
                          <w:sz w:val="24"/>
                          <w:szCs w:val="24"/>
                          <w:rtl/>
                        </w:rPr>
                        <w:t xml:space="preserve"> </w:t>
                      </w:r>
                      <w:r w:rsidRPr="00335CD4">
                        <w:rPr>
                          <w:rFonts w:cs="Tahoma" w:hint="eastAsia"/>
                          <w:color w:val="0B5294"/>
                          <w:spacing w:val="-4"/>
                          <w:sz w:val="24"/>
                          <w:szCs w:val="24"/>
                          <w:rtl/>
                        </w:rPr>
                        <w:t>המשפחות</w:t>
                      </w:r>
                      <w:r w:rsidRPr="00335CD4">
                        <w:rPr>
                          <w:rFonts w:cs="Tahoma"/>
                          <w:color w:val="0B5294"/>
                          <w:spacing w:val="-4"/>
                          <w:sz w:val="24"/>
                          <w:szCs w:val="24"/>
                          <w:rtl/>
                        </w:rPr>
                        <w:t xml:space="preserve"> </w:t>
                      </w:r>
                      <w:r w:rsidRPr="00335CD4">
                        <w:rPr>
                          <w:rFonts w:cs="Tahoma" w:hint="eastAsia"/>
                          <w:color w:val="0B5294"/>
                          <w:spacing w:val="-4"/>
                          <w:sz w:val="24"/>
                          <w:szCs w:val="24"/>
                          <w:rtl/>
                        </w:rPr>
                        <w:t>המטופלות</w:t>
                      </w:r>
                      <w:r w:rsidRPr="00335CD4">
                        <w:rPr>
                          <w:rFonts w:cs="Tahoma"/>
                          <w:color w:val="0B5294"/>
                          <w:spacing w:val="-4"/>
                          <w:sz w:val="24"/>
                          <w:szCs w:val="24"/>
                          <w:rtl/>
                        </w:rPr>
                        <w:t xml:space="preserve"> </w:t>
                      </w:r>
                      <w:r w:rsidRPr="00335CD4">
                        <w:rPr>
                          <w:rFonts w:cs="Tahoma" w:hint="eastAsia"/>
                          <w:color w:val="0B5294"/>
                          <w:spacing w:val="-4"/>
                          <w:sz w:val="24"/>
                          <w:szCs w:val="24"/>
                          <w:rtl/>
                        </w:rPr>
                        <w:t>במחלקות</w:t>
                      </w:r>
                      <w:r w:rsidRPr="00335CD4">
                        <w:rPr>
                          <w:rFonts w:cs="Tahoma"/>
                          <w:color w:val="0B5294"/>
                          <w:spacing w:val="-4"/>
                          <w:sz w:val="24"/>
                          <w:szCs w:val="24"/>
                          <w:rtl/>
                        </w:rPr>
                        <w:t xml:space="preserve"> </w:t>
                      </w:r>
                      <w:r w:rsidRPr="00335CD4">
                        <w:rPr>
                          <w:rFonts w:cs="Tahoma" w:hint="eastAsia"/>
                          <w:color w:val="0B5294"/>
                          <w:spacing w:val="-4"/>
                          <w:sz w:val="24"/>
                          <w:szCs w:val="24"/>
                          <w:rtl/>
                        </w:rPr>
                        <w:t>לשירותים</w:t>
                      </w:r>
                      <w:r w:rsidRPr="00335CD4">
                        <w:rPr>
                          <w:rFonts w:cs="Tahoma"/>
                          <w:color w:val="0B5294"/>
                          <w:spacing w:val="-4"/>
                          <w:sz w:val="24"/>
                          <w:szCs w:val="24"/>
                          <w:rtl/>
                        </w:rPr>
                        <w:t xml:space="preserve"> </w:t>
                      </w:r>
                      <w:r w:rsidRPr="00335CD4">
                        <w:rPr>
                          <w:rFonts w:cs="Tahoma" w:hint="eastAsia"/>
                          <w:color w:val="0B5294"/>
                          <w:spacing w:val="-4"/>
                          <w:sz w:val="24"/>
                          <w:szCs w:val="24"/>
                          <w:rtl/>
                        </w:rPr>
                        <w:t>חברתיים</w:t>
                      </w:r>
                      <w:r w:rsidRPr="00335CD4">
                        <w:rPr>
                          <w:rFonts w:cs="Tahoma"/>
                          <w:color w:val="0B5294"/>
                          <w:spacing w:val="-4"/>
                          <w:sz w:val="24"/>
                          <w:szCs w:val="24"/>
                          <w:rtl/>
                        </w:rPr>
                        <w:t xml:space="preserve"> </w:t>
                      </w:r>
                      <w:r w:rsidRPr="00335CD4">
                        <w:rPr>
                          <w:rFonts w:cs="Tahoma" w:hint="eastAsia"/>
                          <w:color w:val="0B5294"/>
                          <w:spacing w:val="-4"/>
                          <w:sz w:val="24"/>
                          <w:szCs w:val="24"/>
                          <w:rtl/>
                        </w:rPr>
                        <w:t>ולמסד</w:t>
                      </w:r>
                      <w:r w:rsidRPr="00335CD4">
                        <w:rPr>
                          <w:rFonts w:cs="Tahoma"/>
                          <w:color w:val="0B5294"/>
                          <w:spacing w:val="-4"/>
                          <w:sz w:val="24"/>
                          <w:szCs w:val="24"/>
                          <w:rtl/>
                        </w:rPr>
                        <w:t xml:space="preserve"> </w:t>
                      </w:r>
                      <w:r w:rsidRPr="00335CD4">
                        <w:rPr>
                          <w:rFonts w:cs="Tahoma" w:hint="eastAsia"/>
                          <w:color w:val="0B5294"/>
                          <w:spacing w:val="-4"/>
                          <w:sz w:val="24"/>
                          <w:szCs w:val="24"/>
                          <w:rtl/>
                        </w:rPr>
                        <w:t>את</w:t>
                      </w:r>
                      <w:r w:rsidRPr="00335CD4">
                        <w:rPr>
                          <w:rFonts w:cs="Tahoma"/>
                          <w:color w:val="0B5294"/>
                          <w:spacing w:val="-4"/>
                          <w:sz w:val="24"/>
                          <w:szCs w:val="24"/>
                          <w:rtl/>
                        </w:rPr>
                        <w:t xml:space="preserve"> </w:t>
                      </w:r>
                      <w:r w:rsidRPr="00335CD4">
                        <w:rPr>
                          <w:rFonts w:cs="Tahoma" w:hint="eastAsia"/>
                          <w:color w:val="0B5294"/>
                          <w:spacing w:val="-4"/>
                          <w:sz w:val="24"/>
                          <w:szCs w:val="24"/>
                          <w:rtl/>
                        </w:rPr>
                        <w:t>שיתוף</w:t>
                      </w:r>
                      <w:r w:rsidRPr="00335CD4">
                        <w:rPr>
                          <w:rFonts w:cs="Tahoma"/>
                          <w:color w:val="0B5294"/>
                          <w:spacing w:val="-4"/>
                          <w:sz w:val="24"/>
                          <w:szCs w:val="24"/>
                          <w:rtl/>
                        </w:rPr>
                        <w:t xml:space="preserve"> </w:t>
                      </w:r>
                      <w:r w:rsidRPr="00335CD4">
                        <w:rPr>
                          <w:rFonts w:cs="Tahoma" w:hint="eastAsia"/>
                          <w:color w:val="0B5294"/>
                          <w:spacing w:val="-4"/>
                          <w:sz w:val="24"/>
                          <w:szCs w:val="24"/>
                          <w:rtl/>
                        </w:rPr>
                        <w:t>הפעולה</w:t>
                      </w:r>
                      <w:r w:rsidRPr="00335CD4">
                        <w:rPr>
                          <w:rFonts w:cs="Tahoma"/>
                          <w:color w:val="0B5294"/>
                          <w:spacing w:val="-4"/>
                          <w:sz w:val="24"/>
                          <w:szCs w:val="24"/>
                          <w:rtl/>
                        </w:rPr>
                        <w:t xml:space="preserve"> </w:t>
                      </w:r>
                      <w:r w:rsidRPr="00335CD4">
                        <w:rPr>
                          <w:rFonts w:cs="Tahoma" w:hint="eastAsia"/>
                          <w:color w:val="0B5294"/>
                          <w:spacing w:val="-4"/>
                          <w:sz w:val="24"/>
                          <w:szCs w:val="24"/>
                          <w:rtl/>
                        </w:rPr>
                        <w:t>בין</w:t>
                      </w:r>
                      <w:r w:rsidRPr="00335CD4">
                        <w:rPr>
                          <w:rFonts w:cs="Tahoma"/>
                          <w:color w:val="0B5294"/>
                          <w:spacing w:val="-4"/>
                          <w:sz w:val="24"/>
                          <w:szCs w:val="24"/>
                          <w:rtl/>
                        </w:rPr>
                        <w:t xml:space="preserve"> </w:t>
                      </w:r>
                      <w:r w:rsidRPr="00335CD4">
                        <w:rPr>
                          <w:rFonts w:cs="Tahoma" w:hint="eastAsia"/>
                          <w:color w:val="0B5294"/>
                          <w:spacing w:val="-4"/>
                          <w:sz w:val="24"/>
                          <w:szCs w:val="24"/>
                          <w:rtl/>
                        </w:rPr>
                        <w:t>עו</w:t>
                      </w:r>
                      <w:r w:rsidRPr="00335CD4">
                        <w:rPr>
                          <w:rFonts w:cs="Tahoma"/>
                          <w:color w:val="0B5294"/>
                          <w:spacing w:val="-4"/>
                          <w:sz w:val="24"/>
                          <w:szCs w:val="24"/>
                          <w:rtl/>
                        </w:rPr>
                        <w:t>"</w:t>
                      </w:r>
                      <w:r w:rsidRPr="00335CD4">
                        <w:rPr>
                          <w:rFonts w:cs="Tahoma" w:hint="eastAsia"/>
                          <w:color w:val="0B5294"/>
                          <w:spacing w:val="-4"/>
                          <w:sz w:val="24"/>
                          <w:szCs w:val="24"/>
                          <w:rtl/>
                        </w:rPr>
                        <w:t>ס</w:t>
                      </w:r>
                      <w:r w:rsidRPr="00335CD4">
                        <w:rPr>
                          <w:rFonts w:cs="Tahoma"/>
                          <w:color w:val="0B5294"/>
                          <w:spacing w:val="-4"/>
                          <w:sz w:val="24"/>
                          <w:szCs w:val="24"/>
                          <w:rtl/>
                        </w:rPr>
                        <w:t xml:space="preserve"> </w:t>
                      </w:r>
                      <w:r w:rsidRPr="00335CD4">
                        <w:rPr>
                          <w:rFonts w:cs="Tahoma" w:hint="eastAsia"/>
                          <w:color w:val="0B5294"/>
                          <w:spacing w:val="-4"/>
                          <w:sz w:val="24"/>
                          <w:szCs w:val="24"/>
                          <w:rtl/>
                        </w:rPr>
                        <w:t>המשפחה</w:t>
                      </w:r>
                      <w:r w:rsidRPr="00335CD4">
                        <w:rPr>
                          <w:rFonts w:cs="Tahoma"/>
                          <w:color w:val="0B5294"/>
                          <w:spacing w:val="-4"/>
                          <w:sz w:val="24"/>
                          <w:szCs w:val="24"/>
                          <w:rtl/>
                        </w:rPr>
                        <w:t xml:space="preserve"> </w:t>
                      </w:r>
                      <w:r w:rsidRPr="00335CD4">
                        <w:rPr>
                          <w:rFonts w:cs="Tahoma" w:hint="eastAsia"/>
                          <w:color w:val="0B5294"/>
                          <w:spacing w:val="-4"/>
                          <w:sz w:val="24"/>
                          <w:szCs w:val="24"/>
                          <w:rtl/>
                        </w:rPr>
                        <w:t>לעו</w:t>
                      </w:r>
                      <w:r w:rsidRPr="00335CD4">
                        <w:rPr>
                          <w:rFonts w:cs="Tahoma"/>
                          <w:color w:val="0B5294"/>
                          <w:spacing w:val="-4"/>
                          <w:sz w:val="24"/>
                          <w:szCs w:val="24"/>
                          <w:rtl/>
                        </w:rPr>
                        <w:t>"</w:t>
                      </w:r>
                      <w:r w:rsidRPr="00335CD4">
                        <w:rPr>
                          <w:rFonts w:cs="Tahoma" w:hint="eastAsia"/>
                          <w:color w:val="0B5294"/>
                          <w:spacing w:val="-4"/>
                          <w:sz w:val="24"/>
                          <w:szCs w:val="24"/>
                          <w:rtl/>
                        </w:rPr>
                        <w:t>ס</w:t>
                      </w:r>
                      <w:r w:rsidRPr="00335CD4">
                        <w:rPr>
                          <w:rFonts w:cs="Tahoma"/>
                          <w:color w:val="0B5294"/>
                          <w:spacing w:val="-4"/>
                          <w:sz w:val="24"/>
                          <w:szCs w:val="24"/>
                          <w:rtl/>
                        </w:rPr>
                        <w:t xml:space="preserve"> </w:t>
                      </w:r>
                      <w:r w:rsidRPr="00335CD4">
                        <w:rPr>
                          <w:rFonts w:cs="Tahoma" w:hint="eastAsia"/>
                          <w:color w:val="0B5294"/>
                          <w:spacing w:val="-4"/>
                          <w:sz w:val="24"/>
                          <w:szCs w:val="24"/>
                          <w:rtl/>
                        </w:rPr>
                        <w:t>ההתמכרויות</w:t>
                      </w:r>
                    </w:p>
                    <w:p w:rsidR="00290C9B" w:rsidRPr="00373C5D" w:rsidP="00290C9B">
                      <w:pPr>
                        <w:spacing w:before="120" w:after="0" w:line="240" w:lineRule="atLeast"/>
                        <w:rPr>
                          <w:rFonts w:cs="Tahoma"/>
                          <w:b/>
                          <w:bCs/>
                          <w:color w:val="0B5294"/>
                          <w:sz w:val="48"/>
                          <w:szCs w:val="48"/>
                          <w:rtl/>
                        </w:rPr>
                      </w:pPr>
                      <w:drawing>
                        <wp:inline distT="0" distB="0" distL="0" distR="0">
                          <wp:extent cx="288000" cy="31337"/>
                          <wp:effectExtent l="0" t="0" r="0" b="6985"/>
                          <wp:docPr id="4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031690"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9B6D36" w:rsidRPr="00211D07" w:rsidP="00211D07">
      <w:pPr>
        <w:pStyle w:val="RESHET"/>
        <w:rPr>
          <w:rtl/>
        </w:rPr>
      </w:pPr>
      <w:r w:rsidRPr="00211D07">
        <w:rPr>
          <w:rFonts w:hint="cs"/>
          <w:rtl/>
        </w:rPr>
        <w:t xml:space="preserve">על משרד הרווחה לקבוע נוהל מחייב לתהליכי העבודה שבין </w:t>
      </w:r>
      <w:r w:rsidRPr="00211D07">
        <w:rPr>
          <w:rFonts w:hint="cs"/>
          <w:rtl/>
        </w:rPr>
        <w:t>המש"ח</w:t>
      </w:r>
      <w:r w:rsidRPr="00211D07">
        <w:rPr>
          <w:rFonts w:hint="cs"/>
          <w:rtl/>
        </w:rPr>
        <w:t xml:space="preserve"> ליחידות לטיפול בהתמכרויות, כך שהמידע הקיים בשירותי הרווחה יתועל לטיפול מיטבי במכורים המוכרים לשירותי הרווחה. </w:t>
      </w:r>
    </w:p>
    <w:p w:rsidR="009B6D36" w:rsidRPr="00211D07" w:rsidP="00211D07">
      <w:pPr>
        <w:spacing w:before="180" w:line="240" w:lineRule="exact"/>
        <w:ind w:right="2268"/>
        <w:jc w:val="both"/>
        <w:rPr>
          <w:rFonts w:ascii="Tahoma" w:hAnsi="Tahoma" w:cs="Tahoma"/>
          <w:sz w:val="18"/>
          <w:szCs w:val="18"/>
          <w:rtl/>
          <w:lang w:eastAsia="he-IL"/>
        </w:rPr>
      </w:pPr>
      <w:r w:rsidRPr="00211D07">
        <w:rPr>
          <w:rFonts w:ascii="Tahoma" w:hAnsi="Tahoma" w:cs="Tahoma" w:hint="cs"/>
          <w:sz w:val="18"/>
          <w:szCs w:val="18"/>
          <w:rtl/>
          <w:lang w:eastAsia="he-IL"/>
        </w:rPr>
        <w:t xml:space="preserve">בתשובתו מנובמבר 2018 מסר </w:t>
      </w:r>
      <w:r w:rsidRPr="00211D07">
        <w:rPr>
          <w:rFonts w:ascii="Tahoma" w:hAnsi="Tahoma" w:cs="Tahoma"/>
          <w:sz w:val="18"/>
          <w:szCs w:val="18"/>
          <w:rtl/>
          <w:lang w:eastAsia="he-IL"/>
        </w:rPr>
        <w:t>משרד הרווחה</w:t>
      </w:r>
      <w:r w:rsidRPr="00211D07">
        <w:rPr>
          <w:rFonts w:ascii="Tahoma" w:hAnsi="Tahoma" w:cs="Tahoma" w:hint="cs"/>
          <w:sz w:val="18"/>
          <w:szCs w:val="18"/>
          <w:rtl/>
          <w:lang w:eastAsia="he-IL"/>
        </w:rPr>
        <w:t xml:space="preserve"> כי מטרת המשרד היא "לבסס רצף טיפולי וקשר רציף בין עו"ס משפחה ועו"ס התמכרויות תוך קבלת מידע הדדי אודות אנשים מכורים ושילובם במסגרת המתאימה לטיפול". המשרד הוסיף כי יפעל לשינוי ולעדכון </w:t>
      </w:r>
      <w:r w:rsidRPr="00211D07">
        <w:rPr>
          <w:rFonts w:ascii="Tahoma" w:hAnsi="Tahoma" w:cs="Tahoma" w:hint="cs"/>
          <w:sz w:val="18"/>
          <w:szCs w:val="18"/>
          <w:rtl/>
          <w:lang w:eastAsia="he-IL"/>
        </w:rPr>
        <w:t>התע"ס</w:t>
      </w:r>
      <w:r w:rsidRPr="00211D07">
        <w:rPr>
          <w:rFonts w:ascii="Tahoma" w:hAnsi="Tahoma" w:cs="Tahoma" w:hint="cs"/>
          <w:sz w:val="18"/>
          <w:szCs w:val="18"/>
          <w:rtl/>
          <w:lang w:eastAsia="he-IL"/>
        </w:rPr>
        <w:t xml:space="preserve"> ויקבע נוהל לשיתוף פעולה בין הגורמים שמטפלים באוכלוסייה שעל רצף ההתמכרות.</w:t>
      </w:r>
    </w:p>
    <w:p w:rsidR="009B6D36" w:rsidRPr="00211D07" w:rsidP="00211D07">
      <w:pPr>
        <w:spacing w:line="240" w:lineRule="exact"/>
        <w:ind w:right="2268"/>
        <w:jc w:val="both"/>
        <w:rPr>
          <w:rFonts w:ascii="Tahoma" w:hAnsi="Tahoma" w:cs="Tahoma"/>
          <w:sz w:val="18"/>
          <w:szCs w:val="18"/>
          <w:lang w:eastAsia="he-IL"/>
        </w:rPr>
      </w:pPr>
    </w:p>
    <w:p w:rsidR="009B6D36" w:rsidRPr="00211D07" w:rsidP="00211D07">
      <w:pPr>
        <w:spacing w:line="240" w:lineRule="exact"/>
        <w:ind w:right="2268"/>
        <w:jc w:val="both"/>
        <w:rPr>
          <w:rFonts w:ascii="Tahoma" w:hAnsi="Tahoma" w:cs="Tahoma"/>
          <w:sz w:val="18"/>
          <w:szCs w:val="18"/>
          <w:rtl/>
          <w:lang w:eastAsia="he-IL"/>
        </w:rPr>
      </w:pPr>
    </w:p>
    <w:p w:rsidR="009B6D36" w:rsidRPr="00E93732" w:rsidP="00211D07">
      <w:pPr>
        <w:pStyle w:val="KOT4"/>
        <w:rPr>
          <w:rtl/>
        </w:rPr>
      </w:pPr>
      <w:r>
        <w:rPr>
          <w:rFonts w:hint="cs"/>
          <w:rtl/>
        </w:rPr>
        <w:t>פעולות ל</w:t>
      </w:r>
      <w:r w:rsidRPr="00E93732">
        <w:rPr>
          <w:rFonts w:hint="cs"/>
          <w:rtl/>
        </w:rPr>
        <w:t xml:space="preserve">איתור מכורים </w:t>
      </w:r>
      <w:r>
        <w:rPr>
          <w:rFonts w:hint="cs"/>
          <w:rtl/>
        </w:rPr>
        <w:t>במערכת הבריאות</w:t>
      </w:r>
    </w:p>
    <w:p w:rsidR="009B6D36" w:rsidP="00211D07">
      <w:pPr>
        <w:pStyle w:val="KOT5"/>
        <w:rPr>
          <w:rtl/>
        </w:rPr>
      </w:pPr>
      <w:r>
        <w:rPr>
          <w:rFonts w:hint="cs"/>
          <w:rtl/>
        </w:rPr>
        <w:t xml:space="preserve">איתור והפניה של מכורים המגיעים לחדרי המיון </w:t>
      </w:r>
    </w:p>
    <w:p w:rsidR="009B6D36" w:rsidRPr="00211D07" w:rsidP="00211D07">
      <w:pPr>
        <w:spacing w:line="240" w:lineRule="exact"/>
        <w:ind w:right="2268"/>
        <w:jc w:val="both"/>
        <w:rPr>
          <w:rFonts w:ascii="Tahoma" w:hAnsi="Tahoma" w:cs="Tahoma"/>
          <w:sz w:val="18"/>
          <w:szCs w:val="18"/>
          <w:rtl/>
        </w:rPr>
      </w:pPr>
      <w:r w:rsidRPr="00211D07">
        <w:rPr>
          <w:rFonts w:ascii="Tahoma" w:hAnsi="Tahoma" w:cs="Tahoma" w:hint="cs"/>
          <w:sz w:val="18"/>
          <w:szCs w:val="18"/>
          <w:rtl/>
        </w:rPr>
        <w:t>כאמור, מכורים המשתמשים בחומרים ממכרים נמצאים ב</w:t>
      </w:r>
      <w:r w:rsidRPr="00211D07">
        <w:rPr>
          <w:rFonts w:ascii="Tahoma" w:hAnsi="Tahoma" w:cs="Tahoma"/>
          <w:sz w:val="18"/>
          <w:szCs w:val="18"/>
          <w:rtl/>
        </w:rPr>
        <w:t xml:space="preserve">סיכון מוגבר </w:t>
      </w:r>
      <w:r w:rsidRPr="00211D07">
        <w:rPr>
          <w:rFonts w:ascii="Tahoma" w:hAnsi="Tahoma" w:cs="Tahoma" w:hint="cs"/>
          <w:sz w:val="18"/>
          <w:szCs w:val="18"/>
          <w:rtl/>
        </w:rPr>
        <w:t>לחלות במחלות שונות; הם יכולים לפנות ל</w:t>
      </w:r>
      <w:r w:rsidRPr="00211D07">
        <w:rPr>
          <w:rFonts w:ascii="Tahoma" w:hAnsi="Tahoma" w:cs="Tahoma"/>
          <w:sz w:val="18"/>
          <w:szCs w:val="18"/>
          <w:rtl/>
        </w:rPr>
        <w:t>מרפאות הרפואה הראשונית בקהילה</w:t>
      </w:r>
      <w:r w:rsidRPr="00211D07">
        <w:rPr>
          <w:rFonts w:ascii="Tahoma" w:hAnsi="Tahoma" w:cs="Tahoma" w:hint="cs"/>
          <w:sz w:val="18"/>
          <w:szCs w:val="18"/>
          <w:rtl/>
        </w:rPr>
        <w:t xml:space="preserve"> (להלן - מרפאות המשפחה) וגם לטיפול דחוף בחדרי המיון (</w:t>
      </w:r>
      <w:r w:rsidRPr="00211D07">
        <w:rPr>
          <w:rFonts w:ascii="Tahoma" w:hAnsi="Tahoma" w:cs="Tahoma"/>
          <w:sz w:val="18"/>
          <w:szCs w:val="18"/>
          <w:rtl/>
        </w:rPr>
        <w:t>מחלקה לרפואה דחופה</w:t>
      </w:r>
      <w:r w:rsidRPr="00211D07">
        <w:rPr>
          <w:rFonts w:ascii="Tahoma" w:hAnsi="Tahoma" w:cs="Tahoma" w:hint="cs"/>
          <w:sz w:val="18"/>
          <w:szCs w:val="18"/>
          <w:rtl/>
        </w:rPr>
        <w:t xml:space="preserve"> - </w:t>
      </w:r>
      <w:r w:rsidRPr="00211D07">
        <w:rPr>
          <w:rFonts w:ascii="Tahoma" w:hAnsi="Tahoma" w:cs="Tahoma" w:hint="cs"/>
          <w:sz w:val="18"/>
          <w:szCs w:val="18"/>
          <w:rtl/>
        </w:rPr>
        <w:t>מלר"ד</w:t>
      </w:r>
      <w:r w:rsidRPr="00211D07">
        <w:rPr>
          <w:rFonts w:ascii="Tahoma" w:hAnsi="Tahoma" w:cs="Tahoma" w:hint="cs"/>
          <w:sz w:val="18"/>
          <w:szCs w:val="18"/>
          <w:rtl/>
        </w:rPr>
        <w:t>).</w:t>
      </w:r>
      <w:r w:rsidRPr="00211D07">
        <w:rPr>
          <w:rFonts w:ascii="Tahoma" w:hAnsi="Tahoma" w:cs="Tahoma"/>
          <w:sz w:val="18"/>
          <w:szCs w:val="18"/>
          <w:rtl/>
        </w:rPr>
        <w:t xml:space="preserve"> </w:t>
      </w:r>
      <w:r w:rsidRPr="00211D07">
        <w:rPr>
          <w:rFonts w:ascii="Tahoma" w:hAnsi="Tahoma" w:cs="Tahoma" w:hint="cs"/>
          <w:sz w:val="18"/>
          <w:szCs w:val="18"/>
          <w:rtl/>
        </w:rPr>
        <w:t xml:space="preserve">לפי נתוני משרד הבריאות, בשנת 2017 הגיעו לטיפול בחדרי מיון </w:t>
      </w:r>
      <w:r w:rsidR="00290C9B">
        <w:rPr>
          <w:rFonts w:ascii="Tahoma" w:hAnsi="Tahoma" w:cs="Tahoma"/>
          <w:sz w:val="18"/>
          <w:szCs w:val="18"/>
        </w:rPr>
        <w:br/>
      </w:r>
      <w:r w:rsidRPr="00211D07">
        <w:rPr>
          <w:rFonts w:ascii="Tahoma" w:hAnsi="Tahoma" w:cs="Tahoma" w:hint="cs"/>
          <w:sz w:val="18"/>
          <w:szCs w:val="18"/>
          <w:rtl/>
        </w:rPr>
        <w:t>כ-6,260 איש בגין שימוש באלכוהול וכ-2,520 בעקבות שימוש בסמים</w:t>
      </w:r>
      <w:r>
        <w:rPr>
          <w:rStyle w:val="FootnoteReference0"/>
          <w:rFonts w:ascii="Tahoma" w:hAnsi="Tahoma" w:cs="Tahoma"/>
          <w:sz w:val="18"/>
          <w:szCs w:val="18"/>
          <w:rtl/>
        </w:rPr>
        <w:footnoteReference w:id="22"/>
      </w:r>
      <w:r w:rsidRPr="00211D07">
        <w:rPr>
          <w:rFonts w:ascii="Tahoma" w:hAnsi="Tahoma" w:cs="Tahoma" w:hint="cs"/>
          <w:sz w:val="18"/>
          <w:szCs w:val="18"/>
          <w:rtl/>
        </w:rPr>
        <w:t>.</w:t>
      </w:r>
    </w:p>
    <w:p w:rsidR="009B6D36" w:rsidRPr="00211D07" w:rsidP="00211D07">
      <w:pPr>
        <w:spacing w:line="240" w:lineRule="exact"/>
        <w:ind w:right="2268"/>
        <w:jc w:val="both"/>
        <w:rPr>
          <w:rFonts w:ascii="Tahoma" w:hAnsi="Tahoma" w:cs="Tahoma"/>
          <w:sz w:val="18"/>
          <w:szCs w:val="18"/>
          <w:rtl/>
        </w:rPr>
      </w:pPr>
      <w:r w:rsidRPr="00211D07">
        <w:rPr>
          <w:rFonts w:ascii="Tahoma" w:hAnsi="Tahoma" w:cs="Tahoma" w:hint="cs"/>
          <w:sz w:val="18"/>
          <w:szCs w:val="18"/>
          <w:rtl/>
        </w:rPr>
        <w:t xml:space="preserve">לפי חוזר </w:t>
      </w:r>
      <w:r w:rsidRPr="00211D07">
        <w:rPr>
          <w:rFonts w:ascii="Tahoma" w:hAnsi="Tahoma" w:cs="Tahoma" w:hint="cs"/>
          <w:sz w:val="18"/>
          <w:szCs w:val="18"/>
          <w:rtl/>
        </w:rPr>
        <w:t>מינהל</w:t>
      </w:r>
      <w:r w:rsidRPr="00211D07">
        <w:rPr>
          <w:rFonts w:ascii="Tahoma" w:hAnsi="Tahoma" w:cs="Tahoma" w:hint="cs"/>
          <w:sz w:val="18"/>
          <w:szCs w:val="18"/>
          <w:rtl/>
        </w:rPr>
        <w:t xml:space="preserve"> רפואה של משרד הבריאות מיוני 2001, על </w:t>
      </w:r>
      <w:r w:rsidRPr="00211D07">
        <w:rPr>
          <w:rFonts w:ascii="Tahoma" w:hAnsi="Tahoma" w:cs="Tahoma" w:hint="cs"/>
          <w:sz w:val="18"/>
          <w:szCs w:val="18"/>
          <w:rtl/>
        </w:rPr>
        <w:t>העו"ס</w:t>
      </w:r>
      <w:r w:rsidRPr="00211D07">
        <w:rPr>
          <w:rFonts w:ascii="Tahoma" w:hAnsi="Tahoma" w:cs="Tahoma" w:hint="cs"/>
          <w:sz w:val="18"/>
          <w:szCs w:val="18"/>
          <w:rtl/>
        </w:rPr>
        <w:t xml:space="preserve"> בחדר המיון, בין היתר, לערוך למטופל בחדר המיון אבחון פסיכו-סוציאלי, להעריך את צרכיו ולקשר "בין החולה ומשפחתו לבין גורמי הטיפול בקהילה" (להלן - טיפול ע"י עו"ס). על פי החוזר, מכורים לסמים או לאלכוהול נמנים עם אוכלוסיית המטופלים של </w:t>
      </w:r>
      <w:r w:rsidRPr="00211D07">
        <w:rPr>
          <w:rFonts w:ascii="Tahoma" w:hAnsi="Tahoma" w:cs="Tahoma" w:hint="cs"/>
          <w:sz w:val="18"/>
          <w:szCs w:val="18"/>
          <w:rtl/>
        </w:rPr>
        <w:t>העו"ס</w:t>
      </w:r>
      <w:r w:rsidRPr="00211D07">
        <w:rPr>
          <w:rFonts w:ascii="Tahoma" w:hAnsi="Tahoma" w:cs="Tahoma" w:hint="cs"/>
          <w:sz w:val="18"/>
          <w:szCs w:val="18"/>
          <w:rtl/>
        </w:rPr>
        <w:t xml:space="preserve"> בחדר המיון.</w:t>
      </w:r>
      <w:r w:rsidRPr="00211D07">
        <w:rPr>
          <w:rFonts w:ascii="Tahoma" w:hAnsi="Tahoma" w:cs="Tahoma"/>
          <w:sz w:val="18"/>
          <w:szCs w:val="18"/>
          <w:rtl/>
        </w:rPr>
        <w:t xml:space="preserve"> </w:t>
      </w:r>
    </w:p>
    <w:p w:rsidR="009B6D36" w:rsidRPr="00211D07" w:rsidP="00E76FAB">
      <w:pPr>
        <w:pStyle w:val="RESHET"/>
        <w:numPr>
          <w:ilvl w:val="0"/>
          <w:numId w:val="7"/>
        </w:numPr>
        <w:tabs>
          <w:tab w:val="clear" w:pos="624"/>
        </w:tabs>
        <w:ind w:left="340" w:hanging="340"/>
        <w:rPr>
          <w:sz w:val="18"/>
          <w:rtl/>
        </w:rPr>
      </w:pPr>
      <w:r w:rsidRPr="00211D07">
        <w:rPr>
          <w:sz w:val="18"/>
          <w:rtl/>
        </w:rPr>
        <w:t xml:space="preserve">הביקורת העלתה כי תפקיד </w:t>
      </w:r>
      <w:r w:rsidRPr="00211D07">
        <w:rPr>
          <w:sz w:val="18"/>
          <w:rtl/>
        </w:rPr>
        <w:t>העו"ס</w:t>
      </w:r>
      <w:r w:rsidRPr="00211D07">
        <w:rPr>
          <w:sz w:val="18"/>
          <w:rtl/>
        </w:rPr>
        <w:t xml:space="preserve"> בחדר מיון מאויש רק </w:t>
      </w:r>
      <w:r w:rsidRPr="00211D07">
        <w:rPr>
          <w:rFonts w:hint="cs"/>
          <w:sz w:val="18"/>
          <w:rtl/>
        </w:rPr>
        <w:t>ב</w:t>
      </w:r>
      <w:r w:rsidRPr="00211D07">
        <w:rPr>
          <w:sz w:val="18"/>
          <w:rtl/>
        </w:rPr>
        <w:t xml:space="preserve">משמרות הבוקר של ימי חול </w:t>
      </w:r>
      <w:r w:rsidRPr="00211D07">
        <w:rPr>
          <w:rFonts w:hint="cs"/>
          <w:sz w:val="18"/>
          <w:rtl/>
        </w:rPr>
        <w:t xml:space="preserve">ולא </w:t>
      </w:r>
      <w:r w:rsidRPr="00211D07">
        <w:rPr>
          <w:sz w:val="18"/>
          <w:rtl/>
        </w:rPr>
        <w:t>בשעות הערב והלילה</w:t>
      </w:r>
      <w:r w:rsidRPr="00211D07">
        <w:rPr>
          <w:rFonts w:hint="cs"/>
          <w:sz w:val="18"/>
          <w:rtl/>
        </w:rPr>
        <w:t xml:space="preserve"> או </w:t>
      </w:r>
      <w:r w:rsidRPr="00211D07">
        <w:rPr>
          <w:sz w:val="18"/>
          <w:rtl/>
        </w:rPr>
        <w:t>בסופי שבוע ובחגים</w:t>
      </w:r>
      <w:r>
        <w:rPr>
          <w:rStyle w:val="FootnoteReference0"/>
          <w:sz w:val="18"/>
          <w:rtl/>
        </w:rPr>
        <w:footnoteReference w:id="23"/>
      </w:r>
      <w:r w:rsidRPr="00211D07">
        <w:rPr>
          <w:rFonts w:hint="cs"/>
          <w:sz w:val="18"/>
          <w:rtl/>
        </w:rPr>
        <w:t xml:space="preserve">. </w:t>
      </w:r>
      <w:r w:rsidRPr="00211D07">
        <w:rPr>
          <w:sz w:val="18"/>
          <w:rtl/>
        </w:rPr>
        <w:t>לכן</w:t>
      </w:r>
      <w:r w:rsidRPr="00211D07">
        <w:rPr>
          <w:rFonts w:hint="cs"/>
          <w:sz w:val="18"/>
          <w:rtl/>
        </w:rPr>
        <w:t>, בזמנים אלה</w:t>
      </w:r>
      <w:r w:rsidRPr="00211D07">
        <w:rPr>
          <w:sz w:val="18"/>
          <w:rtl/>
        </w:rPr>
        <w:t xml:space="preserve"> מכור</w:t>
      </w:r>
      <w:r w:rsidRPr="00211D07">
        <w:rPr>
          <w:rFonts w:hint="cs"/>
          <w:sz w:val="18"/>
          <w:rtl/>
        </w:rPr>
        <w:t>ים</w:t>
      </w:r>
      <w:r w:rsidRPr="00211D07">
        <w:rPr>
          <w:sz w:val="18"/>
          <w:rtl/>
        </w:rPr>
        <w:t xml:space="preserve"> א</w:t>
      </w:r>
      <w:r w:rsidRPr="00211D07">
        <w:rPr>
          <w:rFonts w:hint="cs"/>
          <w:sz w:val="18"/>
          <w:rtl/>
        </w:rPr>
        <w:t>ינם</w:t>
      </w:r>
      <w:r w:rsidRPr="00211D07">
        <w:rPr>
          <w:sz w:val="18"/>
          <w:rtl/>
        </w:rPr>
        <w:t xml:space="preserve"> יכול</w:t>
      </w:r>
      <w:r w:rsidRPr="00211D07">
        <w:rPr>
          <w:rFonts w:hint="cs"/>
          <w:sz w:val="18"/>
          <w:rtl/>
        </w:rPr>
        <w:t>ים</w:t>
      </w:r>
      <w:r w:rsidRPr="00211D07">
        <w:rPr>
          <w:sz w:val="18"/>
          <w:rtl/>
        </w:rPr>
        <w:t xml:space="preserve"> לקבל </w:t>
      </w:r>
      <w:r w:rsidRPr="00211D07">
        <w:rPr>
          <w:rFonts w:hint="cs"/>
          <w:sz w:val="18"/>
          <w:rtl/>
        </w:rPr>
        <w:t>מ</w:t>
      </w:r>
      <w:r w:rsidRPr="00211D07">
        <w:rPr>
          <w:sz w:val="18"/>
          <w:rtl/>
        </w:rPr>
        <w:t xml:space="preserve">עו"ס </w:t>
      </w:r>
      <w:r w:rsidRPr="00211D07">
        <w:rPr>
          <w:rFonts w:hint="cs"/>
          <w:sz w:val="18"/>
          <w:rtl/>
        </w:rPr>
        <w:t>את ה</w:t>
      </w:r>
      <w:r w:rsidRPr="00211D07">
        <w:rPr>
          <w:sz w:val="18"/>
          <w:rtl/>
        </w:rPr>
        <w:t xml:space="preserve">טיפול </w:t>
      </w:r>
      <w:r w:rsidRPr="00211D07">
        <w:rPr>
          <w:rFonts w:hint="cs"/>
          <w:sz w:val="18"/>
          <w:rtl/>
        </w:rPr>
        <w:t>הדרוש.</w:t>
      </w:r>
    </w:p>
    <w:p w:rsidR="009B6D36" w:rsidRPr="00211D07" w:rsidP="00211D07">
      <w:pPr>
        <w:spacing w:before="180" w:line="240" w:lineRule="exact"/>
        <w:ind w:left="340" w:right="2268"/>
        <w:jc w:val="both"/>
        <w:rPr>
          <w:rFonts w:ascii="Tahoma" w:hAnsi="Tahoma" w:cs="Tahoma"/>
          <w:sz w:val="18"/>
          <w:szCs w:val="18"/>
          <w:rtl/>
        </w:rPr>
      </w:pPr>
      <w:r w:rsidRPr="00211D07">
        <w:rPr>
          <w:rFonts w:ascii="Tahoma" w:hAnsi="Tahoma" w:cs="Tahoma" w:hint="cs"/>
          <w:sz w:val="18"/>
          <w:szCs w:val="18"/>
          <w:rtl/>
        </w:rPr>
        <w:t>להלן בלוח 1 נתוני משרד הבריאות של מספר הפניות לחדרי מיון בעקבות שימוש בסמים ובאלכוהול בשנים 2017-2016:</w:t>
      </w:r>
    </w:p>
    <w:p w:rsidR="009B6D36" w:rsidRPr="00211D07" w:rsidP="00211D07">
      <w:pPr>
        <w:pStyle w:val="tab-name"/>
        <w:rPr>
          <w:b/>
          <w:bCs/>
          <w:rtl/>
        </w:rPr>
      </w:pPr>
      <w:r w:rsidRPr="00211D07">
        <w:rPr>
          <w:rFonts w:hint="eastAsia"/>
          <w:rtl/>
        </w:rPr>
        <w:t>לוח</w:t>
      </w:r>
      <w:r w:rsidRPr="00211D07">
        <w:rPr>
          <w:rtl/>
        </w:rPr>
        <w:t xml:space="preserve"> 1: </w:t>
      </w:r>
      <w:r w:rsidRPr="00211D07">
        <w:rPr>
          <w:b/>
          <w:bCs/>
          <w:rtl/>
        </w:rPr>
        <w:t>מספר הפניות לחדרי מיון בעקבות שימוש בסמים ובאלכוהול</w:t>
      </w:r>
      <w:r w:rsidRPr="00211D07">
        <w:rPr>
          <w:rFonts w:hint="cs"/>
          <w:b/>
          <w:bCs/>
          <w:rtl/>
        </w:rPr>
        <w:t>,</w:t>
      </w:r>
      <w:r w:rsidRPr="00211D07">
        <w:rPr>
          <w:b/>
          <w:bCs/>
          <w:rtl/>
        </w:rPr>
        <w:t xml:space="preserve"> 201</w:t>
      </w:r>
      <w:r w:rsidRPr="00211D07">
        <w:rPr>
          <w:rFonts w:hint="cs"/>
          <w:b/>
          <w:bCs/>
          <w:rtl/>
        </w:rPr>
        <w:t>7-</w:t>
      </w:r>
      <w:r w:rsidRPr="00211D07">
        <w:rPr>
          <w:b/>
          <w:bCs/>
          <w:rtl/>
        </w:rPr>
        <w:t>201</w:t>
      </w:r>
      <w:r w:rsidRPr="00211D07">
        <w:rPr>
          <w:rFonts w:hint="cs"/>
          <w:b/>
          <w:bCs/>
          <w:rtl/>
        </w:rPr>
        <w:t>6</w:t>
      </w:r>
    </w:p>
    <w:tbl>
      <w:tblPr>
        <w:tblStyle w:val="TableGrid"/>
        <w:bidiVisual/>
        <w:tblW w:w="6237" w:type="dxa"/>
        <w:tblCellMar>
          <w:left w:w="57" w:type="dxa"/>
          <w:right w:w="57" w:type="dxa"/>
        </w:tblCellMar>
        <w:tblLook w:val="04A0"/>
      </w:tblPr>
      <w:tblGrid>
        <w:gridCol w:w="471"/>
        <w:gridCol w:w="1349"/>
        <w:gridCol w:w="1017"/>
        <w:gridCol w:w="1190"/>
        <w:gridCol w:w="1170"/>
        <w:gridCol w:w="1040"/>
      </w:tblGrid>
      <w:tr w:rsidTr="002C5B6E">
        <w:tblPrEx>
          <w:tblW w:w="6237" w:type="dxa"/>
          <w:tblCellMar>
            <w:left w:w="57" w:type="dxa"/>
            <w:right w:w="57" w:type="dxa"/>
          </w:tblCellMar>
          <w:tblLook w:val="04A0"/>
        </w:tblPrEx>
        <w:trPr>
          <w:tblHeader/>
        </w:trPr>
        <w:tc>
          <w:tcPr>
            <w:tcW w:w="0" w:type="auto"/>
            <w:vMerge w:val="restart"/>
            <w:tcBorders>
              <w:top w:val="single" w:sz="8" w:space="0" w:color="auto"/>
              <w:left w:val="single" w:sz="8" w:space="0" w:color="auto"/>
              <w:bottom w:val="single" w:sz="8" w:space="0" w:color="auto"/>
            </w:tcBorders>
            <w:shd w:val="clear" w:color="auto" w:fill="CEEAF5"/>
            <w:vAlign w:val="bottom"/>
          </w:tcPr>
          <w:p w:rsidR="009B6D36" w:rsidRPr="005874E8" w:rsidP="00211D07">
            <w:pPr>
              <w:tabs>
                <w:tab w:val="left" w:pos="1148"/>
              </w:tabs>
              <w:spacing w:before="40" w:after="40" w:line="280" w:lineRule="exact"/>
              <w:rPr>
                <w:rFonts w:ascii="Tahoma" w:hAnsi="Tahoma" w:cs="Tahoma"/>
                <w:b/>
                <w:bCs/>
                <w:sz w:val="16"/>
                <w:szCs w:val="16"/>
                <w:rtl/>
              </w:rPr>
            </w:pPr>
            <w:r w:rsidRPr="005874E8">
              <w:rPr>
                <w:rFonts w:ascii="Tahoma" w:hAnsi="Tahoma" w:cs="Tahoma" w:hint="cs"/>
                <w:b/>
                <w:bCs/>
                <w:sz w:val="16"/>
                <w:szCs w:val="16"/>
                <w:rtl/>
              </w:rPr>
              <w:t>שנה</w:t>
            </w:r>
          </w:p>
        </w:tc>
        <w:tc>
          <w:tcPr>
            <w:tcW w:w="0" w:type="auto"/>
            <w:vMerge w:val="restart"/>
            <w:tcBorders>
              <w:top w:val="single" w:sz="8" w:space="0" w:color="auto"/>
              <w:bottom w:val="single" w:sz="8" w:space="0" w:color="auto"/>
            </w:tcBorders>
            <w:shd w:val="clear" w:color="auto" w:fill="CEEAF5"/>
            <w:vAlign w:val="bottom"/>
          </w:tcPr>
          <w:p w:rsidR="009B6D36" w:rsidRPr="005874E8" w:rsidP="00211D07">
            <w:pPr>
              <w:tabs>
                <w:tab w:val="left" w:pos="1148"/>
              </w:tabs>
              <w:spacing w:before="40" w:after="40" w:line="280" w:lineRule="exact"/>
              <w:rPr>
                <w:rFonts w:ascii="Tahoma" w:hAnsi="Tahoma" w:cs="Tahoma"/>
                <w:b/>
                <w:bCs/>
                <w:sz w:val="16"/>
                <w:szCs w:val="16"/>
                <w:rtl/>
              </w:rPr>
            </w:pPr>
            <w:r w:rsidRPr="005874E8">
              <w:rPr>
                <w:rFonts w:ascii="Tahoma" w:hAnsi="Tahoma" w:cs="Tahoma" w:hint="cs"/>
                <w:b/>
                <w:bCs/>
                <w:sz w:val="16"/>
                <w:szCs w:val="16"/>
                <w:rtl/>
              </w:rPr>
              <w:t xml:space="preserve">רקע הפנייה </w:t>
            </w:r>
            <w:r w:rsidR="005874E8">
              <w:rPr>
                <w:rFonts w:ascii="Tahoma" w:hAnsi="Tahoma" w:cs="Tahoma"/>
                <w:b/>
                <w:bCs/>
                <w:sz w:val="16"/>
                <w:szCs w:val="16"/>
                <w:rtl/>
              </w:rPr>
              <w:br/>
            </w:r>
            <w:r w:rsidRPr="005874E8">
              <w:rPr>
                <w:rFonts w:ascii="Tahoma" w:hAnsi="Tahoma" w:cs="Tahoma" w:hint="cs"/>
                <w:b/>
                <w:bCs/>
                <w:sz w:val="16"/>
                <w:szCs w:val="16"/>
                <w:rtl/>
              </w:rPr>
              <w:t>לחדר המיון</w:t>
            </w:r>
          </w:p>
        </w:tc>
        <w:tc>
          <w:tcPr>
            <w:tcW w:w="0" w:type="auto"/>
            <w:gridSpan w:val="3"/>
            <w:tcBorders>
              <w:top w:val="single" w:sz="8" w:space="0" w:color="auto"/>
              <w:bottom w:val="single" w:sz="4" w:space="0" w:color="auto"/>
            </w:tcBorders>
            <w:shd w:val="clear" w:color="auto" w:fill="CEEAF5"/>
            <w:vAlign w:val="bottom"/>
          </w:tcPr>
          <w:p w:rsidR="009B6D36" w:rsidRPr="005874E8" w:rsidP="00211D07">
            <w:pPr>
              <w:tabs>
                <w:tab w:val="left" w:pos="1148"/>
              </w:tabs>
              <w:spacing w:before="40" w:after="40" w:line="280" w:lineRule="exact"/>
              <w:rPr>
                <w:rFonts w:ascii="Tahoma" w:hAnsi="Tahoma" w:cs="Tahoma"/>
                <w:b/>
                <w:bCs/>
                <w:sz w:val="16"/>
                <w:szCs w:val="16"/>
                <w:rtl/>
              </w:rPr>
            </w:pPr>
            <w:r w:rsidRPr="005874E8">
              <w:rPr>
                <w:rFonts w:ascii="Tahoma" w:hAnsi="Tahoma" w:cs="Tahoma" w:hint="cs"/>
                <w:b/>
                <w:bCs/>
                <w:sz w:val="16"/>
                <w:szCs w:val="16"/>
                <w:rtl/>
              </w:rPr>
              <w:t>זמן הפנייה - שיעור מסה"כ הפניות</w:t>
            </w:r>
          </w:p>
        </w:tc>
        <w:tc>
          <w:tcPr>
            <w:tcW w:w="0" w:type="auto"/>
            <w:vMerge w:val="restart"/>
            <w:tcBorders>
              <w:top w:val="single" w:sz="8" w:space="0" w:color="auto"/>
              <w:bottom w:val="single" w:sz="8" w:space="0" w:color="auto"/>
              <w:right w:val="single" w:sz="8" w:space="0" w:color="auto"/>
            </w:tcBorders>
            <w:shd w:val="clear" w:color="auto" w:fill="CEEAF5"/>
            <w:vAlign w:val="bottom"/>
          </w:tcPr>
          <w:p w:rsidR="009B6D36" w:rsidRPr="005874E8" w:rsidP="00211D07">
            <w:pPr>
              <w:tabs>
                <w:tab w:val="left" w:pos="1148"/>
              </w:tabs>
              <w:spacing w:before="40" w:after="40" w:line="280" w:lineRule="exact"/>
              <w:rPr>
                <w:rFonts w:ascii="Tahoma" w:hAnsi="Tahoma" w:cs="Tahoma"/>
                <w:b/>
                <w:bCs/>
                <w:sz w:val="16"/>
                <w:szCs w:val="16"/>
                <w:rtl/>
              </w:rPr>
            </w:pPr>
            <w:r w:rsidRPr="005874E8">
              <w:rPr>
                <w:rFonts w:ascii="Tahoma" w:hAnsi="Tahoma" w:cs="Tahoma" w:hint="cs"/>
                <w:b/>
                <w:bCs/>
                <w:sz w:val="16"/>
                <w:szCs w:val="16"/>
                <w:rtl/>
              </w:rPr>
              <w:t xml:space="preserve">סה"כ פניות </w:t>
            </w:r>
            <w:r w:rsidR="005874E8">
              <w:rPr>
                <w:rFonts w:ascii="Tahoma" w:hAnsi="Tahoma" w:cs="Tahoma"/>
                <w:b/>
                <w:bCs/>
                <w:sz w:val="16"/>
                <w:szCs w:val="16"/>
                <w:rtl/>
              </w:rPr>
              <w:br/>
            </w:r>
            <w:r w:rsidRPr="005874E8">
              <w:rPr>
                <w:rFonts w:ascii="Tahoma" w:hAnsi="Tahoma" w:cs="Tahoma" w:hint="cs"/>
                <w:b/>
                <w:bCs/>
                <w:sz w:val="16"/>
                <w:szCs w:val="16"/>
                <w:rtl/>
              </w:rPr>
              <w:t xml:space="preserve">על רקע </w:t>
            </w:r>
            <w:r w:rsidR="005874E8">
              <w:rPr>
                <w:rFonts w:ascii="Tahoma" w:hAnsi="Tahoma" w:cs="Tahoma"/>
                <w:b/>
                <w:bCs/>
                <w:sz w:val="16"/>
                <w:szCs w:val="16"/>
                <w:rtl/>
              </w:rPr>
              <w:br/>
            </w:r>
            <w:r w:rsidRPr="005874E8">
              <w:rPr>
                <w:rFonts w:ascii="Tahoma" w:hAnsi="Tahoma" w:cs="Tahoma" w:hint="cs"/>
                <w:b/>
                <w:bCs/>
                <w:sz w:val="16"/>
                <w:szCs w:val="16"/>
                <w:rtl/>
              </w:rPr>
              <w:t xml:space="preserve">סמים </w:t>
            </w:r>
            <w:r w:rsidR="005874E8">
              <w:rPr>
                <w:rFonts w:ascii="Tahoma" w:hAnsi="Tahoma" w:cs="Tahoma"/>
                <w:b/>
                <w:bCs/>
                <w:sz w:val="16"/>
                <w:szCs w:val="16"/>
                <w:rtl/>
              </w:rPr>
              <w:br/>
            </w:r>
            <w:r w:rsidRPr="005874E8">
              <w:rPr>
                <w:rFonts w:ascii="Tahoma" w:hAnsi="Tahoma" w:cs="Tahoma" w:hint="cs"/>
                <w:b/>
                <w:bCs/>
                <w:sz w:val="16"/>
                <w:szCs w:val="16"/>
                <w:rtl/>
              </w:rPr>
              <w:t>או אלכוהול</w:t>
            </w:r>
          </w:p>
        </w:tc>
      </w:tr>
      <w:tr w:rsidTr="002C5B6E">
        <w:tblPrEx>
          <w:tblW w:w="6237" w:type="dxa"/>
          <w:tblCellMar>
            <w:left w:w="57" w:type="dxa"/>
            <w:right w:w="57" w:type="dxa"/>
          </w:tblCellMar>
          <w:tblLook w:val="04A0"/>
        </w:tblPrEx>
        <w:trPr>
          <w:tblHeader/>
        </w:trPr>
        <w:tc>
          <w:tcPr>
            <w:tcW w:w="0" w:type="auto"/>
            <w:vMerge/>
            <w:tcBorders>
              <w:top w:val="single" w:sz="4" w:space="0" w:color="auto"/>
              <w:left w:val="single" w:sz="8" w:space="0" w:color="auto"/>
              <w:bottom w:val="single" w:sz="8" w:space="0" w:color="auto"/>
            </w:tcBorders>
            <w:shd w:val="clear" w:color="auto" w:fill="CEEAF5"/>
            <w:vAlign w:val="bottom"/>
          </w:tcPr>
          <w:p w:rsidR="009B6D36" w:rsidRPr="005874E8" w:rsidP="00211D07">
            <w:pPr>
              <w:tabs>
                <w:tab w:val="left" w:pos="1148"/>
              </w:tabs>
              <w:spacing w:before="40" w:after="40" w:line="280" w:lineRule="exact"/>
              <w:rPr>
                <w:rFonts w:ascii="Tahoma" w:hAnsi="Tahoma" w:cs="Tahoma"/>
                <w:b/>
                <w:bCs/>
                <w:sz w:val="16"/>
                <w:szCs w:val="16"/>
                <w:rtl/>
              </w:rPr>
            </w:pPr>
          </w:p>
        </w:tc>
        <w:tc>
          <w:tcPr>
            <w:tcW w:w="0" w:type="auto"/>
            <w:vMerge/>
            <w:tcBorders>
              <w:top w:val="single" w:sz="4" w:space="0" w:color="auto"/>
              <w:bottom w:val="single" w:sz="8" w:space="0" w:color="auto"/>
            </w:tcBorders>
            <w:shd w:val="clear" w:color="auto" w:fill="CEEAF5"/>
            <w:vAlign w:val="bottom"/>
          </w:tcPr>
          <w:p w:rsidR="009B6D36" w:rsidRPr="005874E8" w:rsidP="00211D07">
            <w:pPr>
              <w:tabs>
                <w:tab w:val="left" w:pos="1148"/>
              </w:tabs>
              <w:spacing w:before="40" w:after="40" w:line="280" w:lineRule="exact"/>
              <w:rPr>
                <w:rFonts w:ascii="Tahoma" w:hAnsi="Tahoma" w:cs="Tahoma"/>
                <w:b/>
                <w:bCs/>
                <w:sz w:val="16"/>
                <w:szCs w:val="16"/>
                <w:rtl/>
              </w:rPr>
            </w:pPr>
          </w:p>
        </w:tc>
        <w:tc>
          <w:tcPr>
            <w:tcW w:w="0" w:type="auto"/>
            <w:tcBorders>
              <w:top w:val="single" w:sz="4" w:space="0" w:color="auto"/>
              <w:bottom w:val="single" w:sz="8" w:space="0" w:color="auto"/>
            </w:tcBorders>
            <w:shd w:val="clear" w:color="auto" w:fill="CEEAF5"/>
            <w:vAlign w:val="bottom"/>
          </w:tcPr>
          <w:p w:rsidR="009B6D36" w:rsidRPr="005874E8" w:rsidP="005874E8">
            <w:pPr>
              <w:tabs>
                <w:tab w:val="left" w:pos="1148"/>
              </w:tabs>
              <w:spacing w:before="40" w:after="40" w:line="280" w:lineRule="exact"/>
              <w:rPr>
                <w:rFonts w:ascii="Tahoma" w:hAnsi="Tahoma" w:cs="Tahoma"/>
                <w:b/>
                <w:bCs/>
                <w:sz w:val="16"/>
                <w:szCs w:val="16"/>
                <w:rtl/>
              </w:rPr>
            </w:pPr>
            <w:r w:rsidRPr="005874E8">
              <w:rPr>
                <w:rFonts w:ascii="Tahoma" w:hAnsi="Tahoma" w:cs="Tahoma"/>
                <w:b/>
                <w:bCs/>
                <w:sz w:val="16"/>
                <w:szCs w:val="16"/>
                <w:rtl/>
              </w:rPr>
              <w:t xml:space="preserve">בימים א-ו </w:t>
            </w:r>
            <w:r w:rsidR="005874E8">
              <w:rPr>
                <w:rFonts w:ascii="Tahoma" w:hAnsi="Tahoma" w:cs="Tahoma" w:hint="cs"/>
                <w:b/>
                <w:bCs/>
                <w:sz w:val="16"/>
                <w:szCs w:val="16"/>
                <w:rtl/>
              </w:rPr>
              <w:br/>
            </w:r>
            <w:r w:rsidRPr="005874E8">
              <w:rPr>
                <w:rFonts w:ascii="Tahoma" w:hAnsi="Tahoma" w:cs="Tahoma"/>
                <w:b/>
                <w:bCs/>
                <w:sz w:val="16"/>
                <w:szCs w:val="16"/>
                <w:rtl/>
              </w:rPr>
              <w:t xml:space="preserve">(כולל) </w:t>
            </w:r>
            <w:r w:rsidR="005874E8">
              <w:rPr>
                <w:rFonts w:ascii="Tahoma" w:hAnsi="Tahoma" w:cs="Tahoma" w:hint="cs"/>
                <w:b/>
                <w:bCs/>
                <w:sz w:val="16"/>
                <w:szCs w:val="16"/>
                <w:rtl/>
              </w:rPr>
              <w:br/>
            </w:r>
            <w:r w:rsidRPr="005874E8">
              <w:rPr>
                <w:rFonts w:ascii="Tahoma" w:hAnsi="Tahoma" w:cs="Tahoma"/>
                <w:b/>
                <w:bCs/>
                <w:sz w:val="16"/>
                <w:szCs w:val="16"/>
                <w:rtl/>
              </w:rPr>
              <w:t xml:space="preserve">משעה </w:t>
            </w:r>
            <w:r w:rsidR="005874E8">
              <w:rPr>
                <w:rFonts w:ascii="Tahoma" w:hAnsi="Tahoma" w:cs="Tahoma" w:hint="cs"/>
                <w:b/>
                <w:bCs/>
                <w:sz w:val="16"/>
                <w:szCs w:val="16"/>
                <w:rtl/>
              </w:rPr>
              <w:br/>
            </w:r>
            <w:r w:rsidRPr="005874E8">
              <w:rPr>
                <w:rFonts w:ascii="Tahoma" w:hAnsi="Tahoma" w:cs="Tahoma"/>
                <w:b/>
                <w:bCs/>
                <w:sz w:val="16"/>
                <w:szCs w:val="16"/>
                <w:rtl/>
              </w:rPr>
              <w:t>07:00</w:t>
            </w:r>
            <w:r w:rsidR="005874E8">
              <w:rPr>
                <w:rFonts w:ascii="Tahoma" w:hAnsi="Tahoma" w:cs="Tahoma" w:hint="cs"/>
                <w:b/>
                <w:bCs/>
                <w:sz w:val="16"/>
                <w:szCs w:val="16"/>
                <w:rtl/>
              </w:rPr>
              <w:t xml:space="preserve"> </w:t>
            </w:r>
            <w:r w:rsidRPr="005874E8">
              <w:rPr>
                <w:rFonts w:ascii="Tahoma" w:hAnsi="Tahoma" w:cs="Tahoma"/>
                <w:b/>
                <w:bCs/>
                <w:sz w:val="16"/>
                <w:szCs w:val="16"/>
                <w:rtl/>
              </w:rPr>
              <w:t xml:space="preserve">עד </w:t>
            </w:r>
            <w:r w:rsidR="005874E8">
              <w:rPr>
                <w:rFonts w:ascii="Tahoma" w:hAnsi="Tahoma" w:cs="Tahoma" w:hint="cs"/>
                <w:b/>
                <w:bCs/>
                <w:sz w:val="16"/>
                <w:szCs w:val="16"/>
                <w:rtl/>
              </w:rPr>
              <w:br/>
            </w:r>
            <w:r w:rsidRPr="005874E8">
              <w:rPr>
                <w:rFonts w:ascii="Tahoma" w:hAnsi="Tahoma" w:cs="Tahoma"/>
                <w:b/>
                <w:bCs/>
                <w:sz w:val="16"/>
                <w:szCs w:val="16"/>
                <w:rtl/>
              </w:rPr>
              <w:t>שעה 15:00</w:t>
            </w:r>
          </w:p>
        </w:tc>
        <w:tc>
          <w:tcPr>
            <w:tcW w:w="0" w:type="auto"/>
            <w:tcBorders>
              <w:top w:val="single" w:sz="4" w:space="0" w:color="auto"/>
              <w:bottom w:val="single" w:sz="8" w:space="0" w:color="auto"/>
            </w:tcBorders>
            <w:shd w:val="clear" w:color="auto" w:fill="CEEAF5"/>
            <w:vAlign w:val="bottom"/>
          </w:tcPr>
          <w:p w:rsidR="009B6D36" w:rsidRPr="005874E8" w:rsidP="005874E8">
            <w:pPr>
              <w:tabs>
                <w:tab w:val="left" w:pos="1148"/>
              </w:tabs>
              <w:spacing w:before="40" w:after="40" w:line="280" w:lineRule="exact"/>
              <w:rPr>
                <w:rFonts w:ascii="Tahoma" w:hAnsi="Tahoma" w:cs="Tahoma"/>
                <w:b/>
                <w:bCs/>
                <w:sz w:val="16"/>
                <w:szCs w:val="16"/>
                <w:rtl/>
              </w:rPr>
            </w:pPr>
            <w:r w:rsidRPr="005874E8">
              <w:rPr>
                <w:rFonts w:ascii="Tahoma" w:hAnsi="Tahoma" w:cs="Tahoma"/>
                <w:b/>
                <w:bCs/>
                <w:sz w:val="16"/>
                <w:szCs w:val="16"/>
                <w:rtl/>
              </w:rPr>
              <w:t xml:space="preserve">בימים א-ה </w:t>
            </w:r>
            <w:r w:rsidR="005874E8">
              <w:rPr>
                <w:rFonts w:ascii="Tahoma" w:hAnsi="Tahoma" w:cs="Tahoma" w:hint="cs"/>
                <w:b/>
                <w:bCs/>
                <w:sz w:val="16"/>
                <w:szCs w:val="16"/>
                <w:rtl/>
              </w:rPr>
              <w:br/>
            </w:r>
            <w:r w:rsidRPr="005874E8">
              <w:rPr>
                <w:rFonts w:ascii="Tahoma" w:hAnsi="Tahoma" w:cs="Tahoma"/>
                <w:b/>
                <w:bCs/>
                <w:sz w:val="16"/>
                <w:szCs w:val="16"/>
                <w:rtl/>
              </w:rPr>
              <w:t xml:space="preserve">(כולל) </w:t>
            </w:r>
            <w:r w:rsidR="005874E8">
              <w:rPr>
                <w:rFonts w:ascii="Tahoma" w:hAnsi="Tahoma" w:cs="Tahoma" w:hint="cs"/>
                <w:b/>
                <w:bCs/>
                <w:sz w:val="16"/>
                <w:szCs w:val="16"/>
                <w:rtl/>
              </w:rPr>
              <w:br/>
            </w:r>
            <w:r w:rsidRPr="005874E8">
              <w:rPr>
                <w:rFonts w:ascii="Tahoma" w:hAnsi="Tahoma" w:cs="Tahoma"/>
                <w:b/>
                <w:bCs/>
                <w:sz w:val="16"/>
                <w:szCs w:val="16"/>
                <w:rtl/>
              </w:rPr>
              <w:t xml:space="preserve">משעה </w:t>
            </w:r>
            <w:r w:rsidR="005874E8">
              <w:rPr>
                <w:rFonts w:ascii="Tahoma" w:hAnsi="Tahoma" w:cs="Tahoma" w:hint="cs"/>
                <w:b/>
                <w:bCs/>
                <w:sz w:val="16"/>
                <w:szCs w:val="16"/>
                <w:rtl/>
              </w:rPr>
              <w:t xml:space="preserve"> </w:t>
            </w:r>
            <w:r w:rsidRPr="005874E8">
              <w:rPr>
                <w:rFonts w:ascii="Tahoma" w:hAnsi="Tahoma" w:cs="Tahoma"/>
                <w:b/>
                <w:bCs/>
                <w:sz w:val="16"/>
                <w:szCs w:val="16"/>
                <w:rtl/>
              </w:rPr>
              <w:t>15:00</w:t>
            </w:r>
            <w:r w:rsidR="005874E8">
              <w:rPr>
                <w:rFonts w:ascii="Tahoma" w:hAnsi="Tahoma" w:cs="Tahoma" w:hint="cs"/>
                <w:b/>
                <w:bCs/>
                <w:sz w:val="16"/>
                <w:szCs w:val="16"/>
                <w:rtl/>
              </w:rPr>
              <w:br/>
            </w:r>
            <w:r w:rsidRPr="005874E8">
              <w:rPr>
                <w:rFonts w:ascii="Tahoma" w:hAnsi="Tahoma" w:cs="Tahoma"/>
                <w:b/>
                <w:bCs/>
                <w:sz w:val="16"/>
                <w:szCs w:val="16"/>
                <w:rtl/>
              </w:rPr>
              <w:t xml:space="preserve">עד שעה </w:t>
            </w:r>
            <w:r w:rsidR="005874E8">
              <w:rPr>
                <w:rFonts w:ascii="Tahoma" w:hAnsi="Tahoma" w:cs="Tahoma" w:hint="cs"/>
                <w:b/>
                <w:bCs/>
                <w:sz w:val="16"/>
                <w:szCs w:val="16"/>
                <w:rtl/>
              </w:rPr>
              <w:br/>
            </w:r>
            <w:r w:rsidRPr="005874E8">
              <w:rPr>
                <w:rFonts w:ascii="Tahoma" w:hAnsi="Tahoma" w:cs="Tahoma"/>
                <w:b/>
                <w:bCs/>
                <w:sz w:val="16"/>
                <w:szCs w:val="16"/>
                <w:rtl/>
              </w:rPr>
              <w:t xml:space="preserve">07:00 של </w:t>
            </w:r>
            <w:r w:rsidR="005874E8">
              <w:rPr>
                <w:rFonts w:ascii="Tahoma" w:hAnsi="Tahoma" w:cs="Tahoma" w:hint="cs"/>
                <w:b/>
                <w:bCs/>
                <w:sz w:val="16"/>
                <w:szCs w:val="16"/>
                <w:rtl/>
              </w:rPr>
              <w:br/>
            </w:r>
            <w:r w:rsidRPr="005874E8">
              <w:rPr>
                <w:rFonts w:ascii="Tahoma" w:hAnsi="Tahoma" w:cs="Tahoma"/>
                <w:b/>
                <w:bCs/>
                <w:sz w:val="16"/>
                <w:szCs w:val="16"/>
                <w:rtl/>
              </w:rPr>
              <w:t>היום למחרת</w:t>
            </w:r>
          </w:p>
        </w:tc>
        <w:tc>
          <w:tcPr>
            <w:tcW w:w="0" w:type="auto"/>
            <w:tcBorders>
              <w:top w:val="single" w:sz="4" w:space="0" w:color="auto"/>
              <w:bottom w:val="single" w:sz="8" w:space="0" w:color="auto"/>
            </w:tcBorders>
            <w:shd w:val="clear" w:color="auto" w:fill="CEEAF5"/>
            <w:vAlign w:val="bottom"/>
          </w:tcPr>
          <w:p w:rsidR="009B6D36" w:rsidRPr="005874E8" w:rsidP="00211D07">
            <w:pPr>
              <w:tabs>
                <w:tab w:val="left" w:pos="1148"/>
              </w:tabs>
              <w:spacing w:before="40" w:after="40" w:line="280" w:lineRule="exact"/>
              <w:rPr>
                <w:rFonts w:ascii="Tahoma" w:hAnsi="Tahoma" w:cs="Tahoma"/>
                <w:b/>
                <w:bCs/>
                <w:sz w:val="16"/>
                <w:szCs w:val="16"/>
                <w:rtl/>
              </w:rPr>
            </w:pPr>
            <w:r w:rsidRPr="005874E8">
              <w:rPr>
                <w:rFonts w:ascii="Tahoma" w:hAnsi="Tahoma" w:cs="Tahoma"/>
                <w:b/>
                <w:bCs/>
                <w:sz w:val="16"/>
                <w:szCs w:val="16"/>
                <w:rtl/>
              </w:rPr>
              <w:t xml:space="preserve">מיום שישי </w:t>
            </w:r>
            <w:r w:rsidR="005874E8">
              <w:rPr>
                <w:rFonts w:ascii="Tahoma" w:hAnsi="Tahoma" w:cs="Tahoma" w:hint="cs"/>
                <w:b/>
                <w:bCs/>
                <w:sz w:val="16"/>
                <w:szCs w:val="16"/>
                <w:rtl/>
              </w:rPr>
              <w:br/>
            </w:r>
            <w:r w:rsidRPr="005874E8">
              <w:rPr>
                <w:rFonts w:ascii="Tahoma" w:hAnsi="Tahoma" w:cs="Tahoma"/>
                <w:b/>
                <w:bCs/>
                <w:sz w:val="16"/>
                <w:szCs w:val="16"/>
                <w:rtl/>
              </w:rPr>
              <w:t xml:space="preserve">בשעה 15:00 </w:t>
            </w:r>
            <w:r w:rsidR="005874E8">
              <w:rPr>
                <w:rFonts w:ascii="Tahoma" w:hAnsi="Tahoma" w:cs="Tahoma" w:hint="cs"/>
                <w:b/>
                <w:bCs/>
                <w:sz w:val="16"/>
                <w:szCs w:val="16"/>
                <w:rtl/>
              </w:rPr>
              <w:br/>
            </w:r>
            <w:r w:rsidRPr="005874E8">
              <w:rPr>
                <w:rFonts w:ascii="Tahoma" w:hAnsi="Tahoma" w:cs="Tahoma"/>
                <w:b/>
                <w:bCs/>
                <w:sz w:val="16"/>
                <w:szCs w:val="16"/>
                <w:rtl/>
              </w:rPr>
              <w:t xml:space="preserve">עד יום ראשון </w:t>
            </w:r>
            <w:r w:rsidR="005874E8">
              <w:rPr>
                <w:rFonts w:ascii="Tahoma" w:hAnsi="Tahoma" w:cs="Tahoma" w:hint="cs"/>
                <w:b/>
                <w:bCs/>
                <w:sz w:val="16"/>
                <w:szCs w:val="16"/>
                <w:rtl/>
              </w:rPr>
              <w:br/>
            </w:r>
            <w:r w:rsidRPr="005874E8">
              <w:rPr>
                <w:rFonts w:ascii="Tahoma" w:hAnsi="Tahoma" w:cs="Tahoma"/>
                <w:b/>
                <w:bCs/>
                <w:sz w:val="16"/>
                <w:szCs w:val="16"/>
                <w:rtl/>
              </w:rPr>
              <w:t>בשעה 07:00</w:t>
            </w:r>
          </w:p>
        </w:tc>
        <w:tc>
          <w:tcPr>
            <w:tcW w:w="0" w:type="auto"/>
            <w:vMerge/>
            <w:tcBorders>
              <w:top w:val="nil"/>
              <w:bottom w:val="single" w:sz="8" w:space="0" w:color="auto"/>
              <w:right w:val="single" w:sz="8" w:space="0" w:color="auto"/>
            </w:tcBorders>
            <w:shd w:val="clear" w:color="auto" w:fill="CEEAF5"/>
            <w:vAlign w:val="bottom"/>
          </w:tcPr>
          <w:p w:rsidR="009B6D36" w:rsidRPr="00211D07" w:rsidP="00211D07">
            <w:pPr>
              <w:tabs>
                <w:tab w:val="left" w:pos="1148"/>
              </w:tabs>
              <w:spacing w:before="40" w:after="40" w:line="280" w:lineRule="exact"/>
              <w:rPr>
                <w:rFonts w:ascii="Tahoma" w:hAnsi="Tahoma" w:cs="Tahoma"/>
                <w:sz w:val="16"/>
                <w:szCs w:val="16"/>
                <w:rtl/>
              </w:rPr>
            </w:pPr>
          </w:p>
        </w:tc>
      </w:tr>
      <w:tr w:rsidTr="002E34D6">
        <w:tblPrEx>
          <w:tblW w:w="6237" w:type="dxa"/>
          <w:tblCellMar>
            <w:left w:w="57" w:type="dxa"/>
            <w:right w:w="57" w:type="dxa"/>
          </w:tblCellMar>
          <w:tblLook w:val="04A0"/>
        </w:tblPrEx>
        <w:tc>
          <w:tcPr>
            <w:tcW w:w="0" w:type="auto"/>
            <w:tcBorders>
              <w:top w:val="single" w:sz="8" w:space="0" w:color="auto"/>
              <w:left w:val="single" w:sz="8" w:space="0" w:color="auto"/>
              <w:bottom w:val="nil"/>
            </w:tcBorders>
          </w:tcPr>
          <w:p w:rsidR="009B6D36" w:rsidRPr="00211D07" w:rsidP="005874E8">
            <w:pPr>
              <w:tabs>
                <w:tab w:val="left" w:pos="1148"/>
              </w:tabs>
              <w:spacing w:before="40" w:after="40" w:line="280" w:lineRule="exact"/>
              <w:rPr>
                <w:rFonts w:ascii="Tahoma" w:hAnsi="Tahoma" w:cs="Tahoma"/>
                <w:sz w:val="16"/>
                <w:szCs w:val="16"/>
                <w:rtl/>
              </w:rPr>
            </w:pPr>
            <w:r w:rsidRPr="00211D07">
              <w:rPr>
                <w:rFonts w:ascii="Tahoma" w:hAnsi="Tahoma" w:cs="Tahoma" w:hint="cs"/>
                <w:sz w:val="16"/>
                <w:szCs w:val="16"/>
                <w:rtl/>
              </w:rPr>
              <w:t>2016</w:t>
            </w:r>
          </w:p>
        </w:tc>
        <w:tc>
          <w:tcPr>
            <w:tcW w:w="0" w:type="auto"/>
            <w:tcBorders>
              <w:top w:val="single" w:sz="8" w:space="0" w:color="auto"/>
              <w:bottom w:val="nil"/>
            </w:tcBorders>
          </w:tcPr>
          <w:p w:rsidR="009B6D36" w:rsidRPr="00211D07" w:rsidP="005874E8">
            <w:pPr>
              <w:tabs>
                <w:tab w:val="left" w:pos="1148"/>
              </w:tabs>
              <w:spacing w:before="40" w:after="40" w:line="280" w:lineRule="exact"/>
              <w:rPr>
                <w:rFonts w:ascii="Tahoma" w:hAnsi="Tahoma" w:cs="Tahoma"/>
                <w:sz w:val="16"/>
                <w:szCs w:val="16"/>
                <w:rtl/>
              </w:rPr>
            </w:pPr>
            <w:r w:rsidRPr="00211D07">
              <w:rPr>
                <w:rFonts w:ascii="Tahoma" w:hAnsi="Tahoma" w:cs="Tahoma" w:hint="cs"/>
                <w:sz w:val="16"/>
                <w:szCs w:val="16"/>
                <w:rtl/>
              </w:rPr>
              <w:t>שימוש באלכוהול</w:t>
            </w:r>
          </w:p>
        </w:tc>
        <w:tc>
          <w:tcPr>
            <w:tcW w:w="0" w:type="auto"/>
            <w:tcBorders>
              <w:top w:val="single" w:sz="8" w:space="0" w:color="auto"/>
              <w:bottom w:val="nil"/>
            </w:tcBorders>
          </w:tcPr>
          <w:p w:rsidR="009B6D36" w:rsidRPr="00211D07" w:rsidP="005874E8">
            <w:pPr>
              <w:tabs>
                <w:tab w:val="left" w:pos="1148"/>
              </w:tabs>
              <w:spacing w:before="40" w:after="40" w:line="280" w:lineRule="exact"/>
              <w:rPr>
                <w:rFonts w:ascii="Tahoma" w:hAnsi="Tahoma" w:cs="Tahoma"/>
                <w:sz w:val="16"/>
                <w:szCs w:val="16"/>
                <w:rtl/>
              </w:rPr>
            </w:pPr>
            <w:r w:rsidRPr="00211D07">
              <w:rPr>
                <w:rFonts w:ascii="Tahoma" w:hAnsi="Tahoma" w:cs="Tahoma" w:hint="cs"/>
                <w:sz w:val="16"/>
                <w:szCs w:val="16"/>
                <w:rtl/>
              </w:rPr>
              <w:t>16%</w:t>
            </w:r>
          </w:p>
        </w:tc>
        <w:tc>
          <w:tcPr>
            <w:tcW w:w="0" w:type="auto"/>
            <w:tcBorders>
              <w:top w:val="single" w:sz="8" w:space="0" w:color="auto"/>
              <w:bottom w:val="nil"/>
            </w:tcBorders>
          </w:tcPr>
          <w:p w:rsidR="009B6D36" w:rsidRPr="00211D07" w:rsidP="005874E8">
            <w:pPr>
              <w:tabs>
                <w:tab w:val="left" w:pos="1148"/>
              </w:tabs>
              <w:spacing w:before="40" w:after="40" w:line="280" w:lineRule="exact"/>
              <w:rPr>
                <w:rFonts w:ascii="Tahoma" w:hAnsi="Tahoma" w:cs="Tahoma"/>
                <w:sz w:val="16"/>
                <w:szCs w:val="16"/>
                <w:rtl/>
              </w:rPr>
            </w:pPr>
            <w:r w:rsidRPr="00211D07">
              <w:rPr>
                <w:rFonts w:ascii="Tahoma" w:hAnsi="Tahoma" w:cs="Tahoma" w:hint="cs"/>
                <w:sz w:val="16"/>
                <w:szCs w:val="16"/>
                <w:rtl/>
              </w:rPr>
              <w:t>51%</w:t>
            </w:r>
          </w:p>
        </w:tc>
        <w:tc>
          <w:tcPr>
            <w:tcW w:w="0" w:type="auto"/>
            <w:tcBorders>
              <w:top w:val="single" w:sz="8" w:space="0" w:color="auto"/>
              <w:bottom w:val="nil"/>
            </w:tcBorders>
          </w:tcPr>
          <w:p w:rsidR="009B6D36" w:rsidRPr="00211D07" w:rsidP="005874E8">
            <w:pPr>
              <w:tabs>
                <w:tab w:val="left" w:pos="1148"/>
              </w:tabs>
              <w:spacing w:before="40" w:after="40" w:line="280" w:lineRule="exact"/>
              <w:rPr>
                <w:rFonts w:ascii="Tahoma" w:hAnsi="Tahoma" w:cs="Tahoma"/>
                <w:sz w:val="16"/>
                <w:szCs w:val="16"/>
                <w:rtl/>
              </w:rPr>
            </w:pPr>
            <w:r w:rsidRPr="00211D07">
              <w:rPr>
                <w:rFonts w:ascii="Tahoma" w:hAnsi="Tahoma" w:cs="Tahoma" w:hint="cs"/>
                <w:sz w:val="16"/>
                <w:szCs w:val="16"/>
                <w:rtl/>
              </w:rPr>
              <w:t>33%</w:t>
            </w:r>
          </w:p>
        </w:tc>
        <w:tc>
          <w:tcPr>
            <w:tcW w:w="0" w:type="auto"/>
            <w:tcBorders>
              <w:top w:val="single" w:sz="8" w:space="0" w:color="auto"/>
              <w:bottom w:val="nil"/>
              <w:right w:val="single" w:sz="8" w:space="0" w:color="auto"/>
            </w:tcBorders>
          </w:tcPr>
          <w:p w:rsidR="009B6D36" w:rsidRPr="00211D07" w:rsidP="005874E8">
            <w:pPr>
              <w:tabs>
                <w:tab w:val="left" w:pos="1148"/>
              </w:tabs>
              <w:spacing w:before="40" w:after="40" w:line="280" w:lineRule="exact"/>
              <w:rPr>
                <w:rFonts w:ascii="Tahoma" w:hAnsi="Tahoma" w:cs="Tahoma"/>
                <w:sz w:val="16"/>
                <w:szCs w:val="16"/>
                <w:rtl/>
              </w:rPr>
            </w:pPr>
            <w:r w:rsidRPr="00211D07">
              <w:rPr>
                <w:rFonts w:ascii="Tahoma" w:hAnsi="Tahoma" w:cs="Tahoma" w:hint="cs"/>
                <w:sz w:val="16"/>
                <w:szCs w:val="16"/>
                <w:rtl/>
              </w:rPr>
              <w:t>6,144</w:t>
            </w:r>
          </w:p>
        </w:tc>
      </w:tr>
      <w:tr w:rsidTr="002E34D6">
        <w:tblPrEx>
          <w:tblW w:w="6237" w:type="dxa"/>
          <w:tblCellMar>
            <w:left w:w="57" w:type="dxa"/>
            <w:right w:w="57" w:type="dxa"/>
          </w:tblCellMar>
          <w:tblLook w:val="04A0"/>
        </w:tblPrEx>
        <w:tc>
          <w:tcPr>
            <w:tcW w:w="0" w:type="auto"/>
            <w:tcBorders>
              <w:top w:val="nil"/>
              <w:left w:val="single" w:sz="8" w:space="0" w:color="auto"/>
              <w:bottom w:val="single" w:sz="4" w:space="0" w:color="auto"/>
            </w:tcBorders>
          </w:tcPr>
          <w:p w:rsidR="009B6D36" w:rsidRPr="00211D07" w:rsidP="005874E8">
            <w:pPr>
              <w:tabs>
                <w:tab w:val="left" w:pos="1148"/>
              </w:tabs>
              <w:spacing w:before="40" w:after="40" w:line="280" w:lineRule="exact"/>
              <w:rPr>
                <w:rFonts w:ascii="Tahoma" w:hAnsi="Tahoma" w:cs="Tahoma"/>
                <w:sz w:val="16"/>
                <w:szCs w:val="16"/>
                <w:rtl/>
              </w:rPr>
            </w:pPr>
            <w:r w:rsidRPr="00211D07">
              <w:rPr>
                <w:rFonts w:ascii="Tahoma" w:hAnsi="Tahoma" w:cs="Tahoma" w:hint="cs"/>
                <w:sz w:val="16"/>
                <w:szCs w:val="16"/>
                <w:rtl/>
              </w:rPr>
              <w:t>2016</w:t>
            </w:r>
          </w:p>
        </w:tc>
        <w:tc>
          <w:tcPr>
            <w:tcW w:w="0" w:type="auto"/>
            <w:tcBorders>
              <w:top w:val="nil"/>
              <w:bottom w:val="single" w:sz="4" w:space="0" w:color="auto"/>
            </w:tcBorders>
          </w:tcPr>
          <w:p w:rsidR="009B6D36" w:rsidRPr="00211D07" w:rsidP="005874E8">
            <w:pPr>
              <w:tabs>
                <w:tab w:val="left" w:pos="1148"/>
              </w:tabs>
              <w:spacing w:before="40" w:after="40" w:line="280" w:lineRule="exact"/>
              <w:rPr>
                <w:rFonts w:ascii="Tahoma" w:hAnsi="Tahoma" w:cs="Tahoma"/>
                <w:sz w:val="16"/>
                <w:szCs w:val="16"/>
                <w:rtl/>
              </w:rPr>
            </w:pPr>
            <w:r w:rsidRPr="00211D07">
              <w:rPr>
                <w:rFonts w:ascii="Tahoma" w:hAnsi="Tahoma" w:cs="Tahoma" w:hint="cs"/>
                <w:sz w:val="16"/>
                <w:szCs w:val="16"/>
                <w:rtl/>
              </w:rPr>
              <w:t>שימוש בסמים</w:t>
            </w:r>
          </w:p>
        </w:tc>
        <w:tc>
          <w:tcPr>
            <w:tcW w:w="0" w:type="auto"/>
            <w:tcBorders>
              <w:top w:val="nil"/>
              <w:bottom w:val="single" w:sz="4" w:space="0" w:color="auto"/>
            </w:tcBorders>
          </w:tcPr>
          <w:p w:rsidR="009B6D36" w:rsidRPr="00211D07" w:rsidP="005874E8">
            <w:pPr>
              <w:tabs>
                <w:tab w:val="left" w:pos="1148"/>
              </w:tabs>
              <w:spacing w:before="40" w:after="40" w:line="280" w:lineRule="exact"/>
              <w:rPr>
                <w:rFonts w:ascii="Tahoma" w:hAnsi="Tahoma" w:cs="Tahoma"/>
                <w:sz w:val="16"/>
                <w:szCs w:val="16"/>
                <w:rtl/>
              </w:rPr>
            </w:pPr>
            <w:r w:rsidRPr="00211D07">
              <w:rPr>
                <w:rFonts w:ascii="Tahoma" w:hAnsi="Tahoma" w:cs="Tahoma" w:hint="cs"/>
                <w:sz w:val="16"/>
                <w:szCs w:val="16"/>
                <w:rtl/>
              </w:rPr>
              <w:t>27%</w:t>
            </w:r>
          </w:p>
        </w:tc>
        <w:tc>
          <w:tcPr>
            <w:tcW w:w="0" w:type="auto"/>
            <w:tcBorders>
              <w:top w:val="nil"/>
              <w:bottom w:val="single" w:sz="4" w:space="0" w:color="auto"/>
            </w:tcBorders>
          </w:tcPr>
          <w:p w:rsidR="009B6D36" w:rsidRPr="00211D07" w:rsidP="005874E8">
            <w:pPr>
              <w:tabs>
                <w:tab w:val="left" w:pos="1148"/>
              </w:tabs>
              <w:spacing w:before="40" w:after="40" w:line="280" w:lineRule="exact"/>
              <w:rPr>
                <w:rFonts w:ascii="Tahoma" w:hAnsi="Tahoma" w:cs="Tahoma"/>
                <w:sz w:val="16"/>
                <w:szCs w:val="16"/>
                <w:rtl/>
              </w:rPr>
            </w:pPr>
            <w:r w:rsidRPr="00211D07">
              <w:rPr>
                <w:rFonts w:ascii="Tahoma" w:hAnsi="Tahoma" w:cs="Tahoma" w:hint="cs"/>
                <w:sz w:val="16"/>
                <w:szCs w:val="16"/>
                <w:rtl/>
              </w:rPr>
              <w:t>48%</w:t>
            </w:r>
          </w:p>
        </w:tc>
        <w:tc>
          <w:tcPr>
            <w:tcW w:w="0" w:type="auto"/>
            <w:tcBorders>
              <w:top w:val="nil"/>
              <w:bottom w:val="single" w:sz="4" w:space="0" w:color="auto"/>
            </w:tcBorders>
          </w:tcPr>
          <w:p w:rsidR="009B6D36" w:rsidRPr="00211D07" w:rsidP="005874E8">
            <w:pPr>
              <w:tabs>
                <w:tab w:val="left" w:pos="1148"/>
              </w:tabs>
              <w:spacing w:before="40" w:after="40" w:line="280" w:lineRule="exact"/>
              <w:rPr>
                <w:rFonts w:ascii="Tahoma" w:hAnsi="Tahoma" w:cs="Tahoma"/>
                <w:sz w:val="16"/>
                <w:szCs w:val="16"/>
                <w:rtl/>
              </w:rPr>
            </w:pPr>
            <w:r w:rsidRPr="00211D07">
              <w:rPr>
                <w:rFonts w:ascii="Tahoma" w:hAnsi="Tahoma" w:cs="Tahoma" w:hint="cs"/>
                <w:sz w:val="16"/>
                <w:szCs w:val="16"/>
                <w:rtl/>
              </w:rPr>
              <w:t>25%</w:t>
            </w:r>
          </w:p>
        </w:tc>
        <w:tc>
          <w:tcPr>
            <w:tcW w:w="0" w:type="auto"/>
            <w:tcBorders>
              <w:top w:val="nil"/>
              <w:bottom w:val="single" w:sz="4" w:space="0" w:color="auto"/>
              <w:right w:val="single" w:sz="8" w:space="0" w:color="auto"/>
            </w:tcBorders>
          </w:tcPr>
          <w:p w:rsidR="009B6D36" w:rsidRPr="00211D07" w:rsidP="005874E8">
            <w:pPr>
              <w:tabs>
                <w:tab w:val="left" w:pos="1148"/>
              </w:tabs>
              <w:spacing w:before="40" w:after="40" w:line="280" w:lineRule="exact"/>
              <w:rPr>
                <w:rFonts w:ascii="Tahoma" w:hAnsi="Tahoma" w:cs="Tahoma"/>
                <w:sz w:val="16"/>
                <w:szCs w:val="16"/>
                <w:rtl/>
              </w:rPr>
            </w:pPr>
            <w:r w:rsidRPr="00211D07">
              <w:rPr>
                <w:rFonts w:ascii="Tahoma" w:hAnsi="Tahoma" w:cs="Tahoma" w:hint="cs"/>
                <w:sz w:val="16"/>
                <w:szCs w:val="16"/>
                <w:rtl/>
              </w:rPr>
              <w:t>2,360</w:t>
            </w:r>
          </w:p>
        </w:tc>
      </w:tr>
      <w:tr w:rsidTr="002E34D6">
        <w:tblPrEx>
          <w:tblW w:w="6237" w:type="dxa"/>
          <w:tblCellMar>
            <w:left w:w="57" w:type="dxa"/>
            <w:right w:w="57" w:type="dxa"/>
          </w:tblCellMar>
          <w:tblLook w:val="04A0"/>
        </w:tblPrEx>
        <w:tc>
          <w:tcPr>
            <w:tcW w:w="0" w:type="auto"/>
            <w:tcBorders>
              <w:top w:val="single" w:sz="4" w:space="0" w:color="auto"/>
              <w:left w:val="single" w:sz="8" w:space="0" w:color="auto"/>
              <w:bottom w:val="nil"/>
            </w:tcBorders>
          </w:tcPr>
          <w:p w:rsidR="009B6D36" w:rsidRPr="00211D07" w:rsidP="005874E8">
            <w:pPr>
              <w:tabs>
                <w:tab w:val="left" w:pos="1148"/>
              </w:tabs>
              <w:spacing w:before="40" w:after="40" w:line="280" w:lineRule="exact"/>
              <w:rPr>
                <w:rFonts w:ascii="Tahoma" w:hAnsi="Tahoma" w:cs="Tahoma"/>
                <w:sz w:val="16"/>
                <w:szCs w:val="16"/>
                <w:rtl/>
              </w:rPr>
            </w:pPr>
            <w:r w:rsidRPr="00211D07">
              <w:rPr>
                <w:rFonts w:ascii="Tahoma" w:hAnsi="Tahoma" w:cs="Tahoma" w:hint="cs"/>
                <w:sz w:val="16"/>
                <w:szCs w:val="16"/>
                <w:rtl/>
              </w:rPr>
              <w:t>2017</w:t>
            </w:r>
          </w:p>
        </w:tc>
        <w:tc>
          <w:tcPr>
            <w:tcW w:w="0" w:type="auto"/>
            <w:tcBorders>
              <w:top w:val="single" w:sz="4" w:space="0" w:color="auto"/>
              <w:bottom w:val="nil"/>
            </w:tcBorders>
          </w:tcPr>
          <w:p w:rsidR="009B6D36" w:rsidRPr="00211D07" w:rsidP="005874E8">
            <w:pPr>
              <w:tabs>
                <w:tab w:val="left" w:pos="1148"/>
              </w:tabs>
              <w:spacing w:before="40" w:after="40" w:line="280" w:lineRule="exact"/>
              <w:rPr>
                <w:rFonts w:ascii="Tahoma" w:hAnsi="Tahoma" w:cs="Tahoma"/>
                <w:sz w:val="16"/>
                <w:szCs w:val="16"/>
                <w:rtl/>
              </w:rPr>
            </w:pPr>
            <w:r w:rsidRPr="00211D07">
              <w:rPr>
                <w:rFonts w:ascii="Tahoma" w:hAnsi="Tahoma" w:cs="Tahoma"/>
                <w:sz w:val="16"/>
                <w:szCs w:val="16"/>
                <w:rtl/>
              </w:rPr>
              <w:t>שימוש באלכוהול</w:t>
            </w:r>
          </w:p>
        </w:tc>
        <w:tc>
          <w:tcPr>
            <w:tcW w:w="0" w:type="auto"/>
            <w:tcBorders>
              <w:top w:val="single" w:sz="4" w:space="0" w:color="auto"/>
              <w:bottom w:val="nil"/>
            </w:tcBorders>
          </w:tcPr>
          <w:p w:rsidR="009B6D36" w:rsidRPr="00211D07" w:rsidP="005874E8">
            <w:pPr>
              <w:tabs>
                <w:tab w:val="left" w:pos="1148"/>
              </w:tabs>
              <w:spacing w:before="40" w:after="40" w:line="280" w:lineRule="exact"/>
              <w:rPr>
                <w:rFonts w:ascii="Tahoma" w:hAnsi="Tahoma" w:cs="Tahoma"/>
                <w:sz w:val="16"/>
                <w:szCs w:val="16"/>
                <w:rtl/>
              </w:rPr>
            </w:pPr>
            <w:r w:rsidRPr="00211D07">
              <w:rPr>
                <w:rFonts w:ascii="Tahoma" w:hAnsi="Tahoma" w:cs="Tahoma" w:hint="cs"/>
                <w:sz w:val="16"/>
                <w:szCs w:val="16"/>
                <w:rtl/>
              </w:rPr>
              <w:t>16%</w:t>
            </w:r>
          </w:p>
        </w:tc>
        <w:tc>
          <w:tcPr>
            <w:tcW w:w="0" w:type="auto"/>
            <w:tcBorders>
              <w:top w:val="single" w:sz="4" w:space="0" w:color="auto"/>
              <w:bottom w:val="nil"/>
            </w:tcBorders>
          </w:tcPr>
          <w:p w:rsidR="009B6D36" w:rsidRPr="00211D07" w:rsidP="005874E8">
            <w:pPr>
              <w:tabs>
                <w:tab w:val="left" w:pos="1148"/>
              </w:tabs>
              <w:spacing w:before="40" w:after="40" w:line="280" w:lineRule="exact"/>
              <w:rPr>
                <w:rFonts w:ascii="Tahoma" w:hAnsi="Tahoma" w:cs="Tahoma"/>
                <w:sz w:val="16"/>
                <w:szCs w:val="16"/>
                <w:rtl/>
              </w:rPr>
            </w:pPr>
            <w:r w:rsidRPr="00211D07">
              <w:rPr>
                <w:rFonts w:ascii="Tahoma" w:hAnsi="Tahoma" w:cs="Tahoma" w:hint="cs"/>
                <w:sz w:val="16"/>
                <w:szCs w:val="16"/>
                <w:rtl/>
              </w:rPr>
              <w:t>51%</w:t>
            </w:r>
          </w:p>
        </w:tc>
        <w:tc>
          <w:tcPr>
            <w:tcW w:w="0" w:type="auto"/>
            <w:tcBorders>
              <w:top w:val="single" w:sz="4" w:space="0" w:color="auto"/>
              <w:bottom w:val="nil"/>
            </w:tcBorders>
          </w:tcPr>
          <w:p w:rsidR="009B6D36" w:rsidRPr="00211D07" w:rsidP="005874E8">
            <w:pPr>
              <w:tabs>
                <w:tab w:val="left" w:pos="1148"/>
              </w:tabs>
              <w:spacing w:before="40" w:after="40" w:line="280" w:lineRule="exact"/>
              <w:rPr>
                <w:rFonts w:ascii="Tahoma" w:hAnsi="Tahoma" w:cs="Tahoma"/>
                <w:sz w:val="16"/>
                <w:szCs w:val="16"/>
                <w:rtl/>
              </w:rPr>
            </w:pPr>
            <w:r w:rsidRPr="00211D07">
              <w:rPr>
                <w:rFonts w:ascii="Tahoma" w:hAnsi="Tahoma" w:cs="Tahoma" w:hint="cs"/>
                <w:sz w:val="16"/>
                <w:szCs w:val="16"/>
                <w:rtl/>
              </w:rPr>
              <w:t>33%</w:t>
            </w:r>
          </w:p>
        </w:tc>
        <w:tc>
          <w:tcPr>
            <w:tcW w:w="0" w:type="auto"/>
            <w:tcBorders>
              <w:top w:val="single" w:sz="4" w:space="0" w:color="auto"/>
              <w:bottom w:val="nil"/>
              <w:right w:val="single" w:sz="8" w:space="0" w:color="auto"/>
            </w:tcBorders>
          </w:tcPr>
          <w:p w:rsidR="009B6D36" w:rsidRPr="00211D07" w:rsidP="005874E8">
            <w:pPr>
              <w:tabs>
                <w:tab w:val="left" w:pos="1148"/>
              </w:tabs>
              <w:spacing w:before="40" w:after="40" w:line="280" w:lineRule="exact"/>
              <w:rPr>
                <w:rFonts w:ascii="Tahoma" w:hAnsi="Tahoma" w:cs="Tahoma"/>
                <w:sz w:val="16"/>
                <w:szCs w:val="16"/>
                <w:rtl/>
              </w:rPr>
            </w:pPr>
            <w:r w:rsidRPr="00211D07">
              <w:rPr>
                <w:rFonts w:ascii="Tahoma" w:hAnsi="Tahoma" w:cs="Tahoma" w:hint="cs"/>
                <w:sz w:val="16"/>
                <w:szCs w:val="16"/>
                <w:rtl/>
              </w:rPr>
              <w:t>6,259</w:t>
            </w:r>
          </w:p>
        </w:tc>
      </w:tr>
      <w:tr w:rsidTr="005874E8">
        <w:tblPrEx>
          <w:tblW w:w="6237" w:type="dxa"/>
          <w:tblCellMar>
            <w:left w:w="57" w:type="dxa"/>
            <w:right w:w="57" w:type="dxa"/>
          </w:tblCellMar>
          <w:tblLook w:val="04A0"/>
        </w:tblPrEx>
        <w:tc>
          <w:tcPr>
            <w:tcW w:w="0" w:type="auto"/>
            <w:tcBorders>
              <w:top w:val="nil"/>
              <w:left w:val="single" w:sz="8" w:space="0" w:color="auto"/>
              <w:bottom w:val="single" w:sz="8" w:space="0" w:color="auto"/>
            </w:tcBorders>
          </w:tcPr>
          <w:p w:rsidR="009B6D36" w:rsidRPr="00211D07" w:rsidP="005874E8">
            <w:pPr>
              <w:tabs>
                <w:tab w:val="left" w:pos="1148"/>
              </w:tabs>
              <w:spacing w:before="40" w:after="40" w:line="280" w:lineRule="exact"/>
              <w:rPr>
                <w:rFonts w:ascii="Tahoma" w:hAnsi="Tahoma" w:cs="Tahoma"/>
                <w:sz w:val="16"/>
                <w:szCs w:val="16"/>
                <w:rtl/>
              </w:rPr>
            </w:pPr>
            <w:r w:rsidRPr="00211D07">
              <w:rPr>
                <w:rFonts w:ascii="Tahoma" w:hAnsi="Tahoma" w:cs="Tahoma" w:hint="cs"/>
                <w:sz w:val="16"/>
                <w:szCs w:val="16"/>
                <w:rtl/>
              </w:rPr>
              <w:t>2017</w:t>
            </w:r>
          </w:p>
        </w:tc>
        <w:tc>
          <w:tcPr>
            <w:tcW w:w="0" w:type="auto"/>
            <w:tcBorders>
              <w:top w:val="nil"/>
              <w:bottom w:val="single" w:sz="8" w:space="0" w:color="auto"/>
            </w:tcBorders>
          </w:tcPr>
          <w:p w:rsidR="009B6D36" w:rsidRPr="00211D07" w:rsidP="005874E8">
            <w:pPr>
              <w:tabs>
                <w:tab w:val="left" w:pos="1148"/>
              </w:tabs>
              <w:spacing w:before="40" w:after="40" w:line="280" w:lineRule="exact"/>
              <w:rPr>
                <w:rFonts w:ascii="Tahoma" w:hAnsi="Tahoma" w:cs="Tahoma"/>
                <w:sz w:val="16"/>
                <w:szCs w:val="16"/>
                <w:rtl/>
              </w:rPr>
            </w:pPr>
            <w:r w:rsidRPr="00211D07">
              <w:rPr>
                <w:rFonts w:ascii="Tahoma" w:hAnsi="Tahoma" w:cs="Tahoma"/>
                <w:sz w:val="16"/>
                <w:szCs w:val="16"/>
                <w:rtl/>
              </w:rPr>
              <w:t>שימוש בסמים</w:t>
            </w:r>
          </w:p>
        </w:tc>
        <w:tc>
          <w:tcPr>
            <w:tcW w:w="0" w:type="auto"/>
            <w:tcBorders>
              <w:top w:val="nil"/>
              <w:bottom w:val="single" w:sz="8" w:space="0" w:color="auto"/>
            </w:tcBorders>
          </w:tcPr>
          <w:p w:rsidR="009B6D36" w:rsidRPr="00211D07" w:rsidP="005874E8">
            <w:pPr>
              <w:tabs>
                <w:tab w:val="left" w:pos="1148"/>
              </w:tabs>
              <w:spacing w:before="40" w:after="40" w:line="280" w:lineRule="exact"/>
              <w:rPr>
                <w:rFonts w:ascii="Tahoma" w:hAnsi="Tahoma" w:cs="Tahoma"/>
                <w:sz w:val="16"/>
                <w:szCs w:val="16"/>
                <w:rtl/>
              </w:rPr>
            </w:pPr>
            <w:r w:rsidRPr="00211D07">
              <w:rPr>
                <w:rFonts w:ascii="Tahoma" w:hAnsi="Tahoma" w:cs="Tahoma" w:hint="cs"/>
                <w:sz w:val="16"/>
                <w:szCs w:val="16"/>
                <w:rtl/>
              </w:rPr>
              <w:t>28%</w:t>
            </w:r>
          </w:p>
        </w:tc>
        <w:tc>
          <w:tcPr>
            <w:tcW w:w="0" w:type="auto"/>
            <w:tcBorders>
              <w:top w:val="nil"/>
              <w:bottom w:val="single" w:sz="8" w:space="0" w:color="auto"/>
            </w:tcBorders>
          </w:tcPr>
          <w:p w:rsidR="009B6D36" w:rsidRPr="00211D07" w:rsidP="005874E8">
            <w:pPr>
              <w:tabs>
                <w:tab w:val="left" w:pos="1148"/>
              </w:tabs>
              <w:spacing w:before="40" w:after="40" w:line="280" w:lineRule="exact"/>
              <w:rPr>
                <w:rFonts w:ascii="Tahoma" w:hAnsi="Tahoma" w:cs="Tahoma"/>
                <w:sz w:val="16"/>
                <w:szCs w:val="16"/>
                <w:rtl/>
              </w:rPr>
            </w:pPr>
            <w:r w:rsidRPr="00211D07">
              <w:rPr>
                <w:rFonts w:ascii="Tahoma" w:hAnsi="Tahoma" w:cs="Tahoma" w:hint="cs"/>
                <w:sz w:val="16"/>
                <w:szCs w:val="16"/>
                <w:rtl/>
              </w:rPr>
              <w:t>47%</w:t>
            </w:r>
          </w:p>
        </w:tc>
        <w:tc>
          <w:tcPr>
            <w:tcW w:w="0" w:type="auto"/>
            <w:tcBorders>
              <w:top w:val="nil"/>
              <w:bottom w:val="single" w:sz="8" w:space="0" w:color="auto"/>
            </w:tcBorders>
          </w:tcPr>
          <w:p w:rsidR="009B6D36" w:rsidRPr="00211D07" w:rsidP="005874E8">
            <w:pPr>
              <w:tabs>
                <w:tab w:val="left" w:pos="1148"/>
              </w:tabs>
              <w:spacing w:before="40" w:after="40" w:line="280" w:lineRule="exact"/>
              <w:rPr>
                <w:rFonts w:ascii="Tahoma" w:hAnsi="Tahoma" w:cs="Tahoma"/>
                <w:sz w:val="16"/>
                <w:szCs w:val="16"/>
                <w:rtl/>
              </w:rPr>
            </w:pPr>
            <w:r w:rsidRPr="00211D07">
              <w:rPr>
                <w:rFonts w:ascii="Tahoma" w:hAnsi="Tahoma" w:cs="Tahoma" w:hint="cs"/>
                <w:sz w:val="16"/>
                <w:szCs w:val="16"/>
                <w:rtl/>
              </w:rPr>
              <w:t>25%</w:t>
            </w:r>
          </w:p>
        </w:tc>
        <w:tc>
          <w:tcPr>
            <w:tcW w:w="0" w:type="auto"/>
            <w:tcBorders>
              <w:top w:val="nil"/>
              <w:bottom w:val="single" w:sz="8" w:space="0" w:color="auto"/>
              <w:right w:val="single" w:sz="8" w:space="0" w:color="auto"/>
            </w:tcBorders>
          </w:tcPr>
          <w:p w:rsidR="009B6D36" w:rsidRPr="00211D07" w:rsidP="005874E8">
            <w:pPr>
              <w:tabs>
                <w:tab w:val="left" w:pos="1148"/>
              </w:tabs>
              <w:spacing w:before="40" w:after="40" w:line="280" w:lineRule="exact"/>
              <w:rPr>
                <w:rFonts w:ascii="Tahoma" w:hAnsi="Tahoma" w:cs="Tahoma"/>
                <w:sz w:val="16"/>
                <w:szCs w:val="16"/>
                <w:rtl/>
              </w:rPr>
            </w:pPr>
            <w:r w:rsidRPr="00211D07">
              <w:rPr>
                <w:rFonts w:ascii="Tahoma" w:hAnsi="Tahoma" w:cs="Tahoma" w:hint="cs"/>
                <w:sz w:val="16"/>
                <w:szCs w:val="16"/>
                <w:rtl/>
              </w:rPr>
              <w:t>2,519</w:t>
            </w:r>
          </w:p>
        </w:tc>
      </w:tr>
    </w:tbl>
    <w:p w:rsidR="005874E8" w:rsidP="005874E8">
      <w:pPr>
        <w:spacing w:after="0" w:line="240" w:lineRule="exact"/>
        <w:ind w:left="340" w:right="2268"/>
        <w:jc w:val="both"/>
        <w:rPr>
          <w:rFonts w:ascii="Tahoma" w:hAnsi="Tahoma" w:cs="Tahoma"/>
          <w:b/>
          <w:bCs/>
          <w:sz w:val="18"/>
          <w:szCs w:val="18"/>
          <w:rtl/>
        </w:rPr>
      </w:pPr>
    </w:p>
    <w:p w:rsidR="009B6D36" w:rsidRPr="005874E8" w:rsidP="005874E8">
      <w:pPr>
        <w:pStyle w:val="RESHET"/>
        <w:ind w:left="567"/>
        <w:rPr>
          <w:rtl/>
        </w:rPr>
      </w:pPr>
      <w:r w:rsidRPr="005874E8">
        <w:rPr>
          <w:rFonts w:hint="cs"/>
          <w:rtl/>
        </w:rPr>
        <w:t xml:space="preserve">מהנתונים שבלוח 1 עולה כי מרבית הפונים לחדרי המיון על רקע שימוש באלכוהול ובסמים אינם מגיעים בשעות של משמרת הבוקר: כמחציתם מגיעים בשעות אחר הצהריים, הערב והלילה, ועוד כרבע עד שליש מהם מגיעים לחדרי המיון בסופי השבוע (כשליש על רקע שימוש באלכוהול וכרבע על רקע שימוש בסמים). </w:t>
      </w:r>
    </w:p>
    <w:p w:rsidR="009B6D36" w:rsidRPr="005874E8" w:rsidP="00335CD4">
      <w:pPr>
        <w:pStyle w:val="RESHET"/>
        <w:ind w:left="567"/>
        <w:rPr>
          <w:rtl/>
        </w:rPr>
      </w:pPr>
      <w:r w:rsidRPr="005874E8">
        <w:rPr>
          <w:rFonts w:hint="cs"/>
          <w:rtl/>
        </w:rPr>
        <w:t xml:space="preserve">יוצא אפוא, שמכורים הפונים לחדרי מיון שלא במשמרת בוקר, אינם פוגשים עו"ס כנדרש, </w:t>
      </w:r>
      <w:r w:rsidRPr="005874E8">
        <w:rPr>
          <w:rtl/>
        </w:rPr>
        <w:t>ולכן אינם עוברים הערכה ואם יש צורך בהמשך טיפול - הם אינם מופנים לטיפול בהתמכרותם לאחר שחרורם מחדר המיון.</w:t>
      </w:r>
      <w:r w:rsidRPr="005874E8">
        <w:rPr>
          <w:rFonts w:hint="cs"/>
          <w:rtl/>
        </w:rPr>
        <w:t xml:space="preserve"> בהיעדר עו"ס ספק אם נמסר למטופל ולמשפחתו המידע שהם אמורים לקבל לפי חוזר שירותי רפואה בנוגע "לטיפול בנפגעי סמים, אלכוהול או תרופות הפונים לחדר מיון"</w:t>
      </w:r>
      <w:r>
        <w:rPr>
          <w:rStyle w:val="FootnoteReference0"/>
          <w:sz w:val="18"/>
          <w:rtl/>
        </w:rPr>
        <w:footnoteReference w:id="24"/>
      </w:r>
      <w:r w:rsidRPr="005874E8">
        <w:rPr>
          <w:rFonts w:hint="cs"/>
          <w:rtl/>
        </w:rPr>
        <w:t xml:space="preserve">. </w:t>
      </w:r>
      <w:r w:rsidRPr="0012789B" w:rsidR="00290C9B">
        <w:rPr>
          <w:noProof/>
          <w:szCs w:val="17"/>
          <w:rtl/>
          <w:lang w:eastAsia="en-US"/>
        </w:rPr>
        <mc:AlternateContent>
          <mc:Choice Requires="wps">
            <w:drawing>
              <wp:anchor distT="0" distB="0" distL="114300" distR="114300" simplePos="0" relativeHeight="251676672" behindDoc="1" locked="0" layoutInCell="1" allowOverlap="1">
                <wp:simplePos x="0" y="0"/>
                <wp:positionH relativeFrom="margin">
                  <wp:posOffset>-431800</wp:posOffset>
                </wp:positionH>
                <wp:positionV relativeFrom="margin">
                  <wp:align>top</wp:align>
                </wp:positionV>
                <wp:extent cx="1620000" cy="4140000"/>
                <wp:effectExtent l="0" t="0" r="0" b="0"/>
                <wp:wrapNone/>
                <wp:docPr id="40"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290C9B" w:rsidRPr="00373C5D" w:rsidP="00290C9B">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1295637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302085"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290C9B" w:rsidRPr="00881D99" w:rsidP="00290C9B">
                            <w:pPr>
                              <w:spacing w:after="0" w:line="240" w:lineRule="auto"/>
                              <w:rPr>
                                <w:color w:val="0B5294"/>
                                <w:spacing w:val="-4"/>
                                <w:sz w:val="24"/>
                                <w:szCs w:val="24"/>
                                <w:rtl/>
                                <w:cs/>
                              </w:rPr>
                            </w:pPr>
                            <w:r w:rsidRPr="00335CD4">
                              <w:rPr>
                                <w:rFonts w:cs="Tahoma" w:hint="eastAsia"/>
                                <w:color w:val="0B5294"/>
                                <w:spacing w:val="-4"/>
                                <w:sz w:val="24"/>
                                <w:szCs w:val="24"/>
                                <w:rtl/>
                              </w:rPr>
                              <w:t>מכורים</w:t>
                            </w:r>
                            <w:r w:rsidRPr="00335CD4">
                              <w:rPr>
                                <w:rFonts w:cs="Tahoma"/>
                                <w:color w:val="0B5294"/>
                                <w:spacing w:val="-4"/>
                                <w:sz w:val="24"/>
                                <w:szCs w:val="24"/>
                                <w:rtl/>
                              </w:rPr>
                              <w:t xml:space="preserve"> </w:t>
                            </w:r>
                            <w:r w:rsidRPr="00335CD4">
                              <w:rPr>
                                <w:rFonts w:cs="Tahoma" w:hint="eastAsia"/>
                                <w:color w:val="0B5294"/>
                                <w:spacing w:val="-4"/>
                                <w:sz w:val="24"/>
                                <w:szCs w:val="24"/>
                                <w:rtl/>
                              </w:rPr>
                              <w:t>הפונים</w:t>
                            </w:r>
                            <w:r w:rsidRPr="00335CD4">
                              <w:rPr>
                                <w:rFonts w:cs="Tahoma"/>
                                <w:color w:val="0B5294"/>
                                <w:spacing w:val="-4"/>
                                <w:sz w:val="24"/>
                                <w:szCs w:val="24"/>
                                <w:rtl/>
                              </w:rPr>
                              <w:t xml:space="preserve"> </w:t>
                            </w:r>
                            <w:r w:rsidRPr="00335CD4">
                              <w:rPr>
                                <w:rFonts w:cs="Tahoma" w:hint="eastAsia"/>
                                <w:color w:val="0B5294"/>
                                <w:spacing w:val="-4"/>
                                <w:sz w:val="24"/>
                                <w:szCs w:val="24"/>
                                <w:rtl/>
                              </w:rPr>
                              <w:t>לחדרי</w:t>
                            </w:r>
                            <w:r w:rsidRPr="00335CD4">
                              <w:rPr>
                                <w:rFonts w:cs="Tahoma"/>
                                <w:color w:val="0B5294"/>
                                <w:spacing w:val="-4"/>
                                <w:sz w:val="24"/>
                                <w:szCs w:val="24"/>
                                <w:rtl/>
                              </w:rPr>
                              <w:t xml:space="preserve"> </w:t>
                            </w:r>
                            <w:r w:rsidRPr="00335CD4">
                              <w:rPr>
                                <w:rFonts w:cs="Tahoma" w:hint="eastAsia"/>
                                <w:color w:val="0B5294"/>
                                <w:spacing w:val="-4"/>
                                <w:sz w:val="24"/>
                                <w:szCs w:val="24"/>
                                <w:rtl/>
                              </w:rPr>
                              <w:t>מיון</w:t>
                            </w:r>
                            <w:r w:rsidRPr="00335CD4">
                              <w:rPr>
                                <w:rFonts w:cs="Tahoma"/>
                                <w:color w:val="0B5294"/>
                                <w:spacing w:val="-4"/>
                                <w:sz w:val="24"/>
                                <w:szCs w:val="24"/>
                                <w:rtl/>
                              </w:rPr>
                              <w:t xml:space="preserve"> </w:t>
                            </w:r>
                            <w:r w:rsidRPr="00335CD4">
                              <w:rPr>
                                <w:rFonts w:cs="Tahoma" w:hint="eastAsia"/>
                                <w:color w:val="0B5294"/>
                                <w:spacing w:val="-4"/>
                                <w:sz w:val="24"/>
                                <w:szCs w:val="24"/>
                                <w:rtl/>
                              </w:rPr>
                              <w:t>שלא</w:t>
                            </w:r>
                            <w:r w:rsidRPr="00335CD4">
                              <w:rPr>
                                <w:rFonts w:cs="Tahoma"/>
                                <w:color w:val="0B5294"/>
                                <w:spacing w:val="-4"/>
                                <w:sz w:val="24"/>
                                <w:szCs w:val="24"/>
                                <w:rtl/>
                              </w:rPr>
                              <w:t xml:space="preserve"> </w:t>
                            </w:r>
                            <w:r w:rsidRPr="00335CD4">
                              <w:rPr>
                                <w:rFonts w:cs="Tahoma" w:hint="eastAsia"/>
                                <w:color w:val="0B5294"/>
                                <w:spacing w:val="-4"/>
                                <w:sz w:val="24"/>
                                <w:szCs w:val="24"/>
                                <w:rtl/>
                              </w:rPr>
                              <w:t>במשמרת</w:t>
                            </w:r>
                            <w:r w:rsidRPr="00335CD4">
                              <w:rPr>
                                <w:rFonts w:cs="Tahoma"/>
                                <w:color w:val="0B5294"/>
                                <w:spacing w:val="-4"/>
                                <w:sz w:val="24"/>
                                <w:szCs w:val="24"/>
                                <w:rtl/>
                              </w:rPr>
                              <w:t xml:space="preserve"> </w:t>
                            </w:r>
                            <w:r w:rsidRPr="00335CD4">
                              <w:rPr>
                                <w:rFonts w:cs="Tahoma" w:hint="eastAsia"/>
                                <w:color w:val="0B5294"/>
                                <w:spacing w:val="-4"/>
                                <w:sz w:val="24"/>
                                <w:szCs w:val="24"/>
                                <w:rtl/>
                              </w:rPr>
                              <w:t>בוקר</w:t>
                            </w:r>
                            <w:r w:rsidRPr="00335CD4">
                              <w:rPr>
                                <w:rFonts w:cs="Tahoma"/>
                                <w:color w:val="0B5294"/>
                                <w:spacing w:val="-4"/>
                                <w:sz w:val="24"/>
                                <w:szCs w:val="24"/>
                                <w:rtl/>
                              </w:rPr>
                              <w:t xml:space="preserve">, </w:t>
                            </w:r>
                            <w:r w:rsidRPr="00335CD4">
                              <w:rPr>
                                <w:rFonts w:cs="Tahoma" w:hint="eastAsia"/>
                                <w:color w:val="0B5294"/>
                                <w:spacing w:val="-4"/>
                                <w:sz w:val="24"/>
                                <w:szCs w:val="24"/>
                                <w:rtl/>
                              </w:rPr>
                              <w:t>אינם</w:t>
                            </w:r>
                            <w:r w:rsidRPr="00335CD4">
                              <w:rPr>
                                <w:rFonts w:cs="Tahoma"/>
                                <w:color w:val="0B5294"/>
                                <w:spacing w:val="-4"/>
                                <w:sz w:val="24"/>
                                <w:szCs w:val="24"/>
                                <w:rtl/>
                              </w:rPr>
                              <w:t xml:space="preserve"> </w:t>
                            </w:r>
                            <w:r w:rsidRPr="00335CD4">
                              <w:rPr>
                                <w:rFonts w:cs="Tahoma" w:hint="eastAsia"/>
                                <w:color w:val="0B5294"/>
                                <w:spacing w:val="-4"/>
                                <w:sz w:val="24"/>
                                <w:szCs w:val="24"/>
                                <w:rtl/>
                              </w:rPr>
                              <w:t>פוגשים</w:t>
                            </w:r>
                            <w:r w:rsidRPr="00335CD4">
                              <w:rPr>
                                <w:rFonts w:cs="Tahoma"/>
                                <w:color w:val="0B5294"/>
                                <w:spacing w:val="-4"/>
                                <w:sz w:val="24"/>
                                <w:szCs w:val="24"/>
                                <w:rtl/>
                              </w:rPr>
                              <w:t xml:space="preserve"> </w:t>
                            </w:r>
                            <w:r w:rsidRPr="00335CD4">
                              <w:rPr>
                                <w:rFonts w:cs="Tahoma" w:hint="eastAsia"/>
                                <w:color w:val="0B5294"/>
                                <w:spacing w:val="-4"/>
                                <w:sz w:val="24"/>
                                <w:szCs w:val="24"/>
                                <w:rtl/>
                              </w:rPr>
                              <w:t>עו</w:t>
                            </w:r>
                            <w:r w:rsidRPr="00335CD4">
                              <w:rPr>
                                <w:rFonts w:cs="Tahoma"/>
                                <w:color w:val="0B5294"/>
                                <w:spacing w:val="-4"/>
                                <w:sz w:val="24"/>
                                <w:szCs w:val="24"/>
                                <w:rtl/>
                              </w:rPr>
                              <w:t>"</w:t>
                            </w:r>
                            <w:r w:rsidRPr="00335CD4">
                              <w:rPr>
                                <w:rFonts w:cs="Tahoma" w:hint="eastAsia"/>
                                <w:color w:val="0B5294"/>
                                <w:spacing w:val="-4"/>
                                <w:sz w:val="24"/>
                                <w:szCs w:val="24"/>
                                <w:rtl/>
                              </w:rPr>
                              <w:t>ס</w:t>
                            </w:r>
                            <w:r w:rsidRPr="00335CD4">
                              <w:rPr>
                                <w:rFonts w:cs="Tahoma"/>
                                <w:color w:val="0B5294"/>
                                <w:spacing w:val="-4"/>
                                <w:sz w:val="24"/>
                                <w:szCs w:val="24"/>
                                <w:rtl/>
                              </w:rPr>
                              <w:t xml:space="preserve"> </w:t>
                            </w:r>
                            <w:r w:rsidRPr="00335CD4">
                              <w:rPr>
                                <w:rFonts w:cs="Tahoma" w:hint="eastAsia"/>
                                <w:color w:val="0B5294"/>
                                <w:spacing w:val="-4"/>
                                <w:sz w:val="24"/>
                                <w:szCs w:val="24"/>
                                <w:rtl/>
                              </w:rPr>
                              <w:t>ואינם</w:t>
                            </w:r>
                            <w:r w:rsidRPr="00335CD4">
                              <w:rPr>
                                <w:rFonts w:cs="Tahoma"/>
                                <w:color w:val="0B5294"/>
                                <w:spacing w:val="-4"/>
                                <w:sz w:val="24"/>
                                <w:szCs w:val="24"/>
                                <w:rtl/>
                              </w:rPr>
                              <w:t xml:space="preserve"> </w:t>
                            </w:r>
                            <w:r w:rsidRPr="00335CD4">
                              <w:rPr>
                                <w:rFonts w:cs="Tahoma" w:hint="eastAsia"/>
                                <w:color w:val="0B5294"/>
                                <w:spacing w:val="-4"/>
                                <w:sz w:val="24"/>
                                <w:szCs w:val="24"/>
                                <w:rtl/>
                              </w:rPr>
                              <w:t>מופנים</w:t>
                            </w:r>
                            <w:r w:rsidRPr="00335CD4">
                              <w:rPr>
                                <w:rFonts w:cs="Tahoma"/>
                                <w:color w:val="0B5294"/>
                                <w:spacing w:val="-4"/>
                                <w:sz w:val="24"/>
                                <w:szCs w:val="24"/>
                                <w:rtl/>
                              </w:rPr>
                              <w:t xml:space="preserve"> </w:t>
                            </w:r>
                            <w:r w:rsidRPr="00335CD4">
                              <w:rPr>
                                <w:rFonts w:cs="Tahoma" w:hint="eastAsia"/>
                                <w:color w:val="0B5294"/>
                                <w:spacing w:val="-4"/>
                                <w:sz w:val="24"/>
                                <w:szCs w:val="24"/>
                                <w:rtl/>
                              </w:rPr>
                              <w:t>לטיפול</w:t>
                            </w:r>
                            <w:r w:rsidRPr="00335CD4">
                              <w:rPr>
                                <w:rFonts w:cs="Tahoma"/>
                                <w:color w:val="0B5294"/>
                                <w:spacing w:val="-4"/>
                                <w:sz w:val="24"/>
                                <w:szCs w:val="24"/>
                                <w:rtl/>
                              </w:rPr>
                              <w:t xml:space="preserve"> </w:t>
                            </w:r>
                            <w:r w:rsidRPr="00335CD4">
                              <w:rPr>
                                <w:rFonts w:cs="Tahoma" w:hint="eastAsia"/>
                                <w:color w:val="0B5294"/>
                                <w:spacing w:val="-4"/>
                                <w:sz w:val="24"/>
                                <w:szCs w:val="24"/>
                                <w:rtl/>
                              </w:rPr>
                              <w:t>בהתמכרותם</w:t>
                            </w:r>
                            <w:r w:rsidRPr="00335CD4">
                              <w:rPr>
                                <w:rFonts w:cs="Tahoma"/>
                                <w:color w:val="0B5294"/>
                                <w:spacing w:val="-4"/>
                                <w:sz w:val="24"/>
                                <w:szCs w:val="24"/>
                                <w:rtl/>
                              </w:rPr>
                              <w:t xml:space="preserve"> </w:t>
                            </w:r>
                            <w:r w:rsidRPr="00335CD4">
                              <w:rPr>
                                <w:rFonts w:cs="Tahoma" w:hint="eastAsia"/>
                                <w:color w:val="0B5294"/>
                                <w:spacing w:val="-4"/>
                                <w:sz w:val="24"/>
                                <w:szCs w:val="24"/>
                                <w:rtl/>
                              </w:rPr>
                              <w:t>לאחר</w:t>
                            </w:r>
                            <w:r w:rsidRPr="00335CD4">
                              <w:rPr>
                                <w:rFonts w:cs="Tahoma"/>
                                <w:color w:val="0B5294"/>
                                <w:spacing w:val="-4"/>
                                <w:sz w:val="24"/>
                                <w:szCs w:val="24"/>
                                <w:rtl/>
                              </w:rPr>
                              <w:t xml:space="preserve"> </w:t>
                            </w:r>
                            <w:r w:rsidRPr="00335CD4">
                              <w:rPr>
                                <w:rFonts w:cs="Tahoma" w:hint="eastAsia"/>
                                <w:color w:val="0B5294"/>
                                <w:spacing w:val="-4"/>
                                <w:sz w:val="24"/>
                                <w:szCs w:val="24"/>
                                <w:rtl/>
                              </w:rPr>
                              <w:t>שחרורם</w:t>
                            </w:r>
                          </w:p>
                          <w:p w:rsidR="00290C9B" w:rsidRPr="00373C5D" w:rsidP="00290C9B">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1401707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313199"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1"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8784" filled="f" stroked="f">
                <v:textbox>
                  <w:txbxContent>
                    <w:p w:rsidR="00290C9B" w:rsidRPr="00373C5D" w:rsidP="00290C9B">
                      <w:pPr>
                        <w:spacing w:line="240" w:lineRule="atLeast"/>
                        <w:rPr>
                          <w:rFonts w:cs="Tahoma"/>
                          <w:b/>
                          <w:bCs/>
                          <w:color w:val="0B5294"/>
                          <w:sz w:val="48"/>
                          <w:szCs w:val="48"/>
                          <w:rtl/>
                        </w:rPr>
                      </w:pPr>
                      <w:drawing>
                        <wp:inline distT="0" distB="0" distL="0" distR="0">
                          <wp:extent cx="311150" cy="256800"/>
                          <wp:effectExtent l="0" t="0" r="0" b="0"/>
                          <wp:docPr id="4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802435"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290C9B" w:rsidRPr="00881D99" w:rsidP="00290C9B">
                      <w:pPr>
                        <w:spacing w:after="0" w:line="240" w:lineRule="auto"/>
                        <w:rPr>
                          <w:color w:val="0B5294"/>
                          <w:spacing w:val="-4"/>
                          <w:sz w:val="24"/>
                          <w:szCs w:val="24"/>
                          <w:rtl/>
                          <w:cs/>
                        </w:rPr>
                      </w:pPr>
                      <w:r w:rsidRPr="00335CD4">
                        <w:rPr>
                          <w:rFonts w:cs="Tahoma" w:hint="eastAsia"/>
                          <w:color w:val="0B5294"/>
                          <w:spacing w:val="-4"/>
                          <w:sz w:val="24"/>
                          <w:szCs w:val="24"/>
                          <w:rtl/>
                        </w:rPr>
                        <w:t>מכורים</w:t>
                      </w:r>
                      <w:r w:rsidRPr="00335CD4">
                        <w:rPr>
                          <w:rFonts w:cs="Tahoma"/>
                          <w:color w:val="0B5294"/>
                          <w:spacing w:val="-4"/>
                          <w:sz w:val="24"/>
                          <w:szCs w:val="24"/>
                          <w:rtl/>
                        </w:rPr>
                        <w:t xml:space="preserve"> </w:t>
                      </w:r>
                      <w:r w:rsidRPr="00335CD4">
                        <w:rPr>
                          <w:rFonts w:cs="Tahoma" w:hint="eastAsia"/>
                          <w:color w:val="0B5294"/>
                          <w:spacing w:val="-4"/>
                          <w:sz w:val="24"/>
                          <w:szCs w:val="24"/>
                          <w:rtl/>
                        </w:rPr>
                        <w:t>הפונים</w:t>
                      </w:r>
                      <w:r w:rsidRPr="00335CD4">
                        <w:rPr>
                          <w:rFonts w:cs="Tahoma"/>
                          <w:color w:val="0B5294"/>
                          <w:spacing w:val="-4"/>
                          <w:sz w:val="24"/>
                          <w:szCs w:val="24"/>
                          <w:rtl/>
                        </w:rPr>
                        <w:t xml:space="preserve"> </w:t>
                      </w:r>
                      <w:r w:rsidRPr="00335CD4">
                        <w:rPr>
                          <w:rFonts w:cs="Tahoma" w:hint="eastAsia"/>
                          <w:color w:val="0B5294"/>
                          <w:spacing w:val="-4"/>
                          <w:sz w:val="24"/>
                          <w:szCs w:val="24"/>
                          <w:rtl/>
                        </w:rPr>
                        <w:t>לחדרי</w:t>
                      </w:r>
                      <w:r w:rsidRPr="00335CD4">
                        <w:rPr>
                          <w:rFonts w:cs="Tahoma"/>
                          <w:color w:val="0B5294"/>
                          <w:spacing w:val="-4"/>
                          <w:sz w:val="24"/>
                          <w:szCs w:val="24"/>
                          <w:rtl/>
                        </w:rPr>
                        <w:t xml:space="preserve"> </w:t>
                      </w:r>
                      <w:r w:rsidRPr="00335CD4">
                        <w:rPr>
                          <w:rFonts w:cs="Tahoma" w:hint="eastAsia"/>
                          <w:color w:val="0B5294"/>
                          <w:spacing w:val="-4"/>
                          <w:sz w:val="24"/>
                          <w:szCs w:val="24"/>
                          <w:rtl/>
                        </w:rPr>
                        <w:t>מיון</w:t>
                      </w:r>
                      <w:r w:rsidRPr="00335CD4">
                        <w:rPr>
                          <w:rFonts w:cs="Tahoma"/>
                          <w:color w:val="0B5294"/>
                          <w:spacing w:val="-4"/>
                          <w:sz w:val="24"/>
                          <w:szCs w:val="24"/>
                          <w:rtl/>
                        </w:rPr>
                        <w:t xml:space="preserve"> </w:t>
                      </w:r>
                      <w:r w:rsidRPr="00335CD4">
                        <w:rPr>
                          <w:rFonts w:cs="Tahoma" w:hint="eastAsia"/>
                          <w:color w:val="0B5294"/>
                          <w:spacing w:val="-4"/>
                          <w:sz w:val="24"/>
                          <w:szCs w:val="24"/>
                          <w:rtl/>
                        </w:rPr>
                        <w:t>שלא</w:t>
                      </w:r>
                      <w:r w:rsidRPr="00335CD4">
                        <w:rPr>
                          <w:rFonts w:cs="Tahoma"/>
                          <w:color w:val="0B5294"/>
                          <w:spacing w:val="-4"/>
                          <w:sz w:val="24"/>
                          <w:szCs w:val="24"/>
                          <w:rtl/>
                        </w:rPr>
                        <w:t xml:space="preserve"> </w:t>
                      </w:r>
                      <w:r w:rsidRPr="00335CD4">
                        <w:rPr>
                          <w:rFonts w:cs="Tahoma" w:hint="eastAsia"/>
                          <w:color w:val="0B5294"/>
                          <w:spacing w:val="-4"/>
                          <w:sz w:val="24"/>
                          <w:szCs w:val="24"/>
                          <w:rtl/>
                        </w:rPr>
                        <w:t>במשמרת</w:t>
                      </w:r>
                      <w:r w:rsidRPr="00335CD4">
                        <w:rPr>
                          <w:rFonts w:cs="Tahoma"/>
                          <w:color w:val="0B5294"/>
                          <w:spacing w:val="-4"/>
                          <w:sz w:val="24"/>
                          <w:szCs w:val="24"/>
                          <w:rtl/>
                        </w:rPr>
                        <w:t xml:space="preserve"> </w:t>
                      </w:r>
                      <w:r w:rsidRPr="00335CD4">
                        <w:rPr>
                          <w:rFonts w:cs="Tahoma" w:hint="eastAsia"/>
                          <w:color w:val="0B5294"/>
                          <w:spacing w:val="-4"/>
                          <w:sz w:val="24"/>
                          <w:szCs w:val="24"/>
                          <w:rtl/>
                        </w:rPr>
                        <w:t>בוקר</w:t>
                      </w:r>
                      <w:r w:rsidRPr="00335CD4">
                        <w:rPr>
                          <w:rFonts w:cs="Tahoma"/>
                          <w:color w:val="0B5294"/>
                          <w:spacing w:val="-4"/>
                          <w:sz w:val="24"/>
                          <w:szCs w:val="24"/>
                          <w:rtl/>
                        </w:rPr>
                        <w:t xml:space="preserve">, </w:t>
                      </w:r>
                      <w:r w:rsidRPr="00335CD4">
                        <w:rPr>
                          <w:rFonts w:cs="Tahoma" w:hint="eastAsia"/>
                          <w:color w:val="0B5294"/>
                          <w:spacing w:val="-4"/>
                          <w:sz w:val="24"/>
                          <w:szCs w:val="24"/>
                          <w:rtl/>
                        </w:rPr>
                        <w:t>אינם</w:t>
                      </w:r>
                      <w:r w:rsidRPr="00335CD4">
                        <w:rPr>
                          <w:rFonts w:cs="Tahoma"/>
                          <w:color w:val="0B5294"/>
                          <w:spacing w:val="-4"/>
                          <w:sz w:val="24"/>
                          <w:szCs w:val="24"/>
                          <w:rtl/>
                        </w:rPr>
                        <w:t xml:space="preserve"> </w:t>
                      </w:r>
                      <w:r w:rsidRPr="00335CD4">
                        <w:rPr>
                          <w:rFonts w:cs="Tahoma" w:hint="eastAsia"/>
                          <w:color w:val="0B5294"/>
                          <w:spacing w:val="-4"/>
                          <w:sz w:val="24"/>
                          <w:szCs w:val="24"/>
                          <w:rtl/>
                        </w:rPr>
                        <w:t>פוגשים</w:t>
                      </w:r>
                      <w:r w:rsidRPr="00335CD4">
                        <w:rPr>
                          <w:rFonts w:cs="Tahoma"/>
                          <w:color w:val="0B5294"/>
                          <w:spacing w:val="-4"/>
                          <w:sz w:val="24"/>
                          <w:szCs w:val="24"/>
                          <w:rtl/>
                        </w:rPr>
                        <w:t xml:space="preserve"> </w:t>
                      </w:r>
                      <w:r w:rsidRPr="00335CD4">
                        <w:rPr>
                          <w:rFonts w:cs="Tahoma" w:hint="eastAsia"/>
                          <w:color w:val="0B5294"/>
                          <w:spacing w:val="-4"/>
                          <w:sz w:val="24"/>
                          <w:szCs w:val="24"/>
                          <w:rtl/>
                        </w:rPr>
                        <w:t>עו</w:t>
                      </w:r>
                      <w:r w:rsidRPr="00335CD4">
                        <w:rPr>
                          <w:rFonts w:cs="Tahoma"/>
                          <w:color w:val="0B5294"/>
                          <w:spacing w:val="-4"/>
                          <w:sz w:val="24"/>
                          <w:szCs w:val="24"/>
                          <w:rtl/>
                        </w:rPr>
                        <w:t>"</w:t>
                      </w:r>
                      <w:r w:rsidRPr="00335CD4">
                        <w:rPr>
                          <w:rFonts w:cs="Tahoma" w:hint="eastAsia"/>
                          <w:color w:val="0B5294"/>
                          <w:spacing w:val="-4"/>
                          <w:sz w:val="24"/>
                          <w:szCs w:val="24"/>
                          <w:rtl/>
                        </w:rPr>
                        <w:t>ס</w:t>
                      </w:r>
                      <w:r w:rsidRPr="00335CD4">
                        <w:rPr>
                          <w:rFonts w:cs="Tahoma"/>
                          <w:color w:val="0B5294"/>
                          <w:spacing w:val="-4"/>
                          <w:sz w:val="24"/>
                          <w:szCs w:val="24"/>
                          <w:rtl/>
                        </w:rPr>
                        <w:t xml:space="preserve"> </w:t>
                      </w:r>
                      <w:r w:rsidRPr="00335CD4">
                        <w:rPr>
                          <w:rFonts w:cs="Tahoma" w:hint="eastAsia"/>
                          <w:color w:val="0B5294"/>
                          <w:spacing w:val="-4"/>
                          <w:sz w:val="24"/>
                          <w:szCs w:val="24"/>
                          <w:rtl/>
                        </w:rPr>
                        <w:t>ואינם</w:t>
                      </w:r>
                      <w:r w:rsidRPr="00335CD4">
                        <w:rPr>
                          <w:rFonts w:cs="Tahoma"/>
                          <w:color w:val="0B5294"/>
                          <w:spacing w:val="-4"/>
                          <w:sz w:val="24"/>
                          <w:szCs w:val="24"/>
                          <w:rtl/>
                        </w:rPr>
                        <w:t xml:space="preserve"> </w:t>
                      </w:r>
                      <w:r w:rsidRPr="00335CD4">
                        <w:rPr>
                          <w:rFonts w:cs="Tahoma" w:hint="eastAsia"/>
                          <w:color w:val="0B5294"/>
                          <w:spacing w:val="-4"/>
                          <w:sz w:val="24"/>
                          <w:szCs w:val="24"/>
                          <w:rtl/>
                        </w:rPr>
                        <w:t>מופנים</w:t>
                      </w:r>
                      <w:r w:rsidRPr="00335CD4">
                        <w:rPr>
                          <w:rFonts w:cs="Tahoma"/>
                          <w:color w:val="0B5294"/>
                          <w:spacing w:val="-4"/>
                          <w:sz w:val="24"/>
                          <w:szCs w:val="24"/>
                          <w:rtl/>
                        </w:rPr>
                        <w:t xml:space="preserve"> </w:t>
                      </w:r>
                      <w:r w:rsidRPr="00335CD4">
                        <w:rPr>
                          <w:rFonts w:cs="Tahoma" w:hint="eastAsia"/>
                          <w:color w:val="0B5294"/>
                          <w:spacing w:val="-4"/>
                          <w:sz w:val="24"/>
                          <w:szCs w:val="24"/>
                          <w:rtl/>
                        </w:rPr>
                        <w:t>לטיפול</w:t>
                      </w:r>
                      <w:r w:rsidRPr="00335CD4">
                        <w:rPr>
                          <w:rFonts w:cs="Tahoma"/>
                          <w:color w:val="0B5294"/>
                          <w:spacing w:val="-4"/>
                          <w:sz w:val="24"/>
                          <w:szCs w:val="24"/>
                          <w:rtl/>
                        </w:rPr>
                        <w:t xml:space="preserve"> </w:t>
                      </w:r>
                      <w:r w:rsidRPr="00335CD4">
                        <w:rPr>
                          <w:rFonts w:cs="Tahoma" w:hint="eastAsia"/>
                          <w:color w:val="0B5294"/>
                          <w:spacing w:val="-4"/>
                          <w:sz w:val="24"/>
                          <w:szCs w:val="24"/>
                          <w:rtl/>
                        </w:rPr>
                        <w:t>בהתמכרותם</w:t>
                      </w:r>
                      <w:r w:rsidRPr="00335CD4">
                        <w:rPr>
                          <w:rFonts w:cs="Tahoma"/>
                          <w:color w:val="0B5294"/>
                          <w:spacing w:val="-4"/>
                          <w:sz w:val="24"/>
                          <w:szCs w:val="24"/>
                          <w:rtl/>
                        </w:rPr>
                        <w:t xml:space="preserve"> </w:t>
                      </w:r>
                      <w:r w:rsidRPr="00335CD4">
                        <w:rPr>
                          <w:rFonts w:cs="Tahoma" w:hint="eastAsia"/>
                          <w:color w:val="0B5294"/>
                          <w:spacing w:val="-4"/>
                          <w:sz w:val="24"/>
                          <w:szCs w:val="24"/>
                          <w:rtl/>
                        </w:rPr>
                        <w:t>לאחר</w:t>
                      </w:r>
                      <w:r w:rsidRPr="00335CD4">
                        <w:rPr>
                          <w:rFonts w:cs="Tahoma"/>
                          <w:color w:val="0B5294"/>
                          <w:spacing w:val="-4"/>
                          <w:sz w:val="24"/>
                          <w:szCs w:val="24"/>
                          <w:rtl/>
                        </w:rPr>
                        <w:t xml:space="preserve"> </w:t>
                      </w:r>
                      <w:r w:rsidRPr="00335CD4">
                        <w:rPr>
                          <w:rFonts w:cs="Tahoma" w:hint="eastAsia"/>
                          <w:color w:val="0B5294"/>
                          <w:spacing w:val="-4"/>
                          <w:sz w:val="24"/>
                          <w:szCs w:val="24"/>
                          <w:rtl/>
                        </w:rPr>
                        <w:t>שחרורם</w:t>
                      </w:r>
                    </w:p>
                    <w:p w:rsidR="00290C9B" w:rsidRPr="00373C5D" w:rsidP="00290C9B">
                      <w:pPr>
                        <w:spacing w:before="120" w:after="0" w:line="240" w:lineRule="atLeast"/>
                        <w:rPr>
                          <w:rFonts w:cs="Tahoma"/>
                          <w:b/>
                          <w:bCs/>
                          <w:color w:val="0B5294"/>
                          <w:sz w:val="48"/>
                          <w:szCs w:val="48"/>
                          <w:rtl/>
                        </w:rPr>
                      </w:pPr>
                      <w:drawing>
                        <wp:inline distT="0" distB="0" distL="0" distR="0">
                          <wp:extent cx="288000" cy="31337"/>
                          <wp:effectExtent l="0" t="0" r="0" b="6985"/>
                          <wp:docPr id="4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022469"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9B6D36" w:rsidRPr="00211D07" w:rsidP="002E34D6">
      <w:pPr>
        <w:spacing w:before="180" w:after="240" w:line="240" w:lineRule="exact"/>
        <w:ind w:left="340" w:right="2268"/>
        <w:jc w:val="both"/>
        <w:rPr>
          <w:rFonts w:ascii="Tahoma" w:hAnsi="Tahoma" w:cs="Tahoma"/>
          <w:sz w:val="18"/>
          <w:szCs w:val="18"/>
          <w:rtl/>
        </w:rPr>
      </w:pPr>
      <w:r w:rsidRPr="00211D07">
        <w:rPr>
          <w:rFonts w:ascii="Tahoma" w:hAnsi="Tahoma" w:cs="Tahoma"/>
          <w:sz w:val="18"/>
          <w:szCs w:val="18"/>
          <w:rtl/>
        </w:rPr>
        <w:t>משרד ה</w:t>
      </w:r>
      <w:r w:rsidRPr="00211D07">
        <w:rPr>
          <w:rFonts w:ascii="Tahoma" w:hAnsi="Tahoma" w:cs="Tahoma" w:hint="cs"/>
          <w:sz w:val="18"/>
          <w:szCs w:val="18"/>
          <w:rtl/>
        </w:rPr>
        <w:t>בריאות</w:t>
      </w:r>
      <w:r w:rsidRPr="00211D07">
        <w:rPr>
          <w:rFonts w:ascii="Tahoma" w:hAnsi="Tahoma" w:cs="Tahoma"/>
          <w:sz w:val="18"/>
          <w:szCs w:val="18"/>
          <w:rtl/>
        </w:rPr>
        <w:t xml:space="preserve"> </w:t>
      </w:r>
      <w:r w:rsidRPr="00211D07">
        <w:rPr>
          <w:rFonts w:ascii="Tahoma" w:hAnsi="Tahoma" w:cs="Tahoma" w:hint="cs"/>
          <w:sz w:val="18"/>
          <w:szCs w:val="18"/>
          <w:rtl/>
        </w:rPr>
        <w:t>מסר בתשובתו מ</w:t>
      </w:r>
      <w:r w:rsidRPr="00211D07">
        <w:rPr>
          <w:rFonts w:ascii="Tahoma" w:hAnsi="Tahoma" w:cs="Tahoma"/>
          <w:sz w:val="18"/>
          <w:szCs w:val="18"/>
          <w:rtl/>
        </w:rPr>
        <w:t>נובמבר 2018</w:t>
      </w:r>
      <w:r w:rsidRPr="00211D07">
        <w:rPr>
          <w:rFonts w:ascii="Tahoma" w:hAnsi="Tahoma" w:cs="Tahoma" w:hint="cs"/>
          <w:sz w:val="18"/>
          <w:szCs w:val="18"/>
          <w:rtl/>
        </w:rPr>
        <w:t xml:space="preserve"> כי אכן "מתמכרים רבים מגיעים בסופי שבוע ובחגים", והוסיף בתשובתו מינואר 2019 כי </w:t>
      </w:r>
      <w:r w:rsidRPr="00211D07">
        <w:rPr>
          <w:rFonts w:ascii="Tahoma" w:hAnsi="Tahoma" w:cs="Tahoma"/>
          <w:sz w:val="18"/>
          <w:szCs w:val="18"/>
          <w:rtl/>
        </w:rPr>
        <w:t xml:space="preserve">"שילוב </w:t>
      </w:r>
      <w:r w:rsidRPr="00211D07">
        <w:rPr>
          <w:rFonts w:ascii="Tahoma" w:hAnsi="Tahoma" w:cs="Tahoma"/>
          <w:sz w:val="18"/>
          <w:szCs w:val="18"/>
          <w:rtl/>
        </w:rPr>
        <w:t>עו"סים</w:t>
      </w:r>
      <w:r w:rsidRPr="00211D07">
        <w:rPr>
          <w:rFonts w:ascii="Tahoma" w:hAnsi="Tahoma" w:cs="Tahoma"/>
          <w:sz w:val="18"/>
          <w:szCs w:val="18"/>
          <w:rtl/>
        </w:rPr>
        <w:t xml:space="preserve"> בחדרי מיון בשעות הערב, לילה ו</w:t>
      </w:r>
      <w:r w:rsidRPr="00211D07">
        <w:rPr>
          <w:rFonts w:ascii="Tahoma" w:hAnsi="Tahoma" w:cs="Tahoma" w:hint="cs"/>
          <w:sz w:val="18"/>
          <w:szCs w:val="18"/>
          <w:rtl/>
        </w:rPr>
        <w:t>ב</w:t>
      </w:r>
      <w:r w:rsidRPr="00211D07">
        <w:rPr>
          <w:rFonts w:ascii="Tahoma" w:hAnsi="Tahoma" w:cs="Tahoma"/>
          <w:sz w:val="18"/>
          <w:szCs w:val="18"/>
          <w:rtl/>
        </w:rPr>
        <w:t>סופי שבוע לא ניתן ליישום עקב אילוצי תקציב ותקנים.</w:t>
      </w:r>
      <w:r w:rsidRPr="00211D07">
        <w:rPr>
          <w:rFonts w:ascii="Tahoma" w:hAnsi="Tahoma" w:cs="Tahoma" w:hint="cs"/>
          <w:sz w:val="18"/>
          <w:szCs w:val="18"/>
          <w:rtl/>
        </w:rPr>
        <w:t xml:space="preserve"> </w:t>
      </w:r>
      <w:r w:rsidRPr="00211D07">
        <w:rPr>
          <w:rFonts w:ascii="Tahoma" w:hAnsi="Tahoma" w:cs="Tahoma"/>
          <w:sz w:val="18"/>
          <w:szCs w:val="18"/>
          <w:rtl/>
        </w:rPr>
        <w:t>עם זאת בבתי חולים ישנם עובדים סוציאליים כוננים שתפקידם הינו מענה לפניות דחופות בשעות מעבר לשעות הפעילות</w:t>
      </w:r>
      <w:r w:rsidRPr="00211D07">
        <w:rPr>
          <w:rFonts w:ascii="Tahoma" w:hAnsi="Tahoma" w:cs="Tahoma" w:hint="cs"/>
          <w:sz w:val="18"/>
          <w:szCs w:val="18"/>
          <w:rtl/>
        </w:rPr>
        <w:t xml:space="preserve">". </w:t>
      </w:r>
      <w:r w:rsidRPr="00211D07">
        <w:rPr>
          <w:rFonts w:ascii="Tahoma" w:hAnsi="Tahoma" w:cs="Tahoma"/>
          <w:sz w:val="18"/>
          <w:szCs w:val="18"/>
          <w:rtl/>
        </w:rPr>
        <w:t xml:space="preserve">שירותי בריאות כללית </w:t>
      </w:r>
      <w:r w:rsidRPr="00211D07">
        <w:rPr>
          <w:rFonts w:ascii="Tahoma" w:hAnsi="Tahoma" w:cs="Tahoma" w:hint="cs"/>
          <w:sz w:val="18"/>
          <w:szCs w:val="18"/>
          <w:rtl/>
        </w:rPr>
        <w:t>מסרה בתשובה מ</w:t>
      </w:r>
      <w:r w:rsidRPr="00211D07">
        <w:rPr>
          <w:rFonts w:ascii="Tahoma" w:hAnsi="Tahoma" w:cs="Tahoma"/>
          <w:sz w:val="18"/>
          <w:szCs w:val="18"/>
          <w:rtl/>
        </w:rPr>
        <w:t>נובמבר 2018,</w:t>
      </w:r>
      <w:r w:rsidRPr="00211D07">
        <w:rPr>
          <w:rFonts w:ascii="Tahoma" w:hAnsi="Tahoma" w:cs="Tahoma" w:hint="cs"/>
          <w:sz w:val="18"/>
          <w:szCs w:val="18"/>
          <w:rtl/>
        </w:rPr>
        <w:t xml:space="preserve"> כי היא תומכת ב"הרחבת מתן השירות של עו"ס במיון", וכי הדבר "יחייב תוספת תקנים מתוקצבים ייעודיים לנושא זה על ידי המדינה".</w:t>
      </w:r>
    </w:p>
    <w:p w:rsidR="009B6D36" w:rsidRPr="005874E8" w:rsidP="005874E8">
      <w:pPr>
        <w:pStyle w:val="RESHET"/>
        <w:ind w:left="567"/>
        <w:rPr>
          <w:sz w:val="18"/>
          <w:rtl/>
        </w:rPr>
      </w:pPr>
      <w:r w:rsidRPr="005874E8">
        <w:rPr>
          <w:rFonts w:hint="cs"/>
          <w:sz w:val="18"/>
          <w:rtl/>
        </w:rPr>
        <w:t xml:space="preserve">משרד מבקר המדינה מעיר למשרד הבריאות כי הפתרון הקיים לטיפול של עו"ס במכורים שפונים לחדרי מיון שלא במשמרת בוקר אינו מספק, שכן הזעקת </w:t>
      </w:r>
      <w:r w:rsidRPr="005874E8">
        <w:rPr>
          <w:sz w:val="18"/>
          <w:rtl/>
        </w:rPr>
        <w:t xml:space="preserve">עו"ס כונן </w:t>
      </w:r>
      <w:r w:rsidRPr="005874E8">
        <w:rPr>
          <w:rFonts w:hint="cs"/>
          <w:sz w:val="18"/>
          <w:rtl/>
        </w:rPr>
        <w:t xml:space="preserve">בשעות האמורות נעשית רק </w:t>
      </w:r>
      <w:r w:rsidRPr="005874E8">
        <w:rPr>
          <w:spacing w:val="-4"/>
          <w:sz w:val="18"/>
          <w:rtl/>
        </w:rPr>
        <w:t xml:space="preserve">במקרים חריגים </w:t>
      </w:r>
      <w:r w:rsidRPr="005874E8">
        <w:rPr>
          <w:rFonts w:hint="cs"/>
          <w:spacing w:val="-4"/>
          <w:sz w:val="18"/>
          <w:rtl/>
        </w:rPr>
        <w:t>ש</w:t>
      </w:r>
      <w:r w:rsidRPr="005874E8">
        <w:rPr>
          <w:spacing w:val="-4"/>
          <w:sz w:val="18"/>
          <w:rtl/>
        </w:rPr>
        <w:t xml:space="preserve">בהם נדרשת התערבות </w:t>
      </w:r>
      <w:r w:rsidRPr="005874E8">
        <w:rPr>
          <w:spacing w:val="-4"/>
          <w:sz w:val="18"/>
          <w:rtl/>
        </w:rPr>
        <w:t>מיידית</w:t>
      </w:r>
      <w:r>
        <w:rPr>
          <w:rStyle w:val="FootnoteReference0"/>
          <w:spacing w:val="-4"/>
          <w:sz w:val="18"/>
          <w:rtl/>
        </w:rPr>
        <w:footnoteReference w:id="25"/>
      </w:r>
      <w:r w:rsidRPr="005874E8">
        <w:rPr>
          <w:rFonts w:hint="cs"/>
          <w:spacing w:val="-4"/>
          <w:sz w:val="18"/>
          <w:rtl/>
        </w:rPr>
        <w:t xml:space="preserve">. </w:t>
      </w:r>
      <w:r w:rsidRPr="005874E8">
        <w:rPr>
          <w:spacing w:val="-4"/>
          <w:sz w:val="18"/>
          <w:rtl/>
        </w:rPr>
        <w:t>על משרד הבריאות</w:t>
      </w:r>
      <w:r w:rsidRPr="005874E8">
        <w:rPr>
          <w:sz w:val="18"/>
          <w:rtl/>
        </w:rPr>
        <w:t xml:space="preserve"> לבחון את הדרכים ל</w:t>
      </w:r>
      <w:r w:rsidRPr="005874E8">
        <w:rPr>
          <w:rFonts w:hint="cs"/>
          <w:sz w:val="18"/>
          <w:rtl/>
        </w:rPr>
        <w:t>הפניית המכורים הפונים לחדרי המיון שלא במשמרת בוקר ל</w:t>
      </w:r>
      <w:r w:rsidRPr="005874E8">
        <w:rPr>
          <w:sz w:val="18"/>
          <w:rtl/>
        </w:rPr>
        <w:t>גורמי הטיפול</w:t>
      </w:r>
      <w:r w:rsidRPr="005874E8">
        <w:rPr>
          <w:rFonts w:hint="cs"/>
          <w:sz w:val="18"/>
          <w:rtl/>
        </w:rPr>
        <w:t xml:space="preserve"> בהתמכרויות</w:t>
      </w:r>
      <w:r w:rsidRPr="005874E8">
        <w:rPr>
          <w:sz w:val="18"/>
          <w:rtl/>
        </w:rPr>
        <w:t xml:space="preserve"> אם על ידי </w:t>
      </w:r>
      <w:r w:rsidRPr="005874E8">
        <w:rPr>
          <w:rFonts w:hint="cs"/>
          <w:sz w:val="18"/>
          <w:rtl/>
        </w:rPr>
        <w:t>מתן</w:t>
      </w:r>
      <w:r w:rsidRPr="005874E8">
        <w:rPr>
          <w:sz w:val="18"/>
          <w:rtl/>
        </w:rPr>
        <w:t xml:space="preserve"> שירותי עו"ס בחדרי המיון </w:t>
      </w:r>
      <w:r w:rsidRPr="005874E8">
        <w:rPr>
          <w:rFonts w:hint="cs"/>
          <w:sz w:val="18"/>
          <w:rtl/>
        </w:rPr>
        <w:t>בכל המשמרות א</w:t>
      </w:r>
      <w:r w:rsidRPr="005874E8">
        <w:rPr>
          <w:sz w:val="18"/>
          <w:rtl/>
        </w:rPr>
        <w:t>ו</w:t>
      </w:r>
      <w:r w:rsidRPr="005874E8">
        <w:rPr>
          <w:rFonts w:hint="cs"/>
          <w:sz w:val="18"/>
          <w:rtl/>
        </w:rPr>
        <w:t xml:space="preserve"> ב</w:t>
      </w:r>
      <w:r w:rsidRPr="005874E8">
        <w:rPr>
          <w:sz w:val="18"/>
          <w:rtl/>
        </w:rPr>
        <w:t>דרכים חלופיות</w:t>
      </w:r>
      <w:r w:rsidRPr="005874E8">
        <w:rPr>
          <w:rFonts w:hint="cs"/>
          <w:sz w:val="18"/>
          <w:rtl/>
        </w:rPr>
        <w:t>.</w:t>
      </w:r>
      <w:r w:rsidRPr="005874E8">
        <w:rPr>
          <w:sz w:val="18"/>
          <w:rtl/>
        </w:rPr>
        <w:t xml:space="preserve"> </w:t>
      </w:r>
      <w:r w:rsidRPr="005874E8">
        <w:rPr>
          <w:rFonts w:hint="cs"/>
          <w:sz w:val="18"/>
          <w:rtl/>
        </w:rPr>
        <w:t>לפחות עליו לוודא כי ניתן למטופלים ולמשפחותיהם מידע רלבנטי על אודות דרכי הטיפול שהם זכאים לו</w:t>
      </w:r>
      <w:r>
        <w:rPr>
          <w:rStyle w:val="FootnoteReference0"/>
          <w:sz w:val="18"/>
          <w:rtl/>
        </w:rPr>
        <w:footnoteReference w:id="26"/>
      </w:r>
      <w:r w:rsidRPr="005874E8">
        <w:rPr>
          <w:rFonts w:hint="cs"/>
          <w:sz w:val="18"/>
          <w:rtl/>
        </w:rPr>
        <w:t>.</w:t>
      </w:r>
    </w:p>
    <w:p w:rsidR="009B6D36" w:rsidRPr="00211D07" w:rsidP="00E76FAB">
      <w:pPr>
        <w:numPr>
          <w:ilvl w:val="0"/>
          <w:numId w:val="7"/>
        </w:numPr>
        <w:spacing w:before="180" w:after="240" w:line="240" w:lineRule="exact"/>
        <w:ind w:left="340" w:right="2268" w:hanging="340"/>
        <w:jc w:val="both"/>
        <w:rPr>
          <w:rFonts w:ascii="Tahoma" w:hAnsi="Tahoma" w:cs="Tahoma"/>
          <w:sz w:val="18"/>
          <w:szCs w:val="18"/>
        </w:rPr>
      </w:pPr>
      <w:r w:rsidRPr="00211D07">
        <w:rPr>
          <w:rFonts w:ascii="Tahoma" w:hAnsi="Tahoma" w:cs="Tahoma" w:hint="cs"/>
          <w:sz w:val="18"/>
          <w:szCs w:val="18"/>
          <w:rtl/>
        </w:rPr>
        <w:t xml:space="preserve">ארגון הבריאות העולמי פיתח מודל לחדרי מיון שהומלץ על ידי המרכז לבקרת מחלות בארה"ב </w:t>
      </w:r>
      <w:r w:rsidRPr="00211D07">
        <w:rPr>
          <w:rFonts w:ascii="Tahoma" w:hAnsi="Tahoma" w:cs="Tahoma"/>
          <w:sz w:val="18"/>
          <w:szCs w:val="18"/>
          <w:rtl/>
        </w:rPr>
        <w:t>(ה-</w:t>
      </w:r>
      <w:r w:rsidRPr="00211D07">
        <w:rPr>
          <w:rFonts w:ascii="Tahoma" w:hAnsi="Tahoma" w:cs="Tahoma"/>
          <w:sz w:val="18"/>
          <w:szCs w:val="18"/>
        </w:rPr>
        <w:t>CDC</w:t>
      </w:r>
      <w:r w:rsidRPr="00211D07">
        <w:rPr>
          <w:rFonts w:ascii="Tahoma" w:hAnsi="Tahoma" w:cs="Tahoma"/>
          <w:sz w:val="18"/>
          <w:szCs w:val="18"/>
          <w:rtl/>
        </w:rPr>
        <w:t xml:space="preserve">). </w:t>
      </w:r>
      <w:r w:rsidRPr="00211D07">
        <w:rPr>
          <w:rFonts w:ascii="Tahoma" w:hAnsi="Tahoma" w:cs="Tahoma" w:hint="eastAsia"/>
          <w:sz w:val="18"/>
          <w:szCs w:val="18"/>
          <w:rtl/>
        </w:rPr>
        <w:t>המודל</w:t>
      </w:r>
      <w:r w:rsidRPr="00211D07">
        <w:rPr>
          <w:rFonts w:ascii="Tahoma" w:hAnsi="Tahoma" w:cs="Tahoma"/>
          <w:sz w:val="18"/>
          <w:szCs w:val="18"/>
          <w:rtl/>
        </w:rPr>
        <w:t xml:space="preserve"> </w:t>
      </w:r>
      <w:r w:rsidRPr="00211D07">
        <w:rPr>
          <w:rFonts w:ascii="Tahoma" w:hAnsi="Tahoma" w:cs="Tahoma" w:hint="eastAsia"/>
          <w:sz w:val="18"/>
          <w:szCs w:val="18"/>
          <w:rtl/>
        </w:rPr>
        <w:t>כולל</w:t>
      </w:r>
      <w:r w:rsidRPr="00211D07">
        <w:rPr>
          <w:rFonts w:ascii="Tahoma" w:hAnsi="Tahoma" w:cs="Tahoma"/>
          <w:sz w:val="18"/>
          <w:szCs w:val="18"/>
          <w:rtl/>
        </w:rPr>
        <w:t xml:space="preserve"> </w:t>
      </w:r>
      <w:r w:rsidRPr="00211D07">
        <w:rPr>
          <w:rFonts w:ascii="Tahoma" w:hAnsi="Tahoma" w:cs="Tahoma" w:hint="eastAsia"/>
          <w:sz w:val="18"/>
          <w:szCs w:val="18"/>
          <w:rtl/>
        </w:rPr>
        <w:t>איתור</w:t>
      </w:r>
      <w:r w:rsidRPr="00211D07">
        <w:rPr>
          <w:rFonts w:ascii="Tahoma" w:hAnsi="Tahoma" w:cs="Tahoma"/>
          <w:sz w:val="18"/>
          <w:szCs w:val="18"/>
          <w:rtl/>
        </w:rPr>
        <w:t xml:space="preserve"> </w:t>
      </w:r>
      <w:r w:rsidRPr="00211D07">
        <w:rPr>
          <w:rFonts w:ascii="Tahoma" w:hAnsi="Tahoma" w:cs="Tahoma" w:hint="eastAsia"/>
          <w:sz w:val="18"/>
          <w:szCs w:val="18"/>
          <w:rtl/>
        </w:rPr>
        <w:t>ואבחון</w:t>
      </w:r>
      <w:r w:rsidRPr="00211D07">
        <w:rPr>
          <w:rFonts w:ascii="Tahoma" w:hAnsi="Tahoma" w:cs="Tahoma"/>
          <w:sz w:val="18"/>
          <w:szCs w:val="18"/>
          <w:rtl/>
        </w:rPr>
        <w:t xml:space="preserve"> </w:t>
      </w:r>
      <w:r w:rsidRPr="00211D07">
        <w:rPr>
          <w:rFonts w:ascii="Tahoma" w:hAnsi="Tahoma" w:cs="Tahoma" w:hint="eastAsia"/>
          <w:sz w:val="18"/>
          <w:szCs w:val="18"/>
          <w:rtl/>
        </w:rPr>
        <w:t>של</w:t>
      </w:r>
      <w:r w:rsidRPr="00211D07">
        <w:rPr>
          <w:rFonts w:ascii="Tahoma" w:hAnsi="Tahoma" w:cs="Tahoma"/>
          <w:sz w:val="18"/>
          <w:szCs w:val="18"/>
          <w:rtl/>
        </w:rPr>
        <w:t xml:space="preserve"> </w:t>
      </w:r>
      <w:r w:rsidRPr="00211D07">
        <w:rPr>
          <w:rFonts w:ascii="Tahoma" w:hAnsi="Tahoma" w:cs="Tahoma" w:hint="eastAsia"/>
          <w:sz w:val="18"/>
          <w:szCs w:val="18"/>
          <w:rtl/>
        </w:rPr>
        <w:t>נפגעי</w:t>
      </w:r>
      <w:r w:rsidRPr="00211D07">
        <w:rPr>
          <w:rFonts w:ascii="Tahoma" w:hAnsi="Tahoma" w:cs="Tahoma"/>
          <w:sz w:val="18"/>
          <w:szCs w:val="18"/>
          <w:rtl/>
        </w:rPr>
        <w:t xml:space="preserve"> </w:t>
      </w:r>
      <w:r w:rsidRPr="00211D07">
        <w:rPr>
          <w:rFonts w:ascii="Tahoma" w:hAnsi="Tahoma" w:cs="Tahoma" w:hint="eastAsia"/>
          <w:sz w:val="18"/>
          <w:szCs w:val="18"/>
          <w:rtl/>
        </w:rPr>
        <w:t>אלכוהול</w:t>
      </w:r>
      <w:r w:rsidRPr="00211D07">
        <w:rPr>
          <w:rFonts w:ascii="Tahoma" w:hAnsi="Tahoma" w:cs="Tahoma"/>
          <w:sz w:val="18"/>
          <w:szCs w:val="18"/>
          <w:rtl/>
        </w:rPr>
        <w:t xml:space="preserve"> </w:t>
      </w:r>
      <w:r w:rsidRPr="00211D07">
        <w:rPr>
          <w:rFonts w:ascii="Tahoma" w:hAnsi="Tahoma" w:cs="Tahoma" w:hint="eastAsia"/>
          <w:sz w:val="18"/>
          <w:szCs w:val="18"/>
          <w:rtl/>
        </w:rPr>
        <w:t>או</w:t>
      </w:r>
      <w:r w:rsidRPr="00211D07">
        <w:rPr>
          <w:rFonts w:ascii="Tahoma" w:hAnsi="Tahoma" w:cs="Tahoma"/>
          <w:sz w:val="18"/>
          <w:szCs w:val="18"/>
          <w:rtl/>
        </w:rPr>
        <w:t xml:space="preserve"> </w:t>
      </w:r>
      <w:r w:rsidRPr="00211D07">
        <w:rPr>
          <w:rFonts w:ascii="Tahoma" w:hAnsi="Tahoma" w:cs="Tahoma" w:hint="eastAsia"/>
          <w:sz w:val="18"/>
          <w:szCs w:val="18"/>
          <w:rtl/>
        </w:rPr>
        <w:t>סמים</w:t>
      </w:r>
      <w:r w:rsidRPr="00211D07">
        <w:rPr>
          <w:rFonts w:ascii="Tahoma" w:hAnsi="Tahoma" w:cs="Tahoma"/>
          <w:sz w:val="18"/>
          <w:szCs w:val="18"/>
          <w:rtl/>
        </w:rPr>
        <w:t xml:space="preserve"> </w:t>
      </w:r>
      <w:r w:rsidRPr="00211D07">
        <w:rPr>
          <w:rFonts w:ascii="Tahoma" w:hAnsi="Tahoma" w:cs="Tahoma" w:hint="eastAsia"/>
          <w:sz w:val="18"/>
          <w:szCs w:val="18"/>
          <w:rtl/>
        </w:rPr>
        <w:t>במערכות</w:t>
      </w:r>
      <w:r w:rsidRPr="00211D07">
        <w:rPr>
          <w:rFonts w:ascii="Tahoma" w:hAnsi="Tahoma" w:cs="Tahoma"/>
          <w:sz w:val="18"/>
          <w:szCs w:val="18"/>
          <w:rtl/>
        </w:rPr>
        <w:t xml:space="preserve"> </w:t>
      </w:r>
      <w:r w:rsidRPr="00211D07">
        <w:rPr>
          <w:rFonts w:ascii="Tahoma" w:hAnsi="Tahoma" w:cs="Tahoma" w:hint="eastAsia"/>
          <w:sz w:val="18"/>
          <w:szCs w:val="18"/>
          <w:rtl/>
        </w:rPr>
        <w:t>הרפואיות</w:t>
      </w:r>
      <w:r w:rsidRPr="00211D07">
        <w:rPr>
          <w:rFonts w:ascii="Tahoma" w:hAnsi="Tahoma" w:cs="Tahoma"/>
          <w:sz w:val="18"/>
          <w:szCs w:val="18"/>
          <w:rtl/>
        </w:rPr>
        <w:t xml:space="preserve"> </w:t>
      </w:r>
      <w:r w:rsidRPr="00211D07">
        <w:rPr>
          <w:rFonts w:ascii="Tahoma" w:hAnsi="Tahoma" w:cs="Tahoma" w:hint="eastAsia"/>
          <w:sz w:val="18"/>
          <w:szCs w:val="18"/>
          <w:rtl/>
        </w:rPr>
        <w:t>וביצוע</w:t>
      </w:r>
      <w:r w:rsidRPr="00211D07">
        <w:rPr>
          <w:rFonts w:ascii="Tahoma" w:hAnsi="Tahoma" w:cs="Tahoma" w:hint="cs"/>
          <w:sz w:val="18"/>
          <w:szCs w:val="18"/>
          <w:rtl/>
        </w:rPr>
        <w:t xml:space="preserve"> שיחה קצרה של הנפגע עם איש צוות במטרה לצמצם את השימוש העתידי של הנפגע ב</w:t>
      </w:r>
      <w:r w:rsidRPr="00211D07">
        <w:rPr>
          <w:rFonts w:ascii="Tahoma" w:hAnsi="Tahoma" w:cs="Tahoma"/>
          <w:sz w:val="18"/>
          <w:szCs w:val="18"/>
          <w:rtl/>
        </w:rPr>
        <w:t xml:space="preserve">אלכוהול או </w:t>
      </w:r>
      <w:r w:rsidRPr="00211D07">
        <w:rPr>
          <w:rFonts w:ascii="Tahoma" w:hAnsi="Tahoma" w:cs="Tahoma" w:hint="cs"/>
          <w:sz w:val="18"/>
          <w:szCs w:val="18"/>
          <w:rtl/>
        </w:rPr>
        <w:t>ב</w:t>
      </w:r>
      <w:r w:rsidRPr="00211D07">
        <w:rPr>
          <w:rFonts w:ascii="Tahoma" w:hAnsi="Tahoma" w:cs="Tahoma"/>
          <w:sz w:val="18"/>
          <w:szCs w:val="18"/>
          <w:rtl/>
        </w:rPr>
        <w:t>סמים</w:t>
      </w:r>
      <w:r w:rsidRPr="00211D07">
        <w:rPr>
          <w:rFonts w:ascii="Tahoma" w:hAnsi="Tahoma" w:cs="Tahoma" w:hint="cs"/>
          <w:sz w:val="18"/>
          <w:szCs w:val="18"/>
          <w:rtl/>
        </w:rPr>
        <w:t xml:space="preserve"> (להלן - מודל לחדרי מיון). מחקרים מצאו כי שימוש במודל זה הועיל בהפחתת השימוש החוזר בחומרים ממכרים וצמצם את מספר האשפוזים החוזרים בעקבותיו. </w:t>
      </w:r>
    </w:p>
    <w:p w:rsidR="009B6D36" w:rsidRPr="005874E8" w:rsidP="005874E8">
      <w:pPr>
        <w:pStyle w:val="RESHET"/>
        <w:ind w:left="567"/>
        <w:rPr>
          <w:sz w:val="18"/>
          <w:rtl/>
        </w:rPr>
      </w:pPr>
      <w:r w:rsidRPr="005874E8">
        <w:rPr>
          <w:rFonts w:hint="cs"/>
          <w:sz w:val="18"/>
          <w:rtl/>
        </w:rPr>
        <w:t xml:space="preserve">עלה כי בשנים 2011-2010 פעלה המחלקה לטיפול בהתמכרויות לגיבוש מודל דומה לזה שפותח בחו"ל לחדרי מיון בישראל, אך פעילות זו הופסקה. עד סיום הביקורת - יותר משמונה שנים מאז החלו בגיבוש המודל - לא העביר משרד הבריאות לבתי החולים הנחיות להתערבות ממוקדת של הצוות הרפואי בחדר המיון. </w:t>
      </w:r>
    </w:p>
    <w:p w:rsidR="009B6D36" w:rsidRPr="00211D07" w:rsidP="005874E8">
      <w:pPr>
        <w:spacing w:before="180" w:line="240" w:lineRule="exact"/>
        <w:ind w:left="340" w:right="2268"/>
        <w:jc w:val="both"/>
        <w:rPr>
          <w:rFonts w:ascii="Tahoma" w:hAnsi="Tahoma" w:cs="Tahoma"/>
          <w:sz w:val="18"/>
          <w:szCs w:val="18"/>
          <w:rtl/>
        </w:rPr>
      </w:pPr>
      <w:r w:rsidRPr="00211D07">
        <w:rPr>
          <w:rFonts w:ascii="Tahoma" w:hAnsi="Tahoma" w:cs="Tahoma"/>
          <w:sz w:val="18"/>
          <w:szCs w:val="18"/>
          <w:rtl/>
        </w:rPr>
        <w:t xml:space="preserve">משרד הבריאות </w:t>
      </w:r>
      <w:r w:rsidRPr="00211D07">
        <w:rPr>
          <w:rFonts w:ascii="Tahoma" w:hAnsi="Tahoma" w:cs="Tahoma" w:hint="cs"/>
          <w:sz w:val="18"/>
          <w:szCs w:val="18"/>
          <w:rtl/>
        </w:rPr>
        <w:t xml:space="preserve">מסר בתשובתו </w:t>
      </w:r>
      <w:r w:rsidRPr="00211D07">
        <w:rPr>
          <w:rFonts w:ascii="Tahoma" w:hAnsi="Tahoma" w:cs="Tahoma"/>
          <w:sz w:val="18"/>
          <w:szCs w:val="18"/>
          <w:rtl/>
        </w:rPr>
        <w:t>כי</w:t>
      </w:r>
      <w:r w:rsidRPr="00211D07">
        <w:rPr>
          <w:rFonts w:ascii="Tahoma" w:hAnsi="Tahoma" w:cs="Tahoma" w:hint="cs"/>
          <w:sz w:val="18"/>
          <w:szCs w:val="18"/>
          <w:rtl/>
        </w:rPr>
        <w:t xml:space="preserve"> בכוונתו לגבש הנחיות בעניין.</w:t>
      </w:r>
    </w:p>
    <w:p w:rsidR="009B6D36" w:rsidRPr="00211D07" w:rsidP="00211D07">
      <w:pPr>
        <w:spacing w:line="240" w:lineRule="exact"/>
        <w:ind w:right="2268"/>
        <w:jc w:val="both"/>
        <w:rPr>
          <w:rFonts w:ascii="Tahoma" w:hAnsi="Tahoma" w:cs="Tahoma"/>
          <w:sz w:val="18"/>
          <w:szCs w:val="18"/>
          <w:rtl/>
        </w:rPr>
      </w:pPr>
    </w:p>
    <w:p w:rsidR="009B6D36" w:rsidRPr="00713BB7" w:rsidP="00211D07">
      <w:pPr>
        <w:pStyle w:val="KOT5"/>
        <w:rPr>
          <w:rtl/>
        </w:rPr>
      </w:pPr>
      <w:r w:rsidRPr="00713BB7">
        <w:rPr>
          <w:rFonts w:hint="cs"/>
          <w:rtl/>
        </w:rPr>
        <w:t xml:space="preserve">איתור והפניה של מכורים המגיעים למרפאות המשפחה בקופות החולים </w:t>
      </w:r>
    </w:p>
    <w:p w:rsidR="009B6D36" w:rsidRPr="00211D07" w:rsidP="005874E8">
      <w:pPr>
        <w:spacing w:after="240" w:line="240" w:lineRule="exact"/>
        <w:ind w:right="2268"/>
        <w:jc w:val="both"/>
        <w:rPr>
          <w:rFonts w:ascii="Tahoma" w:hAnsi="Tahoma" w:cs="Tahoma"/>
          <w:sz w:val="18"/>
          <w:szCs w:val="18"/>
          <w:rtl/>
        </w:rPr>
      </w:pPr>
      <w:r w:rsidRPr="00211D07">
        <w:rPr>
          <w:rFonts w:ascii="Tahoma" w:hAnsi="Tahoma" w:cs="Tahoma" w:hint="cs"/>
          <w:sz w:val="18"/>
          <w:szCs w:val="18"/>
          <w:rtl/>
        </w:rPr>
        <w:t xml:space="preserve">הקשר הישיר שיש לרופאי המשפחה שבקופות החולים עם מטופליהם מאפשר להם לזהות חולים מכורים, להפנות אותם להמשך טיפול אצל גורמי המקצוע ואף לעודד אותם לשתף פעולה בתהליך זה. </w:t>
      </w:r>
    </w:p>
    <w:p w:rsidR="009B6D36" w:rsidRPr="00211D07" w:rsidP="005874E8">
      <w:pPr>
        <w:pStyle w:val="RESHET"/>
        <w:rPr>
          <w:rtl/>
        </w:rPr>
      </w:pPr>
      <w:r w:rsidRPr="00211D07">
        <w:rPr>
          <w:rFonts w:hint="cs"/>
          <w:rtl/>
        </w:rPr>
        <w:t>בביקורת עלה כי קיימים הבדלים בהנחיות של משרד הבריאות לצוותים בחדרי המיון לעומת ההנחיות שניתנו למרפאות המשפחה: בעוד שהנחיית משרד הבריאות לצוות הרפואי בחדרי המיון היא שיש להפנות מכורים להמשך טיפול אצל גורמי המקצוע</w:t>
      </w:r>
      <w:r>
        <w:rPr>
          <w:rStyle w:val="FootnoteReference0"/>
          <w:b/>
          <w:bCs/>
          <w:sz w:val="18"/>
          <w:rtl/>
        </w:rPr>
        <w:footnoteReference w:id="27"/>
      </w:r>
      <w:r w:rsidRPr="00211D07">
        <w:rPr>
          <w:rFonts w:hint="cs"/>
          <w:rtl/>
        </w:rPr>
        <w:t xml:space="preserve">, הוא לא הורה למרפאות המשפחה בקופות החולים להפנות מכורים להמשך טיפול מקצועי בהתמכרותם. כך גם ביחס לעו"ס - בעוד חוזר </w:t>
      </w:r>
      <w:r w:rsidRPr="00211D07">
        <w:rPr>
          <w:rFonts w:hint="cs"/>
          <w:rtl/>
        </w:rPr>
        <w:t>מינהל</w:t>
      </w:r>
      <w:r w:rsidRPr="00211D07">
        <w:rPr>
          <w:rFonts w:hint="cs"/>
          <w:rtl/>
        </w:rPr>
        <w:t xml:space="preserve"> רפואה מיוני 2001 קובע את אוכלוסיית המכורים באוכלוסיית היעד של עו"ס בחדר מיון - חוזר </w:t>
      </w:r>
      <w:r w:rsidRPr="00211D07">
        <w:rPr>
          <w:rFonts w:hint="cs"/>
          <w:rtl/>
        </w:rPr>
        <w:t>מינהל</w:t>
      </w:r>
      <w:r w:rsidRPr="00211D07">
        <w:rPr>
          <w:rFonts w:hint="cs"/>
          <w:rtl/>
        </w:rPr>
        <w:t xml:space="preserve"> רפואה מיולי 2003</w:t>
      </w:r>
      <w:r>
        <w:rPr>
          <w:rStyle w:val="FootnoteReference0"/>
          <w:b/>
          <w:bCs/>
          <w:sz w:val="18"/>
          <w:rtl/>
        </w:rPr>
        <w:footnoteReference w:id="28"/>
      </w:r>
      <w:r w:rsidRPr="00211D07">
        <w:rPr>
          <w:rFonts w:hint="cs"/>
          <w:rtl/>
        </w:rPr>
        <w:t xml:space="preserve"> אינו כולל אוכלוסייה זו באוכלוסיית היעד של </w:t>
      </w:r>
      <w:r w:rsidRPr="00211D07">
        <w:rPr>
          <w:rFonts w:hint="cs"/>
          <w:rtl/>
        </w:rPr>
        <w:t>העו"ס</w:t>
      </w:r>
      <w:r w:rsidRPr="00211D07">
        <w:rPr>
          <w:rFonts w:hint="cs"/>
          <w:rtl/>
        </w:rPr>
        <w:t xml:space="preserve"> בקופות.</w:t>
      </w:r>
    </w:p>
    <w:p w:rsidR="009B6D36" w:rsidRPr="00211D07" w:rsidP="005874E8">
      <w:pPr>
        <w:pStyle w:val="RESHET"/>
        <w:rPr>
          <w:rtl/>
        </w:rPr>
      </w:pPr>
      <w:r w:rsidRPr="00211D07">
        <w:rPr>
          <w:rFonts w:hint="cs"/>
          <w:rtl/>
        </w:rPr>
        <w:t>על משרד הבריאות להנחות את קופות החולים להגדיר את המכורים כאוכלוסייה הנדרשת להתייחסות ייחודית ו</w:t>
      </w:r>
      <w:r w:rsidRPr="00211D07">
        <w:rPr>
          <w:rtl/>
        </w:rPr>
        <w:t>להפנ</w:t>
      </w:r>
      <w:r w:rsidRPr="00211D07">
        <w:rPr>
          <w:rFonts w:hint="cs"/>
          <w:rtl/>
        </w:rPr>
        <w:t>ו</w:t>
      </w:r>
      <w:r w:rsidRPr="00211D07">
        <w:rPr>
          <w:rtl/>
        </w:rPr>
        <w:t xml:space="preserve">ת </w:t>
      </w:r>
      <w:r w:rsidRPr="00211D07">
        <w:rPr>
          <w:rFonts w:hint="cs"/>
          <w:rtl/>
        </w:rPr>
        <w:t>אותם</w:t>
      </w:r>
      <w:r w:rsidRPr="00211D07">
        <w:rPr>
          <w:rtl/>
        </w:rPr>
        <w:t xml:space="preserve"> להמשך טיפול</w:t>
      </w:r>
      <w:r w:rsidRPr="00211D07">
        <w:rPr>
          <w:rFonts w:hint="cs"/>
          <w:rtl/>
        </w:rPr>
        <w:t xml:space="preserve"> - בדומה להנחיות שנתן לחדרי המיון. </w:t>
      </w:r>
    </w:p>
    <w:p w:rsidR="009B6D36" w:rsidRPr="00211D07" w:rsidP="005874E8">
      <w:pPr>
        <w:spacing w:before="180" w:line="240" w:lineRule="exact"/>
        <w:ind w:right="2268"/>
        <w:jc w:val="both"/>
        <w:rPr>
          <w:rFonts w:ascii="Tahoma" w:hAnsi="Tahoma" w:cs="Tahoma"/>
          <w:sz w:val="18"/>
          <w:szCs w:val="18"/>
          <w:rtl/>
        </w:rPr>
      </w:pPr>
      <w:r w:rsidRPr="00211D07">
        <w:rPr>
          <w:rFonts w:ascii="Tahoma" w:hAnsi="Tahoma" w:cs="Tahoma"/>
          <w:sz w:val="18"/>
          <w:szCs w:val="18"/>
          <w:rtl/>
        </w:rPr>
        <w:t xml:space="preserve">משרד הבריאות </w:t>
      </w:r>
      <w:r w:rsidRPr="00211D07">
        <w:rPr>
          <w:rFonts w:ascii="Tahoma" w:hAnsi="Tahoma" w:cs="Tahoma" w:hint="cs"/>
          <w:sz w:val="18"/>
          <w:szCs w:val="18"/>
          <w:rtl/>
        </w:rPr>
        <w:t xml:space="preserve">מסר בתשובתו </w:t>
      </w:r>
      <w:r w:rsidRPr="00211D07">
        <w:rPr>
          <w:rFonts w:ascii="Tahoma" w:hAnsi="Tahoma" w:cs="Tahoma"/>
          <w:sz w:val="18"/>
          <w:szCs w:val="18"/>
          <w:rtl/>
        </w:rPr>
        <w:t xml:space="preserve">כי </w:t>
      </w:r>
      <w:r w:rsidRPr="00211D07">
        <w:rPr>
          <w:rFonts w:ascii="Tahoma" w:hAnsi="Tahoma" w:cs="Tahoma" w:hint="cs"/>
          <w:sz w:val="18"/>
          <w:szCs w:val="18"/>
          <w:rtl/>
        </w:rPr>
        <w:t>יעדכן את הנהלים למרפאות המשפחה בנוגע לכלל ה</w:t>
      </w:r>
      <w:r w:rsidRPr="00211D07">
        <w:rPr>
          <w:rFonts w:ascii="Tahoma" w:hAnsi="Tahoma" w:cs="Tahoma"/>
          <w:sz w:val="18"/>
          <w:szCs w:val="18"/>
          <w:rtl/>
        </w:rPr>
        <w:t>מכורים.</w:t>
      </w:r>
    </w:p>
    <w:p w:rsidR="009B6D36" w:rsidRPr="00211D07" w:rsidP="00211D07">
      <w:pPr>
        <w:spacing w:line="240" w:lineRule="exact"/>
        <w:ind w:right="2268"/>
        <w:jc w:val="both"/>
        <w:rPr>
          <w:rFonts w:ascii="Tahoma" w:hAnsi="Tahoma" w:cs="Tahoma"/>
          <w:sz w:val="18"/>
          <w:szCs w:val="18"/>
          <w:rtl/>
        </w:rPr>
      </w:pPr>
    </w:p>
    <w:p w:rsidR="009B6D36" w:rsidP="00211D07">
      <w:pPr>
        <w:pStyle w:val="KOT2"/>
        <w:rPr>
          <w:rtl/>
        </w:rPr>
      </w:pPr>
      <w:r w:rsidRPr="008119B8">
        <w:rPr>
          <w:rtl/>
        </w:rPr>
        <w:t xml:space="preserve">קביעת מדיניות טיפול </w:t>
      </w:r>
      <w:r>
        <w:rPr>
          <w:rFonts w:hint="cs"/>
          <w:rtl/>
        </w:rPr>
        <w:t>במכורים להימורים ולתרופות מרשם</w:t>
      </w:r>
    </w:p>
    <w:p w:rsidR="009B6D36" w:rsidRPr="00211D07" w:rsidP="00211D07">
      <w:pPr>
        <w:spacing w:line="240" w:lineRule="exact"/>
        <w:ind w:right="2268"/>
        <w:jc w:val="both"/>
        <w:rPr>
          <w:rFonts w:ascii="Tahoma" w:eastAsia="Times New Roman" w:hAnsi="Tahoma" w:cs="Tahoma"/>
          <w:sz w:val="18"/>
          <w:szCs w:val="18"/>
          <w:rtl/>
        </w:rPr>
      </w:pPr>
      <w:r w:rsidRPr="00211D07">
        <w:rPr>
          <w:rFonts w:ascii="Tahoma" w:eastAsia="Times New Roman" w:hAnsi="Tahoma" w:cs="Tahoma"/>
          <w:sz w:val="18"/>
          <w:szCs w:val="18"/>
          <w:rtl/>
        </w:rPr>
        <w:t xml:space="preserve">מדריך התכנון הממשלתי מתווה את תהליך התכנון </w:t>
      </w:r>
      <w:r w:rsidRPr="00211D07">
        <w:rPr>
          <w:rFonts w:ascii="Tahoma" w:eastAsia="Times New Roman" w:hAnsi="Tahoma" w:cs="Tahoma" w:hint="cs"/>
          <w:sz w:val="18"/>
          <w:szCs w:val="18"/>
          <w:rtl/>
        </w:rPr>
        <w:t>שמתחיל</w:t>
      </w:r>
      <w:r w:rsidRPr="00211D07">
        <w:rPr>
          <w:rFonts w:ascii="Tahoma" w:eastAsia="Times New Roman" w:hAnsi="Tahoma" w:cs="Tahoma"/>
          <w:sz w:val="18"/>
          <w:szCs w:val="18"/>
          <w:rtl/>
        </w:rPr>
        <w:t xml:space="preserve"> בביצוע הערכת מצב משרדית - בדיקה מעמיקה של תהליכי העבודה ותחומי הפעילות של המשרד הממשלתי המבוססת בין היתר על איסוף מידע וניתוח נתונים</w:t>
      </w:r>
      <w:r w:rsidRPr="00211D07">
        <w:rPr>
          <w:rFonts w:ascii="Tahoma" w:eastAsia="Times New Roman" w:hAnsi="Tahoma" w:cs="Tahoma" w:hint="cs"/>
          <w:sz w:val="18"/>
          <w:szCs w:val="18"/>
          <w:rtl/>
        </w:rPr>
        <w:t>.</w:t>
      </w:r>
      <w:r w:rsidRPr="00211D07">
        <w:rPr>
          <w:rFonts w:ascii="Tahoma" w:eastAsia="Times New Roman" w:hAnsi="Tahoma" w:cs="Tahoma"/>
          <w:sz w:val="18"/>
          <w:szCs w:val="18"/>
          <w:rtl/>
        </w:rPr>
        <w:t xml:space="preserve"> </w:t>
      </w:r>
      <w:r w:rsidRPr="00211D07">
        <w:rPr>
          <w:rFonts w:ascii="Tahoma" w:eastAsia="Times New Roman" w:hAnsi="Tahoma" w:cs="Tahoma" w:hint="cs"/>
          <w:sz w:val="18"/>
          <w:szCs w:val="18"/>
          <w:rtl/>
        </w:rPr>
        <w:t xml:space="preserve">הבדיקה </w:t>
      </w:r>
      <w:r w:rsidRPr="00211D07">
        <w:rPr>
          <w:rFonts w:ascii="Tahoma" w:eastAsia="Times New Roman" w:hAnsi="Tahoma" w:cs="Tahoma"/>
          <w:sz w:val="18"/>
          <w:szCs w:val="18"/>
          <w:rtl/>
        </w:rPr>
        <w:t>יכולה לסייע להנהלת המשרד לבחון</w:t>
      </w:r>
      <w:r w:rsidRPr="00211D07">
        <w:rPr>
          <w:rFonts w:ascii="Tahoma" w:eastAsia="Times New Roman" w:hAnsi="Tahoma" w:cs="Tahoma" w:hint="cs"/>
          <w:sz w:val="18"/>
          <w:szCs w:val="18"/>
          <w:rtl/>
        </w:rPr>
        <w:t xml:space="preserve"> </w:t>
      </w:r>
      <w:r w:rsidRPr="00211D07">
        <w:rPr>
          <w:rFonts w:ascii="Tahoma" w:eastAsia="Times New Roman" w:hAnsi="Tahoma" w:cs="Tahoma" w:hint="eastAsia"/>
          <w:sz w:val="18"/>
          <w:szCs w:val="18"/>
          <w:rtl/>
        </w:rPr>
        <w:t>את</w:t>
      </w:r>
      <w:r w:rsidRPr="00211D07">
        <w:rPr>
          <w:rFonts w:ascii="Tahoma" w:eastAsia="Times New Roman" w:hAnsi="Tahoma" w:cs="Tahoma"/>
          <w:sz w:val="18"/>
          <w:szCs w:val="18"/>
          <w:rtl/>
        </w:rPr>
        <w:t xml:space="preserve"> </w:t>
      </w:r>
      <w:r w:rsidRPr="00211D07">
        <w:rPr>
          <w:rFonts w:ascii="Tahoma" w:eastAsia="Times New Roman" w:hAnsi="Tahoma" w:cs="Tahoma" w:hint="eastAsia"/>
          <w:sz w:val="18"/>
          <w:szCs w:val="18"/>
          <w:rtl/>
        </w:rPr>
        <w:t>המצב</w:t>
      </w:r>
      <w:r w:rsidRPr="00211D07">
        <w:rPr>
          <w:rFonts w:ascii="Tahoma" w:eastAsia="Times New Roman" w:hAnsi="Tahoma" w:cs="Tahoma"/>
          <w:sz w:val="18"/>
          <w:szCs w:val="18"/>
          <w:rtl/>
        </w:rPr>
        <w:t xml:space="preserve"> </w:t>
      </w:r>
      <w:r w:rsidRPr="00211D07">
        <w:rPr>
          <w:rFonts w:ascii="Tahoma" w:eastAsia="Times New Roman" w:hAnsi="Tahoma" w:cs="Tahoma" w:hint="eastAsia"/>
          <w:sz w:val="18"/>
          <w:szCs w:val="18"/>
          <w:rtl/>
        </w:rPr>
        <w:t>הקיים</w:t>
      </w:r>
      <w:r w:rsidRPr="00211D07">
        <w:rPr>
          <w:rFonts w:ascii="Tahoma" w:eastAsia="Times New Roman" w:hAnsi="Tahoma" w:cs="Tahoma"/>
          <w:sz w:val="18"/>
          <w:szCs w:val="18"/>
          <w:rtl/>
        </w:rPr>
        <w:t xml:space="preserve"> ולקבוע באופן מסודר את מטרותיו ויעדיו. תוצרי הערכה זו אמורים להתגבש לת</w:t>
      </w:r>
      <w:r w:rsidRPr="00211D07">
        <w:rPr>
          <w:rFonts w:ascii="Tahoma" w:eastAsia="Times New Roman" w:hAnsi="Tahoma" w:cs="Tahoma" w:hint="cs"/>
          <w:sz w:val="18"/>
          <w:szCs w:val="18"/>
          <w:rtl/>
        </w:rPr>
        <w:t>ו</w:t>
      </w:r>
      <w:r w:rsidRPr="00211D07">
        <w:rPr>
          <w:rFonts w:ascii="Tahoma" w:eastAsia="Times New Roman" w:hAnsi="Tahoma" w:cs="Tahoma"/>
          <w:sz w:val="18"/>
          <w:szCs w:val="18"/>
          <w:rtl/>
        </w:rPr>
        <w:t>כניות עבודה משרדיות שיקבעו סדר עדיפויות למימוש מטרות ויעדים אלו ויכללו הקצאה תקציבית לביצוע משימותיו בעתיד וקביעת לוח זמנים לביצוען</w:t>
      </w:r>
      <w:r>
        <w:rPr>
          <w:rStyle w:val="FootnoteReference0"/>
          <w:rFonts w:ascii="Tahoma" w:eastAsia="Times New Roman" w:hAnsi="Tahoma" w:cs="Tahoma"/>
          <w:sz w:val="18"/>
          <w:szCs w:val="18"/>
          <w:rtl/>
        </w:rPr>
        <w:footnoteReference w:id="29"/>
      </w:r>
      <w:r w:rsidRPr="00211D07">
        <w:rPr>
          <w:rFonts w:ascii="Tahoma" w:eastAsia="Times New Roman" w:hAnsi="Tahoma" w:cs="Tahoma" w:hint="cs"/>
          <w:sz w:val="18"/>
          <w:szCs w:val="18"/>
          <w:rtl/>
        </w:rPr>
        <w:t>. בשנים האחרונות חל שינוי באוכלוסיית המכורים, ונוספו גם התמכרויות חדשות הכוללות את הסובלים מבעיית הימורים ואת אלו הסובלים מהתמכרות לתרופות מרשם לשיכוך כאבים</w:t>
      </w:r>
      <w:r>
        <w:rPr>
          <w:rStyle w:val="FootnoteReference0"/>
          <w:rFonts w:ascii="Tahoma" w:eastAsia="Times New Roman" w:hAnsi="Tahoma" w:cs="Tahoma"/>
          <w:sz w:val="18"/>
          <w:szCs w:val="18"/>
          <w:rtl/>
        </w:rPr>
        <w:footnoteReference w:id="30"/>
      </w:r>
      <w:r w:rsidRPr="00211D07">
        <w:rPr>
          <w:rFonts w:ascii="Tahoma" w:eastAsia="Times New Roman" w:hAnsi="Tahoma" w:cs="Tahoma" w:hint="cs"/>
          <w:sz w:val="18"/>
          <w:szCs w:val="18"/>
          <w:rtl/>
        </w:rPr>
        <w:t xml:space="preserve"> (להלן - תרופות מרשם). היה על משרדי הממשלה הרלוונטיים - משרדי הרווחה והבריאות - לבצע תהליך </w:t>
      </w:r>
      <w:r w:rsidRPr="00211D07">
        <w:rPr>
          <w:rFonts w:ascii="Tahoma" w:eastAsia="Times New Roman" w:hAnsi="Tahoma" w:cs="Tahoma"/>
          <w:sz w:val="18"/>
          <w:szCs w:val="18"/>
          <w:rtl/>
        </w:rPr>
        <w:t>תכנון שיטתי לג</w:t>
      </w:r>
      <w:r w:rsidRPr="00211D07">
        <w:rPr>
          <w:rFonts w:ascii="Tahoma" w:eastAsia="Times New Roman" w:hAnsi="Tahoma" w:cs="Tahoma" w:hint="cs"/>
          <w:sz w:val="18"/>
          <w:szCs w:val="18"/>
          <w:rtl/>
        </w:rPr>
        <w:t>י</w:t>
      </w:r>
      <w:r w:rsidRPr="00211D07">
        <w:rPr>
          <w:rFonts w:ascii="Tahoma" w:eastAsia="Times New Roman" w:hAnsi="Tahoma" w:cs="Tahoma"/>
          <w:sz w:val="18"/>
          <w:szCs w:val="18"/>
          <w:rtl/>
        </w:rPr>
        <w:t>ב</w:t>
      </w:r>
      <w:r w:rsidRPr="00211D07">
        <w:rPr>
          <w:rFonts w:ascii="Tahoma" w:eastAsia="Times New Roman" w:hAnsi="Tahoma" w:cs="Tahoma" w:hint="cs"/>
          <w:sz w:val="18"/>
          <w:szCs w:val="18"/>
          <w:rtl/>
        </w:rPr>
        <w:t>ו</w:t>
      </w:r>
      <w:r w:rsidRPr="00211D07">
        <w:rPr>
          <w:rFonts w:ascii="Tahoma" w:eastAsia="Times New Roman" w:hAnsi="Tahoma" w:cs="Tahoma"/>
          <w:sz w:val="18"/>
          <w:szCs w:val="18"/>
          <w:rtl/>
        </w:rPr>
        <w:t>ש מדיניות סדורה</w:t>
      </w:r>
      <w:r w:rsidRPr="00211D07">
        <w:rPr>
          <w:rFonts w:ascii="Tahoma" w:eastAsia="Times New Roman" w:hAnsi="Tahoma" w:cs="Tahoma" w:hint="cs"/>
          <w:sz w:val="18"/>
          <w:szCs w:val="18"/>
          <w:rtl/>
        </w:rPr>
        <w:t xml:space="preserve"> לטיפול במכורים הללו ה</w:t>
      </w:r>
      <w:r w:rsidRPr="00211D07">
        <w:rPr>
          <w:rFonts w:ascii="Tahoma" w:eastAsia="Times New Roman" w:hAnsi="Tahoma" w:cs="Tahoma"/>
          <w:sz w:val="18"/>
          <w:szCs w:val="18"/>
          <w:rtl/>
        </w:rPr>
        <w:t>מבוססת על נתונים</w:t>
      </w:r>
      <w:r w:rsidRPr="00211D07">
        <w:rPr>
          <w:rFonts w:ascii="Tahoma" w:eastAsia="Times New Roman" w:hAnsi="Tahoma" w:cs="Tahoma" w:hint="cs"/>
          <w:sz w:val="18"/>
          <w:szCs w:val="18"/>
          <w:rtl/>
        </w:rPr>
        <w:t xml:space="preserve"> מקיפים ואמינים.</w:t>
      </w:r>
      <w:r w:rsidRPr="00211D07">
        <w:rPr>
          <w:rFonts w:ascii="Tahoma" w:eastAsia="Times New Roman" w:hAnsi="Tahoma" w:cs="Tahoma"/>
          <w:sz w:val="18"/>
          <w:szCs w:val="18"/>
          <w:rtl/>
        </w:rPr>
        <w:t xml:space="preserve"> </w:t>
      </w:r>
      <w:r w:rsidRPr="00211D07">
        <w:rPr>
          <w:rFonts w:ascii="Tahoma" w:eastAsia="Times New Roman" w:hAnsi="Tahoma" w:cs="Tahoma" w:hint="cs"/>
          <w:sz w:val="18"/>
          <w:szCs w:val="18"/>
          <w:rtl/>
        </w:rPr>
        <w:t>הועלה כי מדיניות כאמור לא גובשה. להלן הפרטים.</w:t>
      </w:r>
    </w:p>
    <w:p w:rsidR="009B6D36" w:rsidRPr="00211D07" w:rsidP="00211D07">
      <w:pPr>
        <w:spacing w:line="240" w:lineRule="exact"/>
        <w:ind w:right="2268"/>
        <w:jc w:val="both"/>
        <w:rPr>
          <w:rFonts w:ascii="Tahoma" w:eastAsia="Times New Roman" w:hAnsi="Tahoma" w:cs="Tahoma"/>
          <w:sz w:val="18"/>
          <w:szCs w:val="18"/>
        </w:rPr>
      </w:pPr>
    </w:p>
    <w:p w:rsidR="009B6D36" w:rsidRPr="00211D07" w:rsidP="00211D07">
      <w:pPr>
        <w:spacing w:line="240" w:lineRule="exact"/>
        <w:ind w:right="2268"/>
        <w:jc w:val="both"/>
        <w:rPr>
          <w:rFonts w:ascii="Tahoma" w:eastAsia="Times New Roman" w:hAnsi="Tahoma" w:cs="Tahoma"/>
          <w:sz w:val="18"/>
          <w:szCs w:val="18"/>
          <w:rtl/>
        </w:rPr>
      </w:pPr>
    </w:p>
    <w:p w:rsidR="009B6D36" w:rsidP="00211D07">
      <w:pPr>
        <w:pStyle w:val="KOT4"/>
        <w:rPr>
          <w:rtl/>
        </w:rPr>
      </w:pPr>
      <w:r>
        <w:rPr>
          <w:rFonts w:hint="cs"/>
          <w:rtl/>
        </w:rPr>
        <w:t>מכורים להימורים</w:t>
      </w:r>
    </w:p>
    <w:p w:rsidR="009B6D36" w:rsidRPr="00211D07" w:rsidP="00211D07">
      <w:pPr>
        <w:spacing w:line="240" w:lineRule="exact"/>
        <w:ind w:right="2268"/>
        <w:jc w:val="both"/>
        <w:rPr>
          <w:rFonts w:ascii="Tahoma" w:hAnsi="Tahoma" w:cs="Tahoma"/>
          <w:sz w:val="18"/>
          <w:szCs w:val="18"/>
          <w:rtl/>
        </w:rPr>
      </w:pPr>
      <w:r w:rsidRPr="00211D07">
        <w:rPr>
          <w:rFonts w:ascii="Tahoma" w:hAnsi="Tahoma" w:cs="Tahoma"/>
          <w:sz w:val="18"/>
          <w:szCs w:val="18"/>
          <w:rtl/>
        </w:rPr>
        <w:t>הסובלים מ</w:t>
      </w:r>
      <w:r w:rsidRPr="00211D07">
        <w:rPr>
          <w:rFonts w:ascii="Tahoma" w:hAnsi="Tahoma" w:cs="Tahoma" w:hint="cs"/>
          <w:sz w:val="18"/>
          <w:szCs w:val="18"/>
          <w:rtl/>
        </w:rPr>
        <w:t xml:space="preserve">בעיית </w:t>
      </w:r>
      <w:r w:rsidRPr="00211D07">
        <w:rPr>
          <w:rFonts w:ascii="Tahoma" w:hAnsi="Tahoma" w:cs="Tahoma"/>
          <w:sz w:val="18"/>
          <w:szCs w:val="18"/>
          <w:rtl/>
        </w:rPr>
        <w:t xml:space="preserve">הימורים </w:t>
      </w:r>
      <w:r w:rsidRPr="00211D07">
        <w:rPr>
          <w:rFonts w:ascii="Tahoma" w:hAnsi="Tahoma" w:cs="Tahoma" w:hint="cs"/>
          <w:sz w:val="18"/>
          <w:szCs w:val="18"/>
          <w:rtl/>
        </w:rPr>
        <w:t xml:space="preserve">(להלן - הסובלים מהתמכרות להימורים או </w:t>
      </w:r>
      <w:r w:rsidRPr="00211D07">
        <w:rPr>
          <w:rFonts w:ascii="Tahoma" w:hAnsi="Tahoma" w:cs="Tahoma"/>
          <w:sz w:val="18"/>
          <w:szCs w:val="18"/>
          <w:rtl/>
        </w:rPr>
        <w:t>ה</w:t>
      </w:r>
      <w:r w:rsidRPr="00211D07">
        <w:rPr>
          <w:rFonts w:ascii="Tahoma" w:hAnsi="Tahoma" w:cs="Tahoma" w:hint="cs"/>
          <w:sz w:val="18"/>
          <w:szCs w:val="18"/>
          <w:rtl/>
        </w:rPr>
        <w:t>מכורים ל</w:t>
      </w:r>
      <w:r w:rsidRPr="00211D07">
        <w:rPr>
          <w:rFonts w:ascii="Tahoma" w:hAnsi="Tahoma" w:cs="Tahoma"/>
          <w:sz w:val="18"/>
          <w:szCs w:val="18"/>
          <w:rtl/>
        </w:rPr>
        <w:t>הימורים</w:t>
      </w:r>
      <w:r w:rsidRPr="00211D07">
        <w:rPr>
          <w:rFonts w:ascii="Tahoma" w:hAnsi="Tahoma" w:cs="Tahoma" w:hint="cs"/>
          <w:sz w:val="18"/>
          <w:szCs w:val="18"/>
          <w:rtl/>
        </w:rPr>
        <w:t>) הם חלק מאוכלוסיית המכורים, וגם הם מתאפיינים בהתנהגות תלותית-כפייתית</w:t>
      </w:r>
      <w:r>
        <w:rPr>
          <w:rStyle w:val="FootnoteReference0"/>
          <w:rFonts w:ascii="Tahoma" w:hAnsi="Tahoma" w:cs="Tahoma"/>
          <w:sz w:val="18"/>
          <w:szCs w:val="18"/>
          <w:rtl/>
        </w:rPr>
        <w:footnoteReference w:id="31"/>
      </w:r>
      <w:r w:rsidRPr="00211D07">
        <w:rPr>
          <w:rFonts w:ascii="Tahoma" w:hAnsi="Tahoma" w:cs="Tahoma" w:hint="cs"/>
          <w:sz w:val="18"/>
          <w:szCs w:val="18"/>
          <w:rtl/>
        </w:rPr>
        <w:t>. עם זאת קיים קושי לזהות את המכור להימורים - המהמר הכפייתי. המהמר הכפייתי יכול להשתתף בהימורים חוקיים כמו אלו שמקיימים מפעל הפיס והמועצה להסדר הימורים בספורט (הטוטו), והוא יכול גם להמר בהימורים לא חוקיים שמופעלים לא פעם ע"י ארגוני פשע. להתמכרות להימורים אין סימנים גופניים שנראים על גוף המהמר הכפייתי. להפך, מהמר כפייתי יכול לנהל לכאורה אורח חיים נורמטיבי. ואולם, הסיכון בהתמכרות להימורים הוא בהידרדרות האישית והמשפחתית הנגרמת ממנה. היות ש</w:t>
      </w:r>
      <w:r w:rsidRPr="00211D07">
        <w:rPr>
          <w:rFonts w:ascii="Tahoma" w:hAnsi="Tahoma" w:cs="Tahoma"/>
          <w:sz w:val="18"/>
          <w:szCs w:val="18"/>
          <w:rtl/>
        </w:rPr>
        <w:t xml:space="preserve">יותר ממחצית </w:t>
      </w:r>
      <w:r w:rsidRPr="00211D07">
        <w:rPr>
          <w:rFonts w:ascii="Tahoma" w:hAnsi="Tahoma" w:cs="Tahoma" w:hint="cs"/>
          <w:sz w:val="18"/>
          <w:szCs w:val="18"/>
          <w:rtl/>
        </w:rPr>
        <w:t xml:space="preserve">הסובלים מהתמכרות להימורים שפנו לטיפול הם אנשים </w:t>
      </w:r>
      <w:r w:rsidRPr="00211D07">
        <w:rPr>
          <w:rFonts w:ascii="Tahoma" w:hAnsi="Tahoma" w:cs="Tahoma"/>
          <w:sz w:val="18"/>
          <w:szCs w:val="18"/>
          <w:rtl/>
        </w:rPr>
        <w:t>נשואים או חיים בזוגיות</w:t>
      </w:r>
      <w:r w:rsidRPr="00211D07">
        <w:rPr>
          <w:rFonts w:ascii="Tahoma" w:hAnsi="Tahoma" w:cs="Tahoma" w:hint="cs"/>
          <w:sz w:val="18"/>
          <w:szCs w:val="18"/>
          <w:rtl/>
        </w:rPr>
        <w:t xml:space="preserve">, הרי שהתוצאות השליליות של התמכרותם מתרחבות הרבה מעבר למכורים עצמם. </w:t>
      </w:r>
    </w:p>
    <w:p w:rsidR="009B6D36" w:rsidRPr="00211D07" w:rsidP="00E76FAB">
      <w:pPr>
        <w:pStyle w:val="ListParagraph"/>
        <w:numPr>
          <w:ilvl w:val="0"/>
          <w:numId w:val="10"/>
        </w:numPr>
        <w:autoSpaceDE/>
        <w:autoSpaceDN/>
        <w:adjustRightInd/>
        <w:spacing w:line="240" w:lineRule="exact"/>
        <w:ind w:left="340" w:right="2268" w:hanging="340"/>
        <w:rPr>
          <w:sz w:val="18"/>
          <w:szCs w:val="18"/>
        </w:rPr>
      </w:pPr>
      <w:r w:rsidRPr="00211D07">
        <w:rPr>
          <w:rFonts w:hint="cs"/>
          <w:sz w:val="18"/>
          <w:szCs w:val="18"/>
          <w:rtl/>
        </w:rPr>
        <w:t>משום שלתופעת ההתמכרות מהימורים יש מאפיינים ייחודיים כאמור, היה על משרד הרווחה לאמוד ולהעריך את היקף תופעת ההתמכרות להימורים כדי לבסס דרכי פעולה אפקטיביות.</w:t>
      </w:r>
    </w:p>
    <w:p w:rsidR="009B6D36" w:rsidRPr="00211D07" w:rsidP="005874E8">
      <w:pPr>
        <w:spacing w:after="240" w:line="240" w:lineRule="exact"/>
        <w:ind w:left="340" w:right="2268"/>
        <w:jc w:val="both"/>
        <w:rPr>
          <w:rFonts w:ascii="Tahoma" w:hAnsi="Tahoma" w:cs="Tahoma"/>
          <w:sz w:val="18"/>
          <w:szCs w:val="18"/>
          <w:rtl/>
        </w:rPr>
      </w:pPr>
      <w:r w:rsidRPr="00211D07">
        <w:rPr>
          <w:rFonts w:ascii="Tahoma" w:hAnsi="Tahoma" w:cs="Tahoma" w:hint="eastAsia"/>
          <w:sz w:val="18"/>
          <w:szCs w:val="18"/>
          <w:rtl/>
        </w:rPr>
        <w:t>נמצא</w:t>
      </w:r>
      <w:r w:rsidRPr="00211D07">
        <w:rPr>
          <w:rFonts w:ascii="Tahoma" w:hAnsi="Tahoma" w:cs="Tahoma"/>
          <w:sz w:val="18"/>
          <w:szCs w:val="18"/>
          <w:rtl/>
        </w:rPr>
        <w:t xml:space="preserve"> </w:t>
      </w:r>
      <w:r w:rsidRPr="00211D07">
        <w:rPr>
          <w:rFonts w:ascii="Tahoma" w:hAnsi="Tahoma" w:cs="Tahoma" w:hint="eastAsia"/>
          <w:sz w:val="18"/>
          <w:szCs w:val="18"/>
          <w:rtl/>
        </w:rPr>
        <w:t>כי</w:t>
      </w:r>
      <w:r w:rsidRPr="00211D07">
        <w:rPr>
          <w:rFonts w:ascii="Tahoma" w:hAnsi="Tahoma" w:cs="Tahoma"/>
          <w:sz w:val="18"/>
          <w:szCs w:val="18"/>
          <w:rtl/>
        </w:rPr>
        <w:t xml:space="preserve"> </w:t>
      </w:r>
      <w:r w:rsidRPr="00211D07">
        <w:rPr>
          <w:rFonts w:ascii="Tahoma" w:hAnsi="Tahoma" w:cs="Tahoma" w:hint="eastAsia"/>
          <w:sz w:val="18"/>
          <w:szCs w:val="18"/>
          <w:rtl/>
        </w:rPr>
        <w:t>המשרד</w:t>
      </w:r>
      <w:r w:rsidRPr="00211D07">
        <w:rPr>
          <w:rFonts w:ascii="Tahoma" w:hAnsi="Tahoma" w:cs="Tahoma"/>
          <w:sz w:val="18"/>
          <w:szCs w:val="18"/>
          <w:rtl/>
        </w:rPr>
        <w:t xml:space="preserve"> </w:t>
      </w:r>
      <w:r w:rsidRPr="00211D07">
        <w:rPr>
          <w:rFonts w:ascii="Tahoma" w:hAnsi="Tahoma" w:cs="Tahoma" w:hint="eastAsia"/>
          <w:sz w:val="18"/>
          <w:szCs w:val="18"/>
          <w:rtl/>
        </w:rPr>
        <w:t>לא</w:t>
      </w:r>
      <w:r w:rsidRPr="00211D07">
        <w:rPr>
          <w:rFonts w:ascii="Tahoma" w:hAnsi="Tahoma" w:cs="Tahoma"/>
          <w:sz w:val="18"/>
          <w:szCs w:val="18"/>
          <w:rtl/>
        </w:rPr>
        <w:t xml:space="preserve"> </w:t>
      </w:r>
      <w:r w:rsidRPr="00211D07">
        <w:rPr>
          <w:rFonts w:ascii="Tahoma" w:hAnsi="Tahoma" w:cs="Tahoma" w:hint="cs"/>
          <w:sz w:val="18"/>
          <w:szCs w:val="18"/>
          <w:rtl/>
        </w:rPr>
        <w:t>ביצע הערכה פרטנית כזאת והסתפק ב</w:t>
      </w:r>
      <w:r w:rsidRPr="00211D07">
        <w:rPr>
          <w:rFonts w:ascii="Tahoma" w:hAnsi="Tahoma" w:cs="Tahoma"/>
          <w:sz w:val="18"/>
          <w:szCs w:val="18"/>
          <w:rtl/>
        </w:rPr>
        <w:t xml:space="preserve">הערכה </w:t>
      </w:r>
      <w:r w:rsidRPr="00211D07">
        <w:rPr>
          <w:rFonts w:ascii="Tahoma" w:hAnsi="Tahoma" w:cs="Tahoma" w:hint="eastAsia"/>
          <w:sz w:val="18"/>
          <w:szCs w:val="18"/>
          <w:rtl/>
        </w:rPr>
        <w:t>כוללת</w:t>
      </w:r>
      <w:r w:rsidRPr="00211D07">
        <w:rPr>
          <w:rFonts w:ascii="Tahoma" w:hAnsi="Tahoma" w:cs="Tahoma"/>
          <w:sz w:val="18"/>
          <w:szCs w:val="18"/>
          <w:rtl/>
        </w:rPr>
        <w:t xml:space="preserve"> </w:t>
      </w:r>
      <w:r w:rsidRPr="00211D07">
        <w:rPr>
          <w:rFonts w:ascii="Tahoma" w:hAnsi="Tahoma" w:cs="Tahoma" w:hint="cs"/>
          <w:sz w:val="18"/>
          <w:szCs w:val="18"/>
          <w:rtl/>
        </w:rPr>
        <w:t>בנוגע לכל</w:t>
      </w:r>
      <w:r w:rsidRPr="00211D07">
        <w:rPr>
          <w:rFonts w:ascii="Tahoma" w:hAnsi="Tahoma" w:cs="Tahoma"/>
          <w:sz w:val="18"/>
          <w:szCs w:val="18"/>
          <w:rtl/>
        </w:rPr>
        <w:t xml:space="preserve"> סוגי ההתמכרויות</w:t>
      </w:r>
      <w:r w:rsidRPr="00211D07">
        <w:rPr>
          <w:rFonts w:ascii="Tahoma" w:hAnsi="Tahoma" w:cs="Tahoma" w:hint="cs"/>
          <w:sz w:val="18"/>
          <w:szCs w:val="18"/>
          <w:rtl/>
        </w:rPr>
        <w:t xml:space="preserve">. ההערכה מתבססת על מספר המכורים המטופלים בפועל בשירותי הרווחה והבריאות, ולפיה יש בסה"כ </w:t>
      </w:r>
      <w:r w:rsidRPr="00211D07">
        <w:rPr>
          <w:rFonts w:ascii="Tahoma" w:hAnsi="Tahoma" w:cs="Tahoma"/>
          <w:sz w:val="18"/>
          <w:szCs w:val="18"/>
          <w:rtl/>
        </w:rPr>
        <w:t xml:space="preserve">כ-120,000 </w:t>
      </w:r>
      <w:r w:rsidRPr="00211D07">
        <w:rPr>
          <w:rFonts w:ascii="Tahoma" w:hAnsi="Tahoma" w:cs="Tahoma" w:hint="cs"/>
          <w:sz w:val="18"/>
          <w:szCs w:val="18"/>
          <w:rtl/>
        </w:rPr>
        <w:t>מכורים בכל סוגי ההתמכרויות</w:t>
      </w:r>
      <w:r w:rsidRPr="00211D07">
        <w:rPr>
          <w:rFonts w:ascii="Tahoma" w:hAnsi="Tahoma" w:cs="Tahoma"/>
          <w:sz w:val="18"/>
          <w:szCs w:val="18"/>
          <w:rtl/>
        </w:rPr>
        <w:t xml:space="preserve">. </w:t>
      </w:r>
      <w:r w:rsidRPr="00211D07">
        <w:rPr>
          <w:rFonts w:ascii="Tahoma" w:hAnsi="Tahoma" w:cs="Tahoma" w:hint="cs"/>
          <w:sz w:val="18"/>
          <w:szCs w:val="18"/>
          <w:rtl/>
        </w:rPr>
        <w:t>מנגד, ממצאי</w:t>
      </w:r>
      <w:r w:rsidRPr="00211D07">
        <w:rPr>
          <w:rFonts w:ascii="Tahoma" w:hAnsi="Tahoma" w:cs="Tahoma"/>
          <w:sz w:val="18"/>
          <w:szCs w:val="18"/>
          <w:rtl/>
        </w:rPr>
        <w:t xml:space="preserve"> </w:t>
      </w:r>
      <w:r w:rsidRPr="00211D07">
        <w:rPr>
          <w:rFonts w:ascii="Tahoma" w:hAnsi="Tahoma" w:cs="Tahoma" w:hint="cs"/>
          <w:sz w:val="18"/>
          <w:szCs w:val="18"/>
          <w:rtl/>
        </w:rPr>
        <w:t>מחקר</w:t>
      </w:r>
      <w:r>
        <w:rPr>
          <w:rStyle w:val="FootnoteReference0"/>
          <w:rFonts w:ascii="Tahoma" w:hAnsi="Tahoma" w:cs="Tahoma"/>
          <w:sz w:val="18"/>
          <w:szCs w:val="18"/>
          <w:rtl/>
        </w:rPr>
        <w:footnoteReference w:id="32"/>
      </w:r>
      <w:r w:rsidRPr="00211D07">
        <w:rPr>
          <w:rFonts w:ascii="Tahoma" w:hAnsi="Tahoma" w:cs="Tahoma" w:hint="cs"/>
          <w:sz w:val="18"/>
          <w:szCs w:val="18"/>
          <w:rtl/>
        </w:rPr>
        <w:t xml:space="preserve"> </w:t>
      </w:r>
      <w:r w:rsidRPr="00211D07">
        <w:rPr>
          <w:rFonts w:ascii="Tahoma" w:hAnsi="Tahoma" w:cs="Tahoma"/>
          <w:sz w:val="18"/>
          <w:szCs w:val="18"/>
          <w:rtl/>
        </w:rPr>
        <w:t>שנערך במימון מפעל הפיס בשנת 2017</w:t>
      </w:r>
      <w:r w:rsidRPr="00211D07">
        <w:rPr>
          <w:rFonts w:ascii="Tahoma" w:hAnsi="Tahoma" w:cs="Tahoma" w:hint="cs"/>
          <w:sz w:val="18"/>
          <w:szCs w:val="18"/>
          <w:rtl/>
        </w:rPr>
        <w:t xml:space="preserve"> הצביעו על כך ש</w:t>
      </w:r>
      <w:r w:rsidRPr="00211D07">
        <w:rPr>
          <w:rFonts w:ascii="Tahoma" w:hAnsi="Tahoma" w:cs="Tahoma"/>
          <w:sz w:val="18"/>
          <w:szCs w:val="18"/>
          <w:rtl/>
        </w:rPr>
        <w:t>שיעור הסובלים מ</w:t>
      </w:r>
      <w:r w:rsidRPr="00211D07">
        <w:rPr>
          <w:rFonts w:ascii="Tahoma" w:hAnsi="Tahoma" w:cs="Tahoma" w:hint="cs"/>
          <w:sz w:val="18"/>
          <w:szCs w:val="18"/>
          <w:rtl/>
        </w:rPr>
        <w:t>התמכרות ל</w:t>
      </w:r>
      <w:r w:rsidRPr="00211D07">
        <w:rPr>
          <w:rFonts w:ascii="Tahoma" w:hAnsi="Tahoma" w:cs="Tahoma"/>
          <w:sz w:val="18"/>
          <w:szCs w:val="18"/>
          <w:rtl/>
        </w:rPr>
        <w:t xml:space="preserve">הימורים בקרב האוכלוסייה היהודית הוא 2.3% </w:t>
      </w:r>
      <w:r w:rsidRPr="00211D07">
        <w:rPr>
          <w:rFonts w:ascii="Tahoma" w:hAnsi="Tahoma" w:cs="Tahoma" w:hint="cs"/>
          <w:sz w:val="18"/>
          <w:szCs w:val="18"/>
          <w:rtl/>
        </w:rPr>
        <w:t>וב</w:t>
      </w:r>
      <w:r w:rsidRPr="00211D07">
        <w:rPr>
          <w:rFonts w:ascii="Tahoma" w:hAnsi="Tahoma" w:cs="Tahoma"/>
          <w:sz w:val="18"/>
          <w:szCs w:val="18"/>
          <w:rtl/>
        </w:rPr>
        <w:t>אוכלוסייה הערבית 0.9%</w:t>
      </w:r>
      <w:r>
        <w:rPr>
          <w:rStyle w:val="FootnoteReference0"/>
          <w:rFonts w:ascii="Tahoma" w:hAnsi="Tahoma" w:cs="Tahoma"/>
          <w:sz w:val="18"/>
          <w:szCs w:val="18"/>
          <w:rtl/>
        </w:rPr>
        <w:footnoteReference w:id="33"/>
      </w:r>
      <w:r w:rsidRPr="00211D07">
        <w:rPr>
          <w:rFonts w:ascii="Tahoma" w:hAnsi="Tahoma" w:cs="Tahoma"/>
          <w:sz w:val="18"/>
          <w:szCs w:val="18"/>
          <w:rtl/>
        </w:rPr>
        <w:t xml:space="preserve">. </w:t>
      </w:r>
      <w:r w:rsidRPr="00211D07">
        <w:rPr>
          <w:rFonts w:ascii="Tahoma" w:hAnsi="Tahoma" w:cs="Tahoma" w:hint="cs"/>
          <w:sz w:val="18"/>
          <w:szCs w:val="18"/>
          <w:rtl/>
        </w:rPr>
        <w:t>מכאן ניתן להעריך</w:t>
      </w:r>
      <w:r w:rsidRPr="00211D07">
        <w:rPr>
          <w:rFonts w:ascii="Tahoma" w:hAnsi="Tahoma" w:cs="Tahoma"/>
          <w:sz w:val="18"/>
          <w:szCs w:val="18"/>
          <w:rtl/>
        </w:rPr>
        <w:t xml:space="preserve"> </w:t>
      </w:r>
      <w:r w:rsidRPr="00211D07">
        <w:rPr>
          <w:rFonts w:ascii="Tahoma" w:hAnsi="Tahoma" w:cs="Tahoma" w:hint="cs"/>
          <w:sz w:val="18"/>
          <w:szCs w:val="18"/>
          <w:rtl/>
        </w:rPr>
        <w:t>ש</w:t>
      </w:r>
      <w:r w:rsidRPr="00211D07">
        <w:rPr>
          <w:rFonts w:ascii="Tahoma" w:hAnsi="Tahoma" w:cs="Tahoma"/>
          <w:sz w:val="18"/>
          <w:szCs w:val="18"/>
          <w:rtl/>
        </w:rPr>
        <w:t>מספר הסובלים מ</w:t>
      </w:r>
      <w:r w:rsidRPr="00211D07">
        <w:rPr>
          <w:rFonts w:ascii="Tahoma" w:hAnsi="Tahoma" w:cs="Tahoma" w:hint="cs"/>
          <w:sz w:val="18"/>
          <w:szCs w:val="18"/>
          <w:rtl/>
        </w:rPr>
        <w:t>התמכרות ל</w:t>
      </w:r>
      <w:r w:rsidRPr="00211D07">
        <w:rPr>
          <w:rFonts w:ascii="Tahoma" w:hAnsi="Tahoma" w:cs="Tahoma"/>
          <w:sz w:val="18"/>
          <w:szCs w:val="18"/>
          <w:rtl/>
        </w:rPr>
        <w:t xml:space="preserve">הימורים </w:t>
      </w:r>
      <w:r w:rsidRPr="00211D07">
        <w:rPr>
          <w:rFonts w:ascii="Tahoma" w:hAnsi="Tahoma" w:cs="Tahoma" w:hint="cs"/>
          <w:sz w:val="18"/>
          <w:szCs w:val="18"/>
          <w:rtl/>
        </w:rPr>
        <w:t xml:space="preserve">בלבד עולה על </w:t>
      </w:r>
      <w:r w:rsidRPr="00211D07">
        <w:rPr>
          <w:rFonts w:ascii="Tahoma" w:hAnsi="Tahoma" w:cs="Tahoma"/>
          <w:sz w:val="18"/>
          <w:szCs w:val="18"/>
          <w:rtl/>
        </w:rPr>
        <w:t>110,000 איש</w:t>
      </w:r>
      <w:r>
        <w:rPr>
          <w:rStyle w:val="FootnoteReference0"/>
          <w:rFonts w:ascii="Tahoma" w:hAnsi="Tahoma" w:cs="Tahoma"/>
          <w:sz w:val="18"/>
          <w:szCs w:val="18"/>
          <w:rtl/>
        </w:rPr>
        <w:footnoteReference w:id="34"/>
      </w:r>
      <w:r w:rsidRPr="00211D07">
        <w:rPr>
          <w:rFonts w:ascii="Tahoma" w:hAnsi="Tahoma" w:cs="Tahoma" w:hint="cs"/>
          <w:sz w:val="18"/>
          <w:szCs w:val="18"/>
          <w:rtl/>
        </w:rPr>
        <w:t xml:space="preserve">. יצוין כי </w:t>
      </w:r>
      <w:r w:rsidRPr="00211D07">
        <w:rPr>
          <w:rFonts w:ascii="Tahoma" w:hAnsi="Tahoma" w:cs="Tahoma" w:hint="eastAsia"/>
          <w:sz w:val="18"/>
          <w:szCs w:val="18"/>
          <w:rtl/>
        </w:rPr>
        <w:t>לפי</w:t>
      </w:r>
      <w:r w:rsidRPr="00211D07">
        <w:rPr>
          <w:rFonts w:ascii="Tahoma" w:hAnsi="Tahoma" w:cs="Tahoma"/>
          <w:sz w:val="18"/>
          <w:szCs w:val="18"/>
          <w:rtl/>
        </w:rPr>
        <w:t xml:space="preserve"> </w:t>
      </w:r>
      <w:r w:rsidRPr="00211D07">
        <w:rPr>
          <w:rFonts w:ascii="Tahoma" w:hAnsi="Tahoma" w:cs="Tahoma" w:hint="eastAsia"/>
          <w:sz w:val="18"/>
          <w:szCs w:val="18"/>
          <w:rtl/>
        </w:rPr>
        <w:t>נתוני</w:t>
      </w:r>
      <w:r w:rsidRPr="00211D07">
        <w:rPr>
          <w:rFonts w:ascii="Tahoma" w:hAnsi="Tahoma" w:cs="Tahoma"/>
          <w:sz w:val="18"/>
          <w:szCs w:val="18"/>
          <w:rtl/>
        </w:rPr>
        <w:t xml:space="preserve"> </w:t>
      </w:r>
      <w:r w:rsidRPr="00211D07">
        <w:rPr>
          <w:rFonts w:ascii="Tahoma" w:hAnsi="Tahoma" w:cs="Tahoma" w:hint="eastAsia"/>
          <w:sz w:val="18"/>
          <w:szCs w:val="18"/>
          <w:rtl/>
        </w:rPr>
        <w:t>השירות</w:t>
      </w:r>
      <w:r w:rsidRPr="00211D07">
        <w:rPr>
          <w:rFonts w:ascii="Tahoma" w:hAnsi="Tahoma" w:cs="Tahoma"/>
          <w:sz w:val="18"/>
          <w:szCs w:val="18"/>
          <w:rtl/>
        </w:rPr>
        <w:t xml:space="preserve"> </w:t>
      </w:r>
      <w:r w:rsidRPr="00211D07">
        <w:rPr>
          <w:rFonts w:ascii="Tahoma" w:hAnsi="Tahoma" w:cs="Tahoma" w:hint="eastAsia"/>
          <w:sz w:val="18"/>
          <w:szCs w:val="18"/>
          <w:rtl/>
        </w:rPr>
        <w:t>להתמכרויות</w:t>
      </w:r>
      <w:r w:rsidRPr="00211D07">
        <w:rPr>
          <w:rFonts w:ascii="Tahoma" w:hAnsi="Tahoma" w:cs="Tahoma"/>
          <w:sz w:val="18"/>
          <w:szCs w:val="18"/>
          <w:rtl/>
        </w:rPr>
        <w:t xml:space="preserve"> </w:t>
      </w:r>
      <w:r w:rsidRPr="00211D07">
        <w:rPr>
          <w:rFonts w:ascii="Tahoma" w:hAnsi="Tahoma" w:cs="Tahoma" w:hint="eastAsia"/>
          <w:sz w:val="18"/>
          <w:szCs w:val="18"/>
          <w:rtl/>
        </w:rPr>
        <w:t>בשנת</w:t>
      </w:r>
      <w:r w:rsidRPr="00211D07">
        <w:rPr>
          <w:rFonts w:ascii="Tahoma" w:hAnsi="Tahoma" w:cs="Tahoma"/>
          <w:sz w:val="18"/>
          <w:szCs w:val="18"/>
          <w:rtl/>
        </w:rPr>
        <w:t xml:space="preserve"> 2017</w:t>
      </w:r>
      <w:r w:rsidRPr="00211D07">
        <w:rPr>
          <w:rFonts w:ascii="Tahoma" w:hAnsi="Tahoma" w:cs="Tahoma" w:hint="cs"/>
          <w:sz w:val="18"/>
          <w:szCs w:val="18"/>
          <w:rtl/>
        </w:rPr>
        <w:t xml:space="preserve"> </w:t>
      </w:r>
      <w:r w:rsidRPr="00211D07">
        <w:rPr>
          <w:rFonts w:ascii="Tahoma" w:hAnsi="Tahoma" w:cs="Tahoma"/>
          <w:sz w:val="18"/>
          <w:szCs w:val="18"/>
          <w:rtl/>
        </w:rPr>
        <w:t xml:space="preserve">טופלו במסגרות </w:t>
      </w:r>
      <w:r w:rsidRPr="00211D07">
        <w:rPr>
          <w:rFonts w:ascii="Tahoma" w:hAnsi="Tahoma" w:cs="Tahoma" w:hint="cs"/>
          <w:sz w:val="18"/>
          <w:szCs w:val="18"/>
          <w:rtl/>
        </w:rPr>
        <w:t>השונות ש</w:t>
      </w:r>
      <w:r w:rsidRPr="00211D07">
        <w:rPr>
          <w:rFonts w:ascii="Tahoma" w:hAnsi="Tahoma" w:cs="Tahoma"/>
          <w:sz w:val="18"/>
          <w:szCs w:val="18"/>
          <w:rtl/>
        </w:rPr>
        <w:t>במימון השירות 1,075 איש שסבלו מ</w:t>
      </w:r>
      <w:r w:rsidRPr="00211D07">
        <w:rPr>
          <w:rFonts w:ascii="Tahoma" w:hAnsi="Tahoma" w:cs="Tahoma" w:hint="cs"/>
          <w:sz w:val="18"/>
          <w:szCs w:val="18"/>
          <w:rtl/>
        </w:rPr>
        <w:t>התמכרות ל</w:t>
      </w:r>
      <w:r w:rsidRPr="00211D07">
        <w:rPr>
          <w:rFonts w:ascii="Tahoma" w:hAnsi="Tahoma" w:cs="Tahoma"/>
          <w:sz w:val="18"/>
          <w:szCs w:val="18"/>
          <w:rtl/>
        </w:rPr>
        <w:t>הימורים</w:t>
      </w:r>
      <w:r w:rsidRPr="00211D07">
        <w:rPr>
          <w:rFonts w:ascii="Tahoma" w:hAnsi="Tahoma" w:cs="Tahoma" w:hint="cs"/>
          <w:sz w:val="18"/>
          <w:szCs w:val="18"/>
          <w:rtl/>
        </w:rPr>
        <w:t>.</w:t>
      </w:r>
    </w:p>
    <w:p w:rsidR="009B6D36" w:rsidRPr="00211D07" w:rsidP="005874E8">
      <w:pPr>
        <w:pStyle w:val="RESHET"/>
        <w:ind w:left="567"/>
        <w:rPr>
          <w:rtl/>
        </w:rPr>
      </w:pPr>
      <w:r w:rsidRPr="00211D07">
        <w:rPr>
          <w:rFonts w:hint="cs"/>
          <w:rtl/>
        </w:rPr>
        <w:t xml:space="preserve">הפער הגדול שבין ההערכות של משרד הרווחה ובין תוצאות המחקר מעלה חשש כי </w:t>
      </w:r>
      <w:r w:rsidRPr="00211D07">
        <w:rPr>
          <w:rtl/>
        </w:rPr>
        <w:t xml:space="preserve">הערכת המשרד </w:t>
      </w:r>
      <w:r w:rsidRPr="00211D07">
        <w:rPr>
          <w:rFonts w:hint="cs"/>
          <w:rtl/>
        </w:rPr>
        <w:t xml:space="preserve">בנוגע </w:t>
      </w:r>
      <w:r w:rsidRPr="00211D07">
        <w:rPr>
          <w:rtl/>
        </w:rPr>
        <w:t>למספרם הכולל של המכורים לסוגיהם ובפרט למספר הסובלים מ</w:t>
      </w:r>
      <w:r w:rsidRPr="00211D07">
        <w:rPr>
          <w:rFonts w:hint="cs"/>
          <w:rtl/>
        </w:rPr>
        <w:t>התמכרות ל</w:t>
      </w:r>
      <w:r w:rsidRPr="00211D07">
        <w:rPr>
          <w:rtl/>
        </w:rPr>
        <w:t>הימורים</w:t>
      </w:r>
      <w:r w:rsidRPr="00211D07">
        <w:rPr>
          <w:rFonts w:hint="cs"/>
          <w:rtl/>
        </w:rPr>
        <w:t xml:space="preserve">, היא הערכת חסר. הדבר מחייב את המשרד לבחון את הסיבות לפער זה </w:t>
      </w:r>
      <w:r w:rsidRPr="00211D07">
        <w:rPr>
          <w:rtl/>
        </w:rPr>
        <w:t>ולהעריך את מספר המכורים על פי נתונים מבוססים</w:t>
      </w:r>
      <w:r w:rsidRPr="00211D07">
        <w:rPr>
          <w:rFonts w:hint="cs"/>
          <w:rtl/>
        </w:rPr>
        <w:t xml:space="preserve">. </w:t>
      </w:r>
    </w:p>
    <w:p w:rsidR="009B6D36" w:rsidRPr="00211D07" w:rsidP="00E76FAB">
      <w:pPr>
        <w:pStyle w:val="ListParagraph"/>
        <w:numPr>
          <w:ilvl w:val="0"/>
          <w:numId w:val="10"/>
        </w:numPr>
        <w:autoSpaceDE/>
        <w:autoSpaceDN/>
        <w:adjustRightInd/>
        <w:spacing w:before="180" w:after="240" w:line="240" w:lineRule="exact"/>
        <w:ind w:left="340" w:right="2268" w:hanging="340"/>
        <w:rPr>
          <w:b/>
          <w:bCs/>
          <w:sz w:val="18"/>
          <w:szCs w:val="18"/>
          <w:rtl/>
        </w:rPr>
      </w:pPr>
      <w:r w:rsidRPr="00211D07">
        <w:rPr>
          <w:rFonts w:hint="cs"/>
          <w:sz w:val="18"/>
          <w:szCs w:val="18"/>
          <w:rtl/>
        </w:rPr>
        <w:t xml:space="preserve">בשנת 2004 החליט מנכ"ל משרד הרווחה דאז לכלול את אוכלוסיית הסובלים מהתמכרות להימורים באוכלוסיית היעד לטיפול של השירות להתמכרויות. לפיכך היה על משרד הרווחה לקבוע מדיניות לטיפול בסובלים מהתמכרות להימורים שתכלול, בין היתר: </w:t>
      </w:r>
      <w:r w:rsidRPr="00211D07">
        <w:rPr>
          <w:sz w:val="18"/>
          <w:szCs w:val="18"/>
          <w:rtl/>
        </w:rPr>
        <w:t>מתודולוגיות לאיתור</w:t>
      </w:r>
      <w:r w:rsidRPr="00211D07">
        <w:rPr>
          <w:rFonts w:hint="cs"/>
          <w:sz w:val="18"/>
          <w:szCs w:val="18"/>
          <w:rtl/>
        </w:rPr>
        <w:t>ם</w:t>
      </w:r>
      <w:r w:rsidRPr="00211D07">
        <w:rPr>
          <w:sz w:val="18"/>
          <w:szCs w:val="18"/>
          <w:rtl/>
        </w:rPr>
        <w:t xml:space="preserve"> של הסובלים מ</w:t>
      </w:r>
      <w:r w:rsidRPr="00211D07">
        <w:rPr>
          <w:rFonts w:hint="cs"/>
          <w:sz w:val="18"/>
          <w:szCs w:val="18"/>
          <w:rtl/>
        </w:rPr>
        <w:t>התמכרות ל</w:t>
      </w:r>
      <w:r w:rsidRPr="00211D07">
        <w:rPr>
          <w:sz w:val="18"/>
          <w:szCs w:val="18"/>
          <w:rtl/>
        </w:rPr>
        <w:t>הימורים</w:t>
      </w:r>
      <w:r w:rsidRPr="00211D07">
        <w:rPr>
          <w:rFonts w:hint="cs"/>
          <w:sz w:val="18"/>
          <w:szCs w:val="18"/>
          <w:rtl/>
        </w:rPr>
        <w:t xml:space="preserve"> </w:t>
      </w:r>
      <w:r w:rsidRPr="00211D07">
        <w:rPr>
          <w:sz w:val="18"/>
          <w:szCs w:val="18"/>
          <w:rtl/>
        </w:rPr>
        <w:t>ולגיוס</w:t>
      </w:r>
      <w:r w:rsidRPr="00211D07">
        <w:rPr>
          <w:rFonts w:hint="eastAsia"/>
          <w:sz w:val="18"/>
          <w:szCs w:val="18"/>
          <w:rtl/>
        </w:rPr>
        <w:t>ם</w:t>
      </w:r>
      <w:r w:rsidRPr="00211D07">
        <w:rPr>
          <w:sz w:val="18"/>
          <w:szCs w:val="18"/>
          <w:rtl/>
        </w:rPr>
        <w:t xml:space="preserve"> לטיפול</w:t>
      </w:r>
      <w:r w:rsidRPr="00211D07">
        <w:rPr>
          <w:rFonts w:hint="cs"/>
          <w:sz w:val="18"/>
          <w:szCs w:val="18"/>
          <w:rtl/>
        </w:rPr>
        <w:t>;</w:t>
      </w:r>
      <w:r w:rsidRPr="00211D07">
        <w:rPr>
          <w:sz w:val="18"/>
          <w:szCs w:val="18"/>
          <w:rtl/>
        </w:rPr>
        <w:t xml:space="preserve"> </w:t>
      </w:r>
      <w:r w:rsidRPr="00211D07">
        <w:rPr>
          <w:rFonts w:hint="cs"/>
          <w:sz w:val="18"/>
          <w:szCs w:val="18"/>
          <w:rtl/>
        </w:rPr>
        <w:t xml:space="preserve">קביעה של </w:t>
      </w:r>
      <w:r w:rsidRPr="00211D07">
        <w:rPr>
          <w:sz w:val="18"/>
          <w:szCs w:val="18"/>
          <w:rtl/>
        </w:rPr>
        <w:t xml:space="preserve">הכישורים הנדרשים ומאפייני המשרה של העובדים המקצועיים המיועדים לטפל </w:t>
      </w:r>
      <w:r w:rsidRPr="005874E8">
        <w:rPr>
          <w:spacing w:val="-4"/>
          <w:sz w:val="18"/>
          <w:szCs w:val="18"/>
          <w:rtl/>
        </w:rPr>
        <w:t xml:space="preserve">בסובלים </w:t>
      </w:r>
      <w:r w:rsidRPr="005874E8">
        <w:rPr>
          <w:rFonts w:hint="cs"/>
          <w:spacing w:val="-4"/>
          <w:sz w:val="18"/>
          <w:szCs w:val="18"/>
          <w:rtl/>
        </w:rPr>
        <w:t>מהתמכרות ל</w:t>
      </w:r>
      <w:r w:rsidRPr="005874E8">
        <w:rPr>
          <w:spacing w:val="-4"/>
          <w:sz w:val="18"/>
          <w:szCs w:val="18"/>
          <w:rtl/>
        </w:rPr>
        <w:t>הימורים</w:t>
      </w:r>
      <w:r>
        <w:rPr>
          <w:spacing w:val="-4"/>
          <w:sz w:val="18"/>
          <w:szCs w:val="18"/>
          <w:vertAlign w:val="superscript"/>
          <w:rtl/>
          <w:lang w:eastAsia="he-IL"/>
        </w:rPr>
        <w:footnoteReference w:id="35"/>
      </w:r>
      <w:r w:rsidRPr="005874E8">
        <w:rPr>
          <w:rFonts w:hint="cs"/>
          <w:spacing w:val="-4"/>
          <w:sz w:val="18"/>
          <w:szCs w:val="18"/>
          <w:rtl/>
        </w:rPr>
        <w:t xml:space="preserve"> וקביעת מתווה ל</w:t>
      </w:r>
      <w:r w:rsidRPr="005874E8">
        <w:rPr>
          <w:spacing w:val="-4"/>
          <w:sz w:val="18"/>
          <w:szCs w:val="18"/>
          <w:rtl/>
        </w:rPr>
        <w:t>הכשר</w:t>
      </w:r>
      <w:r w:rsidRPr="005874E8">
        <w:rPr>
          <w:rFonts w:hint="cs"/>
          <w:spacing w:val="-4"/>
          <w:sz w:val="18"/>
          <w:szCs w:val="18"/>
          <w:rtl/>
        </w:rPr>
        <w:t>תם;</w:t>
      </w:r>
      <w:r w:rsidRPr="005874E8">
        <w:rPr>
          <w:spacing w:val="-4"/>
          <w:sz w:val="18"/>
          <w:szCs w:val="18"/>
          <w:rtl/>
        </w:rPr>
        <w:t xml:space="preserve"> הנחיות לטיפול</w:t>
      </w:r>
      <w:r w:rsidRPr="00211D07">
        <w:rPr>
          <w:sz w:val="18"/>
          <w:szCs w:val="18"/>
          <w:rtl/>
        </w:rPr>
        <w:t xml:space="preserve"> בבני משפחה של מהמרים</w:t>
      </w:r>
      <w:r w:rsidRPr="00211D07">
        <w:rPr>
          <w:rFonts w:hint="cs"/>
          <w:sz w:val="18"/>
          <w:szCs w:val="18"/>
          <w:rtl/>
        </w:rPr>
        <w:t xml:space="preserve"> וכיו"ב.</w:t>
      </w:r>
    </w:p>
    <w:p w:rsidR="009B6D36" w:rsidRPr="005874E8" w:rsidP="00335CD4">
      <w:pPr>
        <w:pStyle w:val="RESHET"/>
        <w:ind w:left="567"/>
        <w:rPr>
          <w:sz w:val="18"/>
          <w:rtl/>
        </w:rPr>
      </w:pPr>
      <w:r w:rsidRPr="005874E8">
        <w:rPr>
          <w:sz w:val="18"/>
          <w:rtl/>
        </w:rPr>
        <w:t xml:space="preserve">למרות זאת נמצא כי עד מועד סיום הביקורת באוגוסט 2018, כמעט 15 שנה מאז </w:t>
      </w:r>
      <w:r w:rsidRPr="005874E8">
        <w:rPr>
          <w:rFonts w:hint="cs"/>
          <w:sz w:val="18"/>
          <w:rtl/>
        </w:rPr>
        <w:t xml:space="preserve">כלל </w:t>
      </w:r>
      <w:r w:rsidRPr="005874E8">
        <w:rPr>
          <w:sz w:val="18"/>
          <w:rtl/>
        </w:rPr>
        <w:t xml:space="preserve">מנכ"ל משרד הרווחה </w:t>
      </w:r>
      <w:r w:rsidRPr="005874E8">
        <w:rPr>
          <w:rFonts w:hint="cs"/>
          <w:sz w:val="18"/>
          <w:rtl/>
        </w:rPr>
        <w:t>א</w:t>
      </w:r>
      <w:r w:rsidRPr="005874E8">
        <w:rPr>
          <w:sz w:val="18"/>
          <w:rtl/>
        </w:rPr>
        <w:t>ת הסובלים מ</w:t>
      </w:r>
      <w:r w:rsidRPr="005874E8">
        <w:rPr>
          <w:rFonts w:hint="cs"/>
          <w:sz w:val="18"/>
          <w:rtl/>
        </w:rPr>
        <w:t>התמכרות ל</w:t>
      </w:r>
      <w:r w:rsidRPr="005874E8">
        <w:rPr>
          <w:sz w:val="18"/>
          <w:rtl/>
        </w:rPr>
        <w:t>הימורים באוכלוסיית היעד לטיפול של השירות להתמכרויות - טרם פיתח השירות מדיניות ייעודית לטיפול ב</w:t>
      </w:r>
      <w:r w:rsidRPr="005874E8">
        <w:rPr>
          <w:rFonts w:hint="cs"/>
          <w:sz w:val="18"/>
          <w:rtl/>
        </w:rPr>
        <w:t>מכורים ל</w:t>
      </w:r>
      <w:r w:rsidRPr="005874E8">
        <w:rPr>
          <w:sz w:val="18"/>
          <w:rtl/>
        </w:rPr>
        <w:t>הימורים</w:t>
      </w:r>
      <w:r w:rsidRPr="005874E8">
        <w:rPr>
          <w:rFonts w:hint="cs"/>
          <w:sz w:val="18"/>
          <w:rtl/>
        </w:rPr>
        <w:t>.</w:t>
      </w:r>
      <w:r w:rsidRPr="005874E8">
        <w:rPr>
          <w:sz w:val="18"/>
          <w:rtl/>
        </w:rPr>
        <w:t xml:space="preserve"> כתוצאה מכך </w:t>
      </w:r>
      <w:r w:rsidRPr="005874E8">
        <w:rPr>
          <w:rFonts w:hint="cs"/>
          <w:sz w:val="18"/>
          <w:rtl/>
        </w:rPr>
        <w:t>לא עשה המשרד דבר מכל הפעולות שהוזכרו לעיל.</w:t>
      </w:r>
      <w:r w:rsidRPr="00290C9B" w:rsidR="00290C9B">
        <w:rPr>
          <w:noProof/>
          <w:szCs w:val="17"/>
          <w:rtl/>
        </w:rPr>
        <w:t xml:space="preserve"> </w:t>
      </w:r>
      <w:r w:rsidRPr="0012789B" w:rsidR="00290C9B">
        <w:rPr>
          <w:noProof/>
          <w:szCs w:val="17"/>
          <w:rtl/>
          <w:lang w:eastAsia="en-US"/>
        </w:rPr>
        <mc:AlternateContent>
          <mc:Choice Requires="wps">
            <w:drawing>
              <wp:anchor distT="0" distB="0" distL="114300" distR="114300" simplePos="0" relativeHeight="251674624" behindDoc="1" locked="0" layoutInCell="1" allowOverlap="1">
                <wp:simplePos x="0" y="0"/>
                <wp:positionH relativeFrom="margin">
                  <wp:posOffset>-431800</wp:posOffset>
                </wp:positionH>
                <wp:positionV relativeFrom="margin">
                  <wp:align>top</wp:align>
                </wp:positionV>
                <wp:extent cx="1620000" cy="4140000"/>
                <wp:effectExtent l="0" t="0" r="0" b="0"/>
                <wp:wrapNone/>
                <wp:docPr id="37"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290C9B" w:rsidRPr="00373C5D" w:rsidP="00290C9B">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36812758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13346"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290C9B" w:rsidRPr="00881D99" w:rsidP="00290C9B">
                            <w:pPr>
                              <w:spacing w:after="0" w:line="240" w:lineRule="auto"/>
                              <w:rPr>
                                <w:color w:val="0B5294"/>
                                <w:spacing w:val="-4"/>
                                <w:sz w:val="24"/>
                                <w:szCs w:val="24"/>
                                <w:rtl/>
                                <w:cs/>
                              </w:rPr>
                            </w:pPr>
                            <w:r w:rsidRPr="00335CD4">
                              <w:rPr>
                                <w:rFonts w:cs="Tahoma" w:hint="eastAsia"/>
                                <w:color w:val="0B5294"/>
                                <w:spacing w:val="-4"/>
                                <w:sz w:val="24"/>
                                <w:szCs w:val="24"/>
                                <w:rtl/>
                              </w:rPr>
                              <w:t>כמעט</w:t>
                            </w:r>
                            <w:r w:rsidRPr="00335CD4">
                              <w:rPr>
                                <w:rFonts w:cs="Tahoma"/>
                                <w:color w:val="0B5294"/>
                                <w:spacing w:val="-4"/>
                                <w:sz w:val="24"/>
                                <w:szCs w:val="24"/>
                                <w:rtl/>
                              </w:rPr>
                              <w:t xml:space="preserve"> 15 </w:t>
                            </w:r>
                            <w:r w:rsidRPr="00335CD4">
                              <w:rPr>
                                <w:rFonts w:cs="Tahoma" w:hint="eastAsia"/>
                                <w:color w:val="0B5294"/>
                                <w:spacing w:val="-4"/>
                                <w:sz w:val="24"/>
                                <w:szCs w:val="24"/>
                                <w:rtl/>
                              </w:rPr>
                              <w:t>שנה</w:t>
                            </w:r>
                            <w:r w:rsidRPr="00335CD4">
                              <w:rPr>
                                <w:rFonts w:cs="Tahoma"/>
                                <w:color w:val="0B5294"/>
                                <w:spacing w:val="-4"/>
                                <w:sz w:val="24"/>
                                <w:szCs w:val="24"/>
                                <w:rtl/>
                              </w:rPr>
                              <w:t xml:space="preserve"> </w:t>
                            </w:r>
                            <w:r w:rsidRPr="00335CD4">
                              <w:rPr>
                                <w:rFonts w:cs="Tahoma" w:hint="eastAsia"/>
                                <w:color w:val="0B5294"/>
                                <w:spacing w:val="-4"/>
                                <w:sz w:val="24"/>
                                <w:szCs w:val="24"/>
                                <w:rtl/>
                              </w:rPr>
                              <w:t>לאחר</w:t>
                            </w:r>
                            <w:r w:rsidRPr="00335CD4">
                              <w:rPr>
                                <w:rFonts w:cs="Tahoma"/>
                                <w:color w:val="0B5294"/>
                                <w:spacing w:val="-4"/>
                                <w:sz w:val="24"/>
                                <w:szCs w:val="24"/>
                                <w:rtl/>
                              </w:rPr>
                              <w:t xml:space="preserve"> </w:t>
                            </w:r>
                            <w:r w:rsidRPr="00335CD4">
                              <w:rPr>
                                <w:rFonts w:cs="Tahoma" w:hint="eastAsia"/>
                                <w:color w:val="0B5294"/>
                                <w:spacing w:val="-4"/>
                                <w:sz w:val="24"/>
                                <w:szCs w:val="24"/>
                                <w:rtl/>
                              </w:rPr>
                              <w:t>שמשרד</w:t>
                            </w:r>
                            <w:r w:rsidRPr="00335CD4">
                              <w:rPr>
                                <w:rFonts w:cs="Tahoma"/>
                                <w:color w:val="0B5294"/>
                                <w:spacing w:val="-4"/>
                                <w:sz w:val="24"/>
                                <w:szCs w:val="24"/>
                                <w:rtl/>
                              </w:rPr>
                              <w:t xml:space="preserve"> </w:t>
                            </w:r>
                            <w:r w:rsidRPr="00335CD4">
                              <w:rPr>
                                <w:rFonts w:cs="Tahoma" w:hint="eastAsia"/>
                                <w:color w:val="0B5294"/>
                                <w:spacing w:val="-4"/>
                                <w:sz w:val="24"/>
                                <w:szCs w:val="24"/>
                                <w:rtl/>
                              </w:rPr>
                              <w:t>הרווחה</w:t>
                            </w:r>
                            <w:r w:rsidRPr="00335CD4">
                              <w:rPr>
                                <w:rFonts w:cs="Tahoma"/>
                                <w:color w:val="0B5294"/>
                                <w:spacing w:val="-4"/>
                                <w:sz w:val="24"/>
                                <w:szCs w:val="24"/>
                                <w:rtl/>
                              </w:rPr>
                              <w:t xml:space="preserve"> </w:t>
                            </w:r>
                            <w:r w:rsidRPr="00335CD4">
                              <w:rPr>
                                <w:rFonts w:cs="Tahoma" w:hint="eastAsia"/>
                                <w:color w:val="0B5294"/>
                                <w:spacing w:val="-4"/>
                                <w:sz w:val="24"/>
                                <w:szCs w:val="24"/>
                                <w:rtl/>
                              </w:rPr>
                              <w:t>כלל</w:t>
                            </w:r>
                            <w:r w:rsidRPr="00335CD4">
                              <w:rPr>
                                <w:rFonts w:cs="Tahoma"/>
                                <w:color w:val="0B5294"/>
                                <w:spacing w:val="-4"/>
                                <w:sz w:val="24"/>
                                <w:szCs w:val="24"/>
                                <w:rtl/>
                              </w:rPr>
                              <w:t xml:space="preserve"> </w:t>
                            </w:r>
                            <w:r w:rsidRPr="00335CD4">
                              <w:rPr>
                                <w:rFonts w:cs="Tahoma" w:hint="eastAsia"/>
                                <w:color w:val="0B5294"/>
                                <w:spacing w:val="-4"/>
                                <w:sz w:val="24"/>
                                <w:szCs w:val="24"/>
                                <w:rtl/>
                              </w:rPr>
                              <w:t>את</w:t>
                            </w:r>
                            <w:r w:rsidRPr="00335CD4">
                              <w:rPr>
                                <w:rFonts w:cs="Tahoma"/>
                                <w:color w:val="0B5294"/>
                                <w:spacing w:val="-4"/>
                                <w:sz w:val="24"/>
                                <w:szCs w:val="24"/>
                                <w:rtl/>
                              </w:rPr>
                              <w:t xml:space="preserve"> </w:t>
                            </w:r>
                            <w:r w:rsidRPr="00335CD4">
                              <w:rPr>
                                <w:rFonts w:cs="Tahoma" w:hint="eastAsia"/>
                                <w:color w:val="0B5294"/>
                                <w:spacing w:val="-4"/>
                                <w:sz w:val="24"/>
                                <w:szCs w:val="24"/>
                                <w:rtl/>
                              </w:rPr>
                              <w:t>הסובלים</w:t>
                            </w:r>
                            <w:r w:rsidRPr="00335CD4">
                              <w:rPr>
                                <w:rFonts w:cs="Tahoma"/>
                                <w:color w:val="0B5294"/>
                                <w:spacing w:val="-4"/>
                                <w:sz w:val="24"/>
                                <w:szCs w:val="24"/>
                                <w:rtl/>
                              </w:rPr>
                              <w:t xml:space="preserve"> </w:t>
                            </w:r>
                            <w:r w:rsidRPr="00335CD4">
                              <w:rPr>
                                <w:rFonts w:cs="Tahoma" w:hint="eastAsia"/>
                                <w:color w:val="0B5294"/>
                                <w:spacing w:val="-4"/>
                                <w:sz w:val="24"/>
                                <w:szCs w:val="24"/>
                                <w:rtl/>
                              </w:rPr>
                              <w:t>מהתמכרות</w:t>
                            </w:r>
                            <w:r w:rsidRPr="00335CD4">
                              <w:rPr>
                                <w:rFonts w:cs="Tahoma"/>
                                <w:color w:val="0B5294"/>
                                <w:spacing w:val="-4"/>
                                <w:sz w:val="24"/>
                                <w:szCs w:val="24"/>
                                <w:rtl/>
                              </w:rPr>
                              <w:t xml:space="preserve"> </w:t>
                            </w:r>
                            <w:r w:rsidRPr="00335CD4">
                              <w:rPr>
                                <w:rFonts w:cs="Tahoma" w:hint="eastAsia"/>
                                <w:color w:val="0B5294"/>
                                <w:spacing w:val="-4"/>
                                <w:sz w:val="24"/>
                                <w:szCs w:val="24"/>
                                <w:rtl/>
                              </w:rPr>
                              <w:t>להימורים</w:t>
                            </w:r>
                            <w:r w:rsidRPr="00335CD4">
                              <w:rPr>
                                <w:rFonts w:cs="Tahoma"/>
                                <w:color w:val="0B5294"/>
                                <w:spacing w:val="-4"/>
                                <w:sz w:val="24"/>
                                <w:szCs w:val="24"/>
                                <w:rtl/>
                              </w:rPr>
                              <w:t xml:space="preserve"> </w:t>
                            </w:r>
                            <w:r w:rsidRPr="00335CD4">
                              <w:rPr>
                                <w:rFonts w:cs="Tahoma" w:hint="eastAsia"/>
                                <w:color w:val="0B5294"/>
                                <w:spacing w:val="-4"/>
                                <w:sz w:val="24"/>
                                <w:szCs w:val="24"/>
                                <w:rtl/>
                              </w:rPr>
                              <w:t>באוכלוסיית</w:t>
                            </w:r>
                            <w:r w:rsidRPr="00335CD4">
                              <w:rPr>
                                <w:rFonts w:cs="Tahoma"/>
                                <w:color w:val="0B5294"/>
                                <w:spacing w:val="-4"/>
                                <w:sz w:val="24"/>
                                <w:szCs w:val="24"/>
                                <w:rtl/>
                              </w:rPr>
                              <w:t xml:space="preserve"> </w:t>
                            </w:r>
                            <w:r w:rsidRPr="00335CD4">
                              <w:rPr>
                                <w:rFonts w:cs="Tahoma" w:hint="eastAsia"/>
                                <w:color w:val="0B5294"/>
                                <w:spacing w:val="-4"/>
                                <w:sz w:val="24"/>
                                <w:szCs w:val="24"/>
                                <w:rtl/>
                              </w:rPr>
                              <w:t>היעד</w:t>
                            </w:r>
                            <w:r w:rsidRPr="00335CD4">
                              <w:rPr>
                                <w:rFonts w:cs="Tahoma"/>
                                <w:color w:val="0B5294"/>
                                <w:spacing w:val="-4"/>
                                <w:sz w:val="24"/>
                                <w:szCs w:val="24"/>
                                <w:rtl/>
                              </w:rPr>
                              <w:t xml:space="preserve"> </w:t>
                            </w:r>
                            <w:r w:rsidRPr="00335CD4">
                              <w:rPr>
                                <w:rFonts w:cs="Tahoma" w:hint="eastAsia"/>
                                <w:color w:val="0B5294"/>
                                <w:spacing w:val="-4"/>
                                <w:sz w:val="24"/>
                                <w:szCs w:val="24"/>
                                <w:rtl/>
                              </w:rPr>
                              <w:t>לטיפול</w:t>
                            </w:r>
                            <w:r w:rsidRPr="00335CD4">
                              <w:rPr>
                                <w:rFonts w:cs="Tahoma"/>
                                <w:color w:val="0B5294"/>
                                <w:spacing w:val="-4"/>
                                <w:sz w:val="24"/>
                                <w:szCs w:val="24"/>
                                <w:rtl/>
                              </w:rPr>
                              <w:t xml:space="preserve"> - </w:t>
                            </w:r>
                            <w:r w:rsidRPr="00335CD4">
                              <w:rPr>
                                <w:rFonts w:cs="Tahoma" w:hint="eastAsia"/>
                                <w:color w:val="0B5294"/>
                                <w:spacing w:val="-4"/>
                                <w:sz w:val="24"/>
                                <w:szCs w:val="24"/>
                                <w:rtl/>
                              </w:rPr>
                              <w:t>טרם</w:t>
                            </w:r>
                            <w:r w:rsidRPr="00335CD4">
                              <w:rPr>
                                <w:rFonts w:cs="Tahoma"/>
                                <w:color w:val="0B5294"/>
                                <w:spacing w:val="-4"/>
                                <w:sz w:val="24"/>
                                <w:szCs w:val="24"/>
                                <w:rtl/>
                              </w:rPr>
                              <w:t xml:space="preserve"> </w:t>
                            </w:r>
                            <w:r w:rsidRPr="00335CD4">
                              <w:rPr>
                                <w:rFonts w:cs="Tahoma" w:hint="eastAsia"/>
                                <w:color w:val="0B5294"/>
                                <w:spacing w:val="-4"/>
                                <w:sz w:val="24"/>
                                <w:szCs w:val="24"/>
                                <w:rtl/>
                              </w:rPr>
                              <w:t>פיתח</w:t>
                            </w:r>
                            <w:r w:rsidRPr="00335CD4">
                              <w:rPr>
                                <w:rFonts w:cs="Tahoma"/>
                                <w:color w:val="0B5294"/>
                                <w:spacing w:val="-4"/>
                                <w:sz w:val="24"/>
                                <w:szCs w:val="24"/>
                                <w:rtl/>
                              </w:rPr>
                              <w:t xml:space="preserve"> </w:t>
                            </w:r>
                            <w:r w:rsidRPr="00335CD4">
                              <w:rPr>
                                <w:rFonts w:cs="Tahoma" w:hint="eastAsia"/>
                                <w:color w:val="0B5294"/>
                                <w:spacing w:val="-4"/>
                                <w:sz w:val="24"/>
                                <w:szCs w:val="24"/>
                                <w:rtl/>
                              </w:rPr>
                              <w:t>השירות</w:t>
                            </w:r>
                            <w:r w:rsidRPr="00335CD4">
                              <w:rPr>
                                <w:rFonts w:cs="Tahoma"/>
                                <w:color w:val="0B5294"/>
                                <w:spacing w:val="-4"/>
                                <w:sz w:val="24"/>
                                <w:szCs w:val="24"/>
                                <w:rtl/>
                              </w:rPr>
                              <w:t xml:space="preserve"> </w:t>
                            </w:r>
                            <w:r w:rsidRPr="00335CD4">
                              <w:rPr>
                                <w:rFonts w:cs="Tahoma" w:hint="eastAsia"/>
                                <w:color w:val="0B5294"/>
                                <w:spacing w:val="-4"/>
                                <w:sz w:val="24"/>
                                <w:szCs w:val="24"/>
                                <w:rtl/>
                              </w:rPr>
                              <w:t>להתמכרויות</w:t>
                            </w:r>
                            <w:r w:rsidRPr="00335CD4">
                              <w:rPr>
                                <w:rFonts w:cs="Tahoma"/>
                                <w:color w:val="0B5294"/>
                                <w:spacing w:val="-4"/>
                                <w:sz w:val="24"/>
                                <w:szCs w:val="24"/>
                                <w:rtl/>
                              </w:rPr>
                              <w:t xml:space="preserve"> </w:t>
                            </w:r>
                            <w:r w:rsidRPr="00335CD4">
                              <w:rPr>
                                <w:rFonts w:cs="Tahoma" w:hint="eastAsia"/>
                                <w:color w:val="0B5294"/>
                                <w:spacing w:val="-4"/>
                                <w:sz w:val="24"/>
                                <w:szCs w:val="24"/>
                                <w:rtl/>
                              </w:rPr>
                              <w:t>מדיניות</w:t>
                            </w:r>
                            <w:r w:rsidRPr="00335CD4">
                              <w:rPr>
                                <w:rFonts w:cs="Tahoma"/>
                                <w:color w:val="0B5294"/>
                                <w:spacing w:val="-4"/>
                                <w:sz w:val="24"/>
                                <w:szCs w:val="24"/>
                                <w:rtl/>
                              </w:rPr>
                              <w:t xml:space="preserve"> </w:t>
                            </w:r>
                            <w:r w:rsidRPr="00335CD4">
                              <w:rPr>
                                <w:rFonts w:cs="Tahoma" w:hint="eastAsia"/>
                                <w:color w:val="0B5294"/>
                                <w:spacing w:val="-4"/>
                                <w:sz w:val="24"/>
                                <w:szCs w:val="24"/>
                                <w:rtl/>
                              </w:rPr>
                              <w:t>בנושא</w:t>
                            </w:r>
                          </w:p>
                          <w:p w:rsidR="00290C9B" w:rsidRPr="00373C5D" w:rsidP="00290C9B">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21445118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929662"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2"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0832" filled="f" stroked="f">
                <v:textbox>
                  <w:txbxContent>
                    <w:p w:rsidR="00290C9B" w:rsidRPr="00373C5D" w:rsidP="00290C9B">
                      <w:pPr>
                        <w:spacing w:line="240" w:lineRule="atLeast"/>
                        <w:rPr>
                          <w:rFonts w:cs="Tahoma"/>
                          <w:b/>
                          <w:bCs/>
                          <w:color w:val="0B5294"/>
                          <w:sz w:val="48"/>
                          <w:szCs w:val="48"/>
                          <w:rtl/>
                        </w:rPr>
                      </w:pPr>
                      <w:drawing>
                        <wp:inline distT="0" distB="0" distL="0" distR="0">
                          <wp:extent cx="311150" cy="256800"/>
                          <wp:effectExtent l="0" t="0" r="0" b="0"/>
                          <wp:docPr id="3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327797"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290C9B" w:rsidRPr="00881D99" w:rsidP="00290C9B">
                      <w:pPr>
                        <w:spacing w:after="0" w:line="240" w:lineRule="auto"/>
                        <w:rPr>
                          <w:color w:val="0B5294"/>
                          <w:spacing w:val="-4"/>
                          <w:sz w:val="24"/>
                          <w:szCs w:val="24"/>
                          <w:rtl/>
                          <w:cs/>
                        </w:rPr>
                      </w:pPr>
                      <w:r w:rsidRPr="00335CD4">
                        <w:rPr>
                          <w:rFonts w:cs="Tahoma" w:hint="eastAsia"/>
                          <w:color w:val="0B5294"/>
                          <w:spacing w:val="-4"/>
                          <w:sz w:val="24"/>
                          <w:szCs w:val="24"/>
                          <w:rtl/>
                        </w:rPr>
                        <w:t>כמעט</w:t>
                      </w:r>
                      <w:r w:rsidRPr="00335CD4">
                        <w:rPr>
                          <w:rFonts w:cs="Tahoma"/>
                          <w:color w:val="0B5294"/>
                          <w:spacing w:val="-4"/>
                          <w:sz w:val="24"/>
                          <w:szCs w:val="24"/>
                          <w:rtl/>
                        </w:rPr>
                        <w:t xml:space="preserve"> 15 </w:t>
                      </w:r>
                      <w:r w:rsidRPr="00335CD4">
                        <w:rPr>
                          <w:rFonts w:cs="Tahoma" w:hint="eastAsia"/>
                          <w:color w:val="0B5294"/>
                          <w:spacing w:val="-4"/>
                          <w:sz w:val="24"/>
                          <w:szCs w:val="24"/>
                          <w:rtl/>
                        </w:rPr>
                        <w:t>שנה</w:t>
                      </w:r>
                      <w:r w:rsidRPr="00335CD4">
                        <w:rPr>
                          <w:rFonts w:cs="Tahoma"/>
                          <w:color w:val="0B5294"/>
                          <w:spacing w:val="-4"/>
                          <w:sz w:val="24"/>
                          <w:szCs w:val="24"/>
                          <w:rtl/>
                        </w:rPr>
                        <w:t xml:space="preserve"> </w:t>
                      </w:r>
                      <w:r w:rsidRPr="00335CD4">
                        <w:rPr>
                          <w:rFonts w:cs="Tahoma" w:hint="eastAsia"/>
                          <w:color w:val="0B5294"/>
                          <w:spacing w:val="-4"/>
                          <w:sz w:val="24"/>
                          <w:szCs w:val="24"/>
                          <w:rtl/>
                        </w:rPr>
                        <w:t>לאחר</w:t>
                      </w:r>
                      <w:r w:rsidRPr="00335CD4">
                        <w:rPr>
                          <w:rFonts w:cs="Tahoma"/>
                          <w:color w:val="0B5294"/>
                          <w:spacing w:val="-4"/>
                          <w:sz w:val="24"/>
                          <w:szCs w:val="24"/>
                          <w:rtl/>
                        </w:rPr>
                        <w:t xml:space="preserve"> </w:t>
                      </w:r>
                      <w:r w:rsidRPr="00335CD4">
                        <w:rPr>
                          <w:rFonts w:cs="Tahoma" w:hint="eastAsia"/>
                          <w:color w:val="0B5294"/>
                          <w:spacing w:val="-4"/>
                          <w:sz w:val="24"/>
                          <w:szCs w:val="24"/>
                          <w:rtl/>
                        </w:rPr>
                        <w:t>שמשרד</w:t>
                      </w:r>
                      <w:r w:rsidRPr="00335CD4">
                        <w:rPr>
                          <w:rFonts w:cs="Tahoma"/>
                          <w:color w:val="0B5294"/>
                          <w:spacing w:val="-4"/>
                          <w:sz w:val="24"/>
                          <w:szCs w:val="24"/>
                          <w:rtl/>
                        </w:rPr>
                        <w:t xml:space="preserve"> </w:t>
                      </w:r>
                      <w:r w:rsidRPr="00335CD4">
                        <w:rPr>
                          <w:rFonts w:cs="Tahoma" w:hint="eastAsia"/>
                          <w:color w:val="0B5294"/>
                          <w:spacing w:val="-4"/>
                          <w:sz w:val="24"/>
                          <w:szCs w:val="24"/>
                          <w:rtl/>
                        </w:rPr>
                        <w:t>הרווחה</w:t>
                      </w:r>
                      <w:r w:rsidRPr="00335CD4">
                        <w:rPr>
                          <w:rFonts w:cs="Tahoma"/>
                          <w:color w:val="0B5294"/>
                          <w:spacing w:val="-4"/>
                          <w:sz w:val="24"/>
                          <w:szCs w:val="24"/>
                          <w:rtl/>
                        </w:rPr>
                        <w:t xml:space="preserve"> </w:t>
                      </w:r>
                      <w:r w:rsidRPr="00335CD4">
                        <w:rPr>
                          <w:rFonts w:cs="Tahoma" w:hint="eastAsia"/>
                          <w:color w:val="0B5294"/>
                          <w:spacing w:val="-4"/>
                          <w:sz w:val="24"/>
                          <w:szCs w:val="24"/>
                          <w:rtl/>
                        </w:rPr>
                        <w:t>כלל</w:t>
                      </w:r>
                      <w:r w:rsidRPr="00335CD4">
                        <w:rPr>
                          <w:rFonts w:cs="Tahoma"/>
                          <w:color w:val="0B5294"/>
                          <w:spacing w:val="-4"/>
                          <w:sz w:val="24"/>
                          <w:szCs w:val="24"/>
                          <w:rtl/>
                        </w:rPr>
                        <w:t xml:space="preserve"> </w:t>
                      </w:r>
                      <w:r w:rsidRPr="00335CD4">
                        <w:rPr>
                          <w:rFonts w:cs="Tahoma" w:hint="eastAsia"/>
                          <w:color w:val="0B5294"/>
                          <w:spacing w:val="-4"/>
                          <w:sz w:val="24"/>
                          <w:szCs w:val="24"/>
                          <w:rtl/>
                        </w:rPr>
                        <w:t>את</w:t>
                      </w:r>
                      <w:r w:rsidRPr="00335CD4">
                        <w:rPr>
                          <w:rFonts w:cs="Tahoma"/>
                          <w:color w:val="0B5294"/>
                          <w:spacing w:val="-4"/>
                          <w:sz w:val="24"/>
                          <w:szCs w:val="24"/>
                          <w:rtl/>
                        </w:rPr>
                        <w:t xml:space="preserve"> </w:t>
                      </w:r>
                      <w:r w:rsidRPr="00335CD4">
                        <w:rPr>
                          <w:rFonts w:cs="Tahoma" w:hint="eastAsia"/>
                          <w:color w:val="0B5294"/>
                          <w:spacing w:val="-4"/>
                          <w:sz w:val="24"/>
                          <w:szCs w:val="24"/>
                          <w:rtl/>
                        </w:rPr>
                        <w:t>הסובלים</w:t>
                      </w:r>
                      <w:r w:rsidRPr="00335CD4">
                        <w:rPr>
                          <w:rFonts w:cs="Tahoma"/>
                          <w:color w:val="0B5294"/>
                          <w:spacing w:val="-4"/>
                          <w:sz w:val="24"/>
                          <w:szCs w:val="24"/>
                          <w:rtl/>
                        </w:rPr>
                        <w:t xml:space="preserve"> </w:t>
                      </w:r>
                      <w:r w:rsidRPr="00335CD4">
                        <w:rPr>
                          <w:rFonts w:cs="Tahoma" w:hint="eastAsia"/>
                          <w:color w:val="0B5294"/>
                          <w:spacing w:val="-4"/>
                          <w:sz w:val="24"/>
                          <w:szCs w:val="24"/>
                          <w:rtl/>
                        </w:rPr>
                        <w:t>מהתמכרות</w:t>
                      </w:r>
                      <w:r w:rsidRPr="00335CD4">
                        <w:rPr>
                          <w:rFonts w:cs="Tahoma"/>
                          <w:color w:val="0B5294"/>
                          <w:spacing w:val="-4"/>
                          <w:sz w:val="24"/>
                          <w:szCs w:val="24"/>
                          <w:rtl/>
                        </w:rPr>
                        <w:t xml:space="preserve"> </w:t>
                      </w:r>
                      <w:r w:rsidRPr="00335CD4">
                        <w:rPr>
                          <w:rFonts w:cs="Tahoma" w:hint="eastAsia"/>
                          <w:color w:val="0B5294"/>
                          <w:spacing w:val="-4"/>
                          <w:sz w:val="24"/>
                          <w:szCs w:val="24"/>
                          <w:rtl/>
                        </w:rPr>
                        <w:t>להימורים</w:t>
                      </w:r>
                      <w:r w:rsidRPr="00335CD4">
                        <w:rPr>
                          <w:rFonts w:cs="Tahoma"/>
                          <w:color w:val="0B5294"/>
                          <w:spacing w:val="-4"/>
                          <w:sz w:val="24"/>
                          <w:szCs w:val="24"/>
                          <w:rtl/>
                        </w:rPr>
                        <w:t xml:space="preserve"> </w:t>
                      </w:r>
                      <w:r w:rsidRPr="00335CD4">
                        <w:rPr>
                          <w:rFonts w:cs="Tahoma" w:hint="eastAsia"/>
                          <w:color w:val="0B5294"/>
                          <w:spacing w:val="-4"/>
                          <w:sz w:val="24"/>
                          <w:szCs w:val="24"/>
                          <w:rtl/>
                        </w:rPr>
                        <w:t>באוכלוסיית</w:t>
                      </w:r>
                      <w:r w:rsidRPr="00335CD4">
                        <w:rPr>
                          <w:rFonts w:cs="Tahoma"/>
                          <w:color w:val="0B5294"/>
                          <w:spacing w:val="-4"/>
                          <w:sz w:val="24"/>
                          <w:szCs w:val="24"/>
                          <w:rtl/>
                        </w:rPr>
                        <w:t xml:space="preserve"> </w:t>
                      </w:r>
                      <w:r w:rsidRPr="00335CD4">
                        <w:rPr>
                          <w:rFonts w:cs="Tahoma" w:hint="eastAsia"/>
                          <w:color w:val="0B5294"/>
                          <w:spacing w:val="-4"/>
                          <w:sz w:val="24"/>
                          <w:szCs w:val="24"/>
                          <w:rtl/>
                        </w:rPr>
                        <w:t>היעד</w:t>
                      </w:r>
                      <w:r w:rsidRPr="00335CD4">
                        <w:rPr>
                          <w:rFonts w:cs="Tahoma"/>
                          <w:color w:val="0B5294"/>
                          <w:spacing w:val="-4"/>
                          <w:sz w:val="24"/>
                          <w:szCs w:val="24"/>
                          <w:rtl/>
                        </w:rPr>
                        <w:t xml:space="preserve"> </w:t>
                      </w:r>
                      <w:r w:rsidRPr="00335CD4">
                        <w:rPr>
                          <w:rFonts w:cs="Tahoma" w:hint="eastAsia"/>
                          <w:color w:val="0B5294"/>
                          <w:spacing w:val="-4"/>
                          <w:sz w:val="24"/>
                          <w:szCs w:val="24"/>
                          <w:rtl/>
                        </w:rPr>
                        <w:t>לטיפול</w:t>
                      </w:r>
                      <w:r w:rsidRPr="00335CD4">
                        <w:rPr>
                          <w:rFonts w:cs="Tahoma"/>
                          <w:color w:val="0B5294"/>
                          <w:spacing w:val="-4"/>
                          <w:sz w:val="24"/>
                          <w:szCs w:val="24"/>
                          <w:rtl/>
                        </w:rPr>
                        <w:t xml:space="preserve"> - </w:t>
                      </w:r>
                      <w:r w:rsidRPr="00335CD4">
                        <w:rPr>
                          <w:rFonts w:cs="Tahoma" w:hint="eastAsia"/>
                          <w:color w:val="0B5294"/>
                          <w:spacing w:val="-4"/>
                          <w:sz w:val="24"/>
                          <w:szCs w:val="24"/>
                          <w:rtl/>
                        </w:rPr>
                        <w:t>טרם</w:t>
                      </w:r>
                      <w:r w:rsidRPr="00335CD4">
                        <w:rPr>
                          <w:rFonts w:cs="Tahoma"/>
                          <w:color w:val="0B5294"/>
                          <w:spacing w:val="-4"/>
                          <w:sz w:val="24"/>
                          <w:szCs w:val="24"/>
                          <w:rtl/>
                        </w:rPr>
                        <w:t xml:space="preserve"> </w:t>
                      </w:r>
                      <w:r w:rsidRPr="00335CD4">
                        <w:rPr>
                          <w:rFonts w:cs="Tahoma" w:hint="eastAsia"/>
                          <w:color w:val="0B5294"/>
                          <w:spacing w:val="-4"/>
                          <w:sz w:val="24"/>
                          <w:szCs w:val="24"/>
                          <w:rtl/>
                        </w:rPr>
                        <w:t>פיתח</w:t>
                      </w:r>
                      <w:r w:rsidRPr="00335CD4">
                        <w:rPr>
                          <w:rFonts w:cs="Tahoma"/>
                          <w:color w:val="0B5294"/>
                          <w:spacing w:val="-4"/>
                          <w:sz w:val="24"/>
                          <w:szCs w:val="24"/>
                          <w:rtl/>
                        </w:rPr>
                        <w:t xml:space="preserve"> </w:t>
                      </w:r>
                      <w:r w:rsidRPr="00335CD4">
                        <w:rPr>
                          <w:rFonts w:cs="Tahoma" w:hint="eastAsia"/>
                          <w:color w:val="0B5294"/>
                          <w:spacing w:val="-4"/>
                          <w:sz w:val="24"/>
                          <w:szCs w:val="24"/>
                          <w:rtl/>
                        </w:rPr>
                        <w:t>השירות</w:t>
                      </w:r>
                      <w:r w:rsidRPr="00335CD4">
                        <w:rPr>
                          <w:rFonts w:cs="Tahoma"/>
                          <w:color w:val="0B5294"/>
                          <w:spacing w:val="-4"/>
                          <w:sz w:val="24"/>
                          <w:szCs w:val="24"/>
                          <w:rtl/>
                        </w:rPr>
                        <w:t xml:space="preserve"> </w:t>
                      </w:r>
                      <w:r w:rsidRPr="00335CD4">
                        <w:rPr>
                          <w:rFonts w:cs="Tahoma" w:hint="eastAsia"/>
                          <w:color w:val="0B5294"/>
                          <w:spacing w:val="-4"/>
                          <w:sz w:val="24"/>
                          <w:szCs w:val="24"/>
                          <w:rtl/>
                        </w:rPr>
                        <w:t>להתמכרויות</w:t>
                      </w:r>
                      <w:r w:rsidRPr="00335CD4">
                        <w:rPr>
                          <w:rFonts w:cs="Tahoma"/>
                          <w:color w:val="0B5294"/>
                          <w:spacing w:val="-4"/>
                          <w:sz w:val="24"/>
                          <w:szCs w:val="24"/>
                          <w:rtl/>
                        </w:rPr>
                        <w:t xml:space="preserve"> </w:t>
                      </w:r>
                      <w:r w:rsidRPr="00335CD4">
                        <w:rPr>
                          <w:rFonts w:cs="Tahoma" w:hint="eastAsia"/>
                          <w:color w:val="0B5294"/>
                          <w:spacing w:val="-4"/>
                          <w:sz w:val="24"/>
                          <w:szCs w:val="24"/>
                          <w:rtl/>
                        </w:rPr>
                        <w:t>מדיניות</w:t>
                      </w:r>
                      <w:r w:rsidRPr="00335CD4">
                        <w:rPr>
                          <w:rFonts w:cs="Tahoma"/>
                          <w:color w:val="0B5294"/>
                          <w:spacing w:val="-4"/>
                          <w:sz w:val="24"/>
                          <w:szCs w:val="24"/>
                          <w:rtl/>
                        </w:rPr>
                        <w:t xml:space="preserve"> </w:t>
                      </w:r>
                      <w:r w:rsidRPr="00335CD4">
                        <w:rPr>
                          <w:rFonts w:cs="Tahoma" w:hint="eastAsia"/>
                          <w:color w:val="0B5294"/>
                          <w:spacing w:val="-4"/>
                          <w:sz w:val="24"/>
                          <w:szCs w:val="24"/>
                          <w:rtl/>
                        </w:rPr>
                        <w:t>בנושא</w:t>
                      </w:r>
                    </w:p>
                    <w:p w:rsidR="00290C9B" w:rsidRPr="00373C5D" w:rsidP="00290C9B">
                      <w:pPr>
                        <w:spacing w:before="120" w:after="0" w:line="240" w:lineRule="atLeast"/>
                        <w:rPr>
                          <w:rFonts w:cs="Tahoma"/>
                          <w:b/>
                          <w:bCs/>
                          <w:color w:val="0B5294"/>
                          <w:sz w:val="48"/>
                          <w:szCs w:val="48"/>
                          <w:rtl/>
                        </w:rPr>
                      </w:pPr>
                      <w:drawing>
                        <wp:inline distT="0" distB="0" distL="0" distR="0">
                          <wp:extent cx="288000" cy="31337"/>
                          <wp:effectExtent l="0" t="0" r="0" b="6985"/>
                          <wp:docPr id="3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875339"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9B6D36" w:rsidRPr="00211D07" w:rsidP="00E76FAB">
      <w:pPr>
        <w:pStyle w:val="ListParagraph"/>
        <w:numPr>
          <w:ilvl w:val="0"/>
          <w:numId w:val="10"/>
        </w:numPr>
        <w:autoSpaceDE/>
        <w:autoSpaceDN/>
        <w:adjustRightInd/>
        <w:spacing w:line="240" w:lineRule="exact"/>
        <w:ind w:left="340" w:right="2268" w:hanging="340"/>
        <w:rPr>
          <w:sz w:val="18"/>
          <w:szCs w:val="18"/>
          <w:rtl/>
        </w:rPr>
      </w:pPr>
      <w:r w:rsidRPr="005874E8">
        <w:rPr>
          <w:rStyle w:val="Heading7Char"/>
          <w:rFonts w:ascii="Tahoma" w:hAnsi="Tahoma" w:cs="Tahoma" w:hint="cs"/>
          <w:sz w:val="17"/>
          <w:szCs w:val="17"/>
          <w:rtl/>
        </w:rPr>
        <w:t>היעדר דיון בהמלצות</w:t>
      </w:r>
      <w:r w:rsidRPr="005874E8">
        <w:rPr>
          <w:rStyle w:val="Heading7Char"/>
          <w:rFonts w:ascii="Tahoma" w:hAnsi="Tahoma" w:cs="Tahoma"/>
          <w:sz w:val="17"/>
          <w:szCs w:val="17"/>
          <w:rtl/>
        </w:rPr>
        <w:t xml:space="preserve"> של ועדה בין-משרדית לטיפול במכורים להימורים</w:t>
      </w:r>
      <w:r w:rsidRPr="005874E8">
        <w:rPr>
          <w:rStyle w:val="Heading7Char"/>
          <w:rFonts w:ascii="Tahoma" w:hAnsi="Tahoma" w:cs="Tahoma" w:hint="cs"/>
          <w:sz w:val="17"/>
          <w:szCs w:val="17"/>
          <w:rtl/>
        </w:rPr>
        <w:t>:</w:t>
      </w:r>
      <w:r w:rsidRPr="00211D07">
        <w:rPr>
          <w:sz w:val="18"/>
          <w:szCs w:val="18"/>
          <w:rtl/>
        </w:rPr>
        <w:t xml:space="preserve"> </w:t>
      </w:r>
      <w:r w:rsidRPr="00211D07">
        <w:rPr>
          <w:rFonts w:hint="cs"/>
          <w:sz w:val="18"/>
          <w:szCs w:val="18"/>
          <w:rtl/>
        </w:rPr>
        <w:t>ביוני 2017 הקים מנכ"ל משרד האוצר</w:t>
      </w:r>
      <w:r>
        <w:rPr>
          <w:rStyle w:val="FootnoteReference0"/>
          <w:sz w:val="18"/>
          <w:szCs w:val="18"/>
          <w:rtl/>
        </w:rPr>
        <w:footnoteReference w:id="36"/>
      </w:r>
      <w:r w:rsidRPr="00211D07">
        <w:rPr>
          <w:sz w:val="18"/>
          <w:szCs w:val="18"/>
          <w:rtl/>
        </w:rPr>
        <w:t xml:space="preserve"> ועדה </w:t>
      </w:r>
      <w:r w:rsidRPr="00211D07">
        <w:rPr>
          <w:rFonts w:hint="cs"/>
          <w:sz w:val="18"/>
          <w:szCs w:val="18"/>
          <w:rtl/>
        </w:rPr>
        <w:t xml:space="preserve">בהשתתפות </w:t>
      </w:r>
      <w:r w:rsidRPr="00211D07">
        <w:rPr>
          <w:sz w:val="18"/>
          <w:szCs w:val="18"/>
          <w:rtl/>
        </w:rPr>
        <w:t>נציגי</w:t>
      </w:r>
      <w:r w:rsidRPr="00211D07">
        <w:rPr>
          <w:rFonts w:hint="cs"/>
          <w:sz w:val="18"/>
          <w:szCs w:val="18"/>
          <w:rtl/>
        </w:rPr>
        <w:t>ם</w:t>
      </w:r>
      <w:r w:rsidRPr="00211D07">
        <w:rPr>
          <w:sz w:val="18"/>
          <w:szCs w:val="18"/>
          <w:rtl/>
        </w:rPr>
        <w:t xml:space="preserve"> </w:t>
      </w:r>
      <w:r w:rsidRPr="00211D07">
        <w:rPr>
          <w:rFonts w:hint="cs"/>
          <w:sz w:val="18"/>
          <w:szCs w:val="18"/>
          <w:rtl/>
        </w:rPr>
        <w:t>מ</w:t>
      </w:r>
      <w:r w:rsidRPr="00211D07">
        <w:rPr>
          <w:sz w:val="18"/>
          <w:szCs w:val="18"/>
          <w:rtl/>
        </w:rPr>
        <w:t>משרדי האוצר, הרווחה, הבריאות והמשפטים</w:t>
      </w:r>
      <w:r w:rsidRPr="00211D07">
        <w:rPr>
          <w:rFonts w:hint="cs"/>
          <w:sz w:val="18"/>
          <w:szCs w:val="18"/>
          <w:rtl/>
        </w:rPr>
        <w:t>, וביקש ממנה</w:t>
      </w:r>
      <w:r w:rsidRPr="00211D07">
        <w:rPr>
          <w:sz w:val="18"/>
          <w:szCs w:val="18"/>
          <w:rtl/>
        </w:rPr>
        <w:t xml:space="preserve"> לבחון את תופעת ההתמכרות להימורים בישראל ואת מערכי הטיפול והסיוע הניתנים למכורים </w:t>
      </w:r>
      <w:r w:rsidRPr="00211D07">
        <w:rPr>
          <w:rFonts w:hint="cs"/>
          <w:sz w:val="18"/>
          <w:szCs w:val="18"/>
          <w:rtl/>
        </w:rPr>
        <w:t>א</w:t>
      </w:r>
      <w:r w:rsidRPr="00211D07">
        <w:rPr>
          <w:sz w:val="18"/>
          <w:szCs w:val="18"/>
          <w:rtl/>
        </w:rPr>
        <w:t>ל</w:t>
      </w:r>
      <w:r w:rsidRPr="00211D07">
        <w:rPr>
          <w:rFonts w:hint="cs"/>
          <w:sz w:val="18"/>
          <w:szCs w:val="18"/>
          <w:rtl/>
        </w:rPr>
        <w:t>ו</w:t>
      </w:r>
      <w:r w:rsidRPr="00211D07">
        <w:rPr>
          <w:sz w:val="18"/>
          <w:szCs w:val="18"/>
          <w:rtl/>
        </w:rPr>
        <w:t xml:space="preserve"> ולהמליץ על שיפורם</w:t>
      </w:r>
      <w:r>
        <w:rPr>
          <w:sz w:val="18"/>
          <w:szCs w:val="18"/>
          <w:vertAlign w:val="superscript"/>
          <w:rtl/>
        </w:rPr>
        <w:footnoteReference w:id="37"/>
      </w:r>
      <w:r w:rsidRPr="00211D07">
        <w:rPr>
          <w:rFonts w:hint="cs"/>
          <w:sz w:val="18"/>
          <w:szCs w:val="18"/>
          <w:rtl/>
        </w:rPr>
        <w:t>. סמוך להקמתה הודיע משרד האוצר כי</w:t>
      </w:r>
      <w:r w:rsidRPr="00211D07">
        <w:rPr>
          <w:sz w:val="18"/>
          <w:szCs w:val="18"/>
          <w:rtl/>
        </w:rPr>
        <w:t xml:space="preserve"> הוועדה</w:t>
      </w:r>
      <w:r w:rsidRPr="00211D07">
        <w:rPr>
          <w:rFonts w:hint="cs"/>
          <w:sz w:val="18"/>
          <w:szCs w:val="18"/>
          <w:rtl/>
        </w:rPr>
        <w:t xml:space="preserve"> </w:t>
      </w:r>
      <w:r w:rsidRPr="00211D07">
        <w:rPr>
          <w:sz w:val="18"/>
          <w:szCs w:val="18"/>
          <w:rtl/>
        </w:rPr>
        <w:t>תגיש את המלצותיה לארבעת מנכ"לי המשרדים ה</w:t>
      </w:r>
      <w:r w:rsidRPr="00211D07">
        <w:rPr>
          <w:rFonts w:hint="cs"/>
          <w:sz w:val="18"/>
          <w:szCs w:val="18"/>
          <w:rtl/>
        </w:rPr>
        <w:t>משתתפים</w:t>
      </w:r>
      <w:r w:rsidRPr="00211D07">
        <w:rPr>
          <w:sz w:val="18"/>
          <w:szCs w:val="18"/>
          <w:rtl/>
        </w:rPr>
        <w:t xml:space="preserve"> בה במהלך חודש ספטמבר</w:t>
      </w:r>
      <w:r w:rsidRPr="00211D07">
        <w:rPr>
          <w:rFonts w:hint="cs"/>
          <w:sz w:val="18"/>
          <w:szCs w:val="18"/>
          <w:rtl/>
        </w:rPr>
        <w:t xml:space="preserve"> 2017</w:t>
      </w:r>
      <w:r w:rsidRPr="00211D07">
        <w:rPr>
          <w:sz w:val="18"/>
          <w:szCs w:val="18"/>
          <w:rtl/>
        </w:rPr>
        <w:t>.</w:t>
      </w:r>
    </w:p>
    <w:p w:rsidR="009B6D36" w:rsidRPr="00211D07" w:rsidP="005874E8">
      <w:pPr>
        <w:spacing w:after="240" w:line="240" w:lineRule="exact"/>
        <w:ind w:left="340" w:right="2268"/>
        <w:jc w:val="both"/>
        <w:rPr>
          <w:rFonts w:ascii="Tahoma" w:hAnsi="Tahoma" w:cs="Tahoma"/>
          <w:sz w:val="18"/>
          <w:szCs w:val="18"/>
          <w:rtl/>
        </w:rPr>
      </w:pPr>
      <w:r w:rsidRPr="00211D07">
        <w:rPr>
          <w:rFonts w:ascii="Tahoma" w:hAnsi="Tahoma" w:cs="Tahoma" w:hint="cs"/>
          <w:sz w:val="18"/>
          <w:szCs w:val="18"/>
          <w:rtl/>
        </w:rPr>
        <w:t>בינואר 2018 סיימה הוועדה את עבודתה וגיבשה את המלצותיה. ההמלצות כוללות בין היתר: עריכת קמפיין להעלאת המודעות לתופעת ההתמכרות להימורים ולטיפול בה;</w:t>
      </w:r>
      <w:bookmarkStart w:id="5" w:name="_Toc502773206"/>
      <w:r w:rsidRPr="00211D07">
        <w:rPr>
          <w:rFonts w:ascii="Tahoma" w:hAnsi="Tahoma" w:cs="Tahoma" w:hint="cs"/>
          <w:sz w:val="18"/>
          <w:szCs w:val="18"/>
          <w:rtl/>
        </w:rPr>
        <w:t xml:space="preserve"> </w:t>
      </w:r>
      <w:r w:rsidRPr="00211D07">
        <w:rPr>
          <w:rFonts w:ascii="Tahoma" w:hAnsi="Tahoma" w:cs="Tahoma"/>
          <w:sz w:val="18"/>
          <w:szCs w:val="18"/>
          <w:rtl/>
        </w:rPr>
        <w:t>אפיון ואיתור המכורים להימורים על פי התקנים העולמיים החדשים</w:t>
      </w:r>
      <w:bookmarkEnd w:id="5"/>
      <w:r w:rsidRPr="00211D07">
        <w:rPr>
          <w:rFonts w:ascii="Tahoma" w:hAnsi="Tahoma" w:cs="Tahoma" w:hint="cs"/>
          <w:sz w:val="18"/>
          <w:szCs w:val="18"/>
          <w:rtl/>
        </w:rPr>
        <w:t xml:space="preserve">; </w:t>
      </w:r>
      <w:r w:rsidRPr="00211D07">
        <w:rPr>
          <w:rFonts w:ascii="Tahoma" w:hAnsi="Tahoma" w:cs="Tahoma" w:hint="eastAsia"/>
          <w:sz w:val="18"/>
          <w:szCs w:val="18"/>
          <w:rtl/>
        </w:rPr>
        <w:t>הקמת</w:t>
      </w:r>
      <w:r w:rsidRPr="00211D07">
        <w:rPr>
          <w:rFonts w:ascii="Tahoma" w:hAnsi="Tahoma" w:cs="Tahoma"/>
          <w:sz w:val="18"/>
          <w:szCs w:val="18"/>
          <w:rtl/>
        </w:rPr>
        <w:t xml:space="preserve"> </w:t>
      </w:r>
      <w:r w:rsidRPr="00211D07">
        <w:rPr>
          <w:rFonts w:ascii="Tahoma" w:hAnsi="Tahoma" w:cs="Tahoma" w:hint="eastAsia"/>
          <w:sz w:val="18"/>
          <w:szCs w:val="18"/>
          <w:rtl/>
        </w:rPr>
        <w:t>מרכזי</w:t>
      </w:r>
      <w:r w:rsidRPr="00211D07">
        <w:rPr>
          <w:rFonts w:ascii="Tahoma" w:hAnsi="Tahoma" w:cs="Tahoma"/>
          <w:sz w:val="18"/>
          <w:szCs w:val="18"/>
          <w:rtl/>
        </w:rPr>
        <w:t xml:space="preserve"> </w:t>
      </w:r>
      <w:r w:rsidRPr="00211D07">
        <w:rPr>
          <w:rFonts w:ascii="Tahoma" w:hAnsi="Tahoma" w:cs="Tahoma" w:hint="eastAsia"/>
          <w:sz w:val="18"/>
          <w:szCs w:val="18"/>
          <w:rtl/>
        </w:rPr>
        <w:t>טיפול</w:t>
      </w:r>
      <w:r w:rsidRPr="00211D07">
        <w:rPr>
          <w:rFonts w:ascii="Tahoma" w:hAnsi="Tahoma" w:cs="Tahoma"/>
          <w:sz w:val="18"/>
          <w:szCs w:val="18"/>
          <w:rtl/>
        </w:rPr>
        <w:t xml:space="preserve"> </w:t>
      </w:r>
      <w:r w:rsidRPr="00211D07">
        <w:rPr>
          <w:rFonts w:ascii="Tahoma" w:hAnsi="Tahoma" w:cs="Tahoma" w:hint="eastAsia"/>
          <w:sz w:val="18"/>
          <w:szCs w:val="18"/>
          <w:rtl/>
        </w:rPr>
        <w:t>אזוריים</w:t>
      </w:r>
      <w:r w:rsidRPr="00211D07">
        <w:rPr>
          <w:rFonts w:ascii="Tahoma" w:hAnsi="Tahoma" w:cs="Tahoma"/>
          <w:sz w:val="18"/>
          <w:szCs w:val="18"/>
          <w:rtl/>
        </w:rPr>
        <w:t xml:space="preserve"> </w:t>
      </w:r>
      <w:r w:rsidRPr="00211D07">
        <w:rPr>
          <w:rFonts w:ascii="Tahoma" w:hAnsi="Tahoma" w:cs="Tahoma" w:hint="eastAsia"/>
          <w:sz w:val="18"/>
          <w:szCs w:val="18"/>
          <w:rtl/>
        </w:rPr>
        <w:t>לטיפול</w:t>
      </w:r>
      <w:r w:rsidRPr="00211D07">
        <w:rPr>
          <w:rFonts w:ascii="Tahoma" w:hAnsi="Tahoma" w:cs="Tahoma"/>
          <w:sz w:val="18"/>
          <w:szCs w:val="18"/>
          <w:rtl/>
        </w:rPr>
        <w:t xml:space="preserve"> </w:t>
      </w:r>
      <w:r w:rsidRPr="00211D07">
        <w:rPr>
          <w:rFonts w:ascii="Tahoma" w:hAnsi="Tahoma" w:cs="Tahoma" w:hint="eastAsia"/>
          <w:sz w:val="18"/>
          <w:szCs w:val="18"/>
          <w:rtl/>
        </w:rPr>
        <w:t>ייעודי</w:t>
      </w:r>
      <w:r w:rsidRPr="00211D07">
        <w:rPr>
          <w:rFonts w:ascii="Tahoma" w:hAnsi="Tahoma" w:cs="Tahoma"/>
          <w:sz w:val="18"/>
          <w:szCs w:val="18"/>
          <w:rtl/>
        </w:rPr>
        <w:t xml:space="preserve"> </w:t>
      </w:r>
      <w:r w:rsidRPr="00211D07">
        <w:rPr>
          <w:rFonts w:ascii="Tahoma" w:hAnsi="Tahoma" w:cs="Tahoma" w:hint="eastAsia"/>
          <w:sz w:val="18"/>
          <w:szCs w:val="18"/>
          <w:rtl/>
        </w:rPr>
        <w:t>במכורים</w:t>
      </w:r>
      <w:r w:rsidRPr="00211D07">
        <w:rPr>
          <w:rFonts w:ascii="Tahoma" w:hAnsi="Tahoma" w:cs="Tahoma"/>
          <w:sz w:val="18"/>
          <w:szCs w:val="18"/>
          <w:rtl/>
        </w:rPr>
        <w:t xml:space="preserve"> </w:t>
      </w:r>
      <w:r w:rsidRPr="00211D07">
        <w:rPr>
          <w:rFonts w:ascii="Tahoma" w:hAnsi="Tahoma" w:cs="Tahoma" w:hint="eastAsia"/>
          <w:sz w:val="18"/>
          <w:szCs w:val="18"/>
          <w:rtl/>
        </w:rPr>
        <w:t>להימורים</w:t>
      </w:r>
      <w:r w:rsidRPr="00211D07">
        <w:rPr>
          <w:rFonts w:ascii="Tahoma" w:hAnsi="Tahoma" w:cs="Tahoma" w:hint="cs"/>
          <w:sz w:val="18"/>
          <w:szCs w:val="18"/>
          <w:rtl/>
        </w:rPr>
        <w:t>; טיפול תרופתי; מתן שירותים סוציאליים מגוונים</w:t>
      </w:r>
      <w:r>
        <w:rPr>
          <w:rStyle w:val="FootnoteReference0"/>
          <w:rFonts w:ascii="Tahoma" w:hAnsi="Tahoma" w:cs="Tahoma"/>
          <w:sz w:val="18"/>
          <w:szCs w:val="18"/>
          <w:rtl/>
        </w:rPr>
        <w:footnoteReference w:id="38"/>
      </w:r>
      <w:r w:rsidRPr="00211D07">
        <w:rPr>
          <w:rFonts w:ascii="Tahoma" w:hAnsi="Tahoma" w:cs="Tahoma" w:hint="cs"/>
          <w:sz w:val="18"/>
          <w:szCs w:val="18"/>
          <w:rtl/>
        </w:rPr>
        <w:t xml:space="preserve">; </w:t>
      </w:r>
      <w:r w:rsidRPr="00211D07">
        <w:rPr>
          <w:rFonts w:ascii="Tahoma" w:hAnsi="Tahoma" w:cs="Tahoma" w:hint="eastAsia"/>
          <w:sz w:val="18"/>
          <w:szCs w:val="18"/>
          <w:rtl/>
        </w:rPr>
        <w:t>ליווי</w:t>
      </w:r>
      <w:r w:rsidRPr="00211D07">
        <w:rPr>
          <w:rFonts w:ascii="Tahoma" w:hAnsi="Tahoma" w:cs="Tahoma"/>
          <w:sz w:val="18"/>
          <w:szCs w:val="18"/>
          <w:rtl/>
        </w:rPr>
        <w:t xml:space="preserve"> </w:t>
      </w:r>
      <w:r w:rsidRPr="00211D07">
        <w:rPr>
          <w:rFonts w:ascii="Tahoma" w:hAnsi="Tahoma" w:cs="Tahoma" w:hint="eastAsia"/>
          <w:sz w:val="18"/>
          <w:szCs w:val="18"/>
          <w:rtl/>
        </w:rPr>
        <w:t>משפטי</w:t>
      </w:r>
      <w:r w:rsidRPr="00211D07">
        <w:rPr>
          <w:rFonts w:ascii="Tahoma" w:hAnsi="Tahoma" w:cs="Tahoma"/>
          <w:sz w:val="18"/>
          <w:szCs w:val="18"/>
          <w:rtl/>
        </w:rPr>
        <w:t xml:space="preserve"> </w:t>
      </w:r>
      <w:r w:rsidRPr="00211D07">
        <w:rPr>
          <w:rFonts w:ascii="Tahoma" w:hAnsi="Tahoma" w:cs="Tahoma" w:hint="eastAsia"/>
          <w:sz w:val="18"/>
          <w:szCs w:val="18"/>
          <w:rtl/>
        </w:rPr>
        <w:t>לסיוע</w:t>
      </w:r>
      <w:r w:rsidRPr="00211D07">
        <w:rPr>
          <w:rFonts w:ascii="Tahoma" w:hAnsi="Tahoma" w:cs="Tahoma"/>
          <w:sz w:val="18"/>
          <w:szCs w:val="18"/>
          <w:rtl/>
        </w:rPr>
        <w:t xml:space="preserve"> </w:t>
      </w:r>
      <w:r w:rsidRPr="00211D07">
        <w:rPr>
          <w:rFonts w:ascii="Tahoma" w:hAnsi="Tahoma" w:cs="Tahoma" w:hint="eastAsia"/>
          <w:sz w:val="18"/>
          <w:szCs w:val="18"/>
          <w:rtl/>
        </w:rPr>
        <w:t>לשיקום</w:t>
      </w:r>
      <w:r w:rsidRPr="00211D07">
        <w:rPr>
          <w:rFonts w:ascii="Tahoma" w:hAnsi="Tahoma" w:cs="Tahoma"/>
          <w:sz w:val="18"/>
          <w:szCs w:val="18"/>
          <w:rtl/>
        </w:rPr>
        <w:t xml:space="preserve"> </w:t>
      </w:r>
      <w:r w:rsidRPr="00211D07">
        <w:rPr>
          <w:rFonts w:ascii="Tahoma" w:hAnsi="Tahoma" w:cs="Tahoma" w:hint="eastAsia"/>
          <w:sz w:val="18"/>
          <w:szCs w:val="18"/>
          <w:rtl/>
        </w:rPr>
        <w:t>כלכלי</w:t>
      </w:r>
      <w:r w:rsidRPr="00211D07">
        <w:rPr>
          <w:rFonts w:ascii="Tahoma" w:hAnsi="Tahoma" w:cs="Tahoma" w:hint="cs"/>
          <w:sz w:val="18"/>
          <w:szCs w:val="18"/>
          <w:rtl/>
        </w:rPr>
        <w:t xml:space="preserve">; </w:t>
      </w:r>
      <w:r w:rsidRPr="00211D07">
        <w:rPr>
          <w:rFonts w:ascii="Tahoma" w:hAnsi="Tahoma" w:cs="Tahoma"/>
          <w:sz w:val="18"/>
          <w:szCs w:val="18"/>
          <w:rtl/>
        </w:rPr>
        <w:t xml:space="preserve">הכשרה והדרכה </w:t>
      </w:r>
      <w:r w:rsidRPr="00211D07">
        <w:rPr>
          <w:rFonts w:ascii="Tahoma" w:hAnsi="Tahoma" w:cs="Tahoma" w:hint="cs"/>
          <w:sz w:val="18"/>
          <w:szCs w:val="18"/>
          <w:rtl/>
        </w:rPr>
        <w:t xml:space="preserve">של </w:t>
      </w:r>
      <w:r w:rsidRPr="00211D07">
        <w:rPr>
          <w:rFonts w:ascii="Tahoma" w:hAnsi="Tahoma" w:cs="Tahoma"/>
          <w:sz w:val="18"/>
          <w:szCs w:val="18"/>
          <w:rtl/>
        </w:rPr>
        <w:t>אנשי מקצוע שעוסקים בטיפול</w:t>
      </w:r>
      <w:r w:rsidRPr="00211D07">
        <w:rPr>
          <w:rFonts w:ascii="Tahoma" w:hAnsi="Tahoma" w:cs="Tahoma" w:hint="cs"/>
          <w:sz w:val="18"/>
          <w:szCs w:val="18"/>
          <w:rtl/>
        </w:rPr>
        <w:t xml:space="preserve"> במכורים להימורים. </w:t>
      </w:r>
    </w:p>
    <w:p w:rsidR="009B6D36" w:rsidRPr="00211D07" w:rsidP="005874E8">
      <w:pPr>
        <w:pStyle w:val="RESHET"/>
        <w:ind w:left="567"/>
        <w:rPr>
          <w:rtl/>
        </w:rPr>
      </w:pPr>
      <w:r w:rsidRPr="00211D07">
        <w:rPr>
          <w:rFonts w:hint="cs"/>
          <w:rtl/>
        </w:rPr>
        <w:t>נמצא כי עד סוף שנת 2018 לא נדונו המלצות הוועדה על ידי מנכ"לי המשרדים המשתתפים בה. כתוצאה מכך אין מיישמים את המלצותיה של הוועדה.</w:t>
      </w:r>
    </w:p>
    <w:p w:rsidR="009B6D36" w:rsidRPr="00211D07" w:rsidP="005874E8">
      <w:pPr>
        <w:spacing w:before="180" w:line="240" w:lineRule="exact"/>
        <w:ind w:left="340" w:right="2268"/>
        <w:jc w:val="both"/>
        <w:rPr>
          <w:rFonts w:ascii="Tahoma" w:hAnsi="Tahoma" w:cs="Tahoma"/>
          <w:sz w:val="18"/>
          <w:szCs w:val="18"/>
          <w:rtl/>
        </w:rPr>
      </w:pPr>
      <w:r w:rsidRPr="00211D07">
        <w:rPr>
          <w:rFonts w:ascii="Tahoma" w:hAnsi="Tahoma" w:cs="Tahoma" w:hint="cs"/>
          <w:sz w:val="18"/>
          <w:szCs w:val="18"/>
          <w:rtl/>
        </w:rPr>
        <w:t>משרד מבקר המדינה כבר העיר בעבר</w:t>
      </w:r>
      <w:r>
        <w:rPr>
          <w:rFonts w:ascii="Tahoma" w:hAnsi="Tahoma" w:cs="Tahoma"/>
          <w:sz w:val="18"/>
          <w:szCs w:val="18"/>
          <w:vertAlign w:val="superscript"/>
          <w:rtl/>
        </w:rPr>
        <w:footnoteReference w:id="39"/>
      </w:r>
      <w:r w:rsidRPr="00211D07">
        <w:rPr>
          <w:rFonts w:ascii="Tahoma" w:hAnsi="Tahoma" w:cs="Tahoma" w:hint="cs"/>
          <w:sz w:val="18"/>
          <w:szCs w:val="18"/>
          <w:rtl/>
        </w:rPr>
        <w:t xml:space="preserve"> כי אף שאין חובה לאמץ המלצות של ועדה, על משרדי הממשלה שהנושאים שנבדקו נמצאים בתחום אחריותם וסמכותם, לדון בהמלצות הוועדה בכובד ראש ולנמק את החלטותיהם בנוגע להמלצותיה. אי-קיום דיון בהמלצות ועדה יש בו משום יחס בלתי ראוי כלפי עבודת המומחים שהשקיעו מזמנם כחברים בוועדה בלי שתוצריה זכו להתייחסות ראויה, ויש בו כדי למנוע את קידום פתרונן של הבעיות שבגינן הוקמה הוועדה. דברים אלה יפים גם לדוח זה.</w:t>
      </w:r>
    </w:p>
    <w:p w:rsidR="009B6D36" w:rsidRPr="00211D07" w:rsidP="005874E8">
      <w:pPr>
        <w:spacing w:after="240" w:line="240" w:lineRule="exact"/>
        <w:ind w:right="2268"/>
        <w:jc w:val="both"/>
        <w:rPr>
          <w:rFonts w:ascii="Tahoma" w:hAnsi="Tahoma" w:cs="Tahoma"/>
          <w:sz w:val="18"/>
          <w:szCs w:val="18"/>
          <w:rtl/>
        </w:rPr>
      </w:pPr>
      <w:r w:rsidRPr="00211D07">
        <w:rPr>
          <w:rFonts w:ascii="Tahoma" w:hAnsi="Tahoma" w:cs="Tahoma"/>
          <w:sz w:val="18"/>
          <w:szCs w:val="18"/>
          <w:rtl/>
        </w:rPr>
        <w:t xml:space="preserve">בתשובתו ציין משרד הרווחה כי הוא "אינו </w:t>
      </w:r>
      <w:r w:rsidRPr="00211D07">
        <w:rPr>
          <w:rFonts w:ascii="Tahoma" w:hAnsi="Tahoma" w:cs="Tahoma" w:hint="eastAsia"/>
          <w:sz w:val="18"/>
          <w:szCs w:val="18"/>
          <w:rtl/>
        </w:rPr>
        <w:t>מבצע</w:t>
      </w:r>
      <w:r w:rsidRPr="00211D07">
        <w:rPr>
          <w:rFonts w:ascii="Tahoma" w:hAnsi="Tahoma" w:cs="Tahoma"/>
          <w:sz w:val="18"/>
          <w:szCs w:val="18"/>
          <w:rtl/>
        </w:rPr>
        <w:t xml:space="preserve"> </w:t>
      </w:r>
      <w:r w:rsidRPr="00211D07">
        <w:rPr>
          <w:rFonts w:ascii="Tahoma" w:hAnsi="Tahoma" w:cs="Tahoma" w:hint="eastAsia"/>
          <w:sz w:val="18"/>
          <w:szCs w:val="18"/>
          <w:rtl/>
        </w:rPr>
        <w:t>סקרים</w:t>
      </w:r>
      <w:r w:rsidRPr="00211D07">
        <w:rPr>
          <w:rFonts w:ascii="Tahoma" w:hAnsi="Tahoma" w:cs="Tahoma"/>
          <w:sz w:val="18"/>
          <w:szCs w:val="18"/>
          <w:rtl/>
        </w:rPr>
        <w:t xml:space="preserve"> </w:t>
      </w:r>
      <w:r w:rsidRPr="00211D07">
        <w:rPr>
          <w:rFonts w:ascii="Tahoma" w:hAnsi="Tahoma" w:cs="Tahoma" w:hint="eastAsia"/>
          <w:sz w:val="18"/>
          <w:szCs w:val="18"/>
          <w:rtl/>
        </w:rPr>
        <w:t>אודות</w:t>
      </w:r>
      <w:r w:rsidRPr="00211D07">
        <w:rPr>
          <w:rFonts w:ascii="Tahoma" w:hAnsi="Tahoma" w:cs="Tahoma"/>
          <w:sz w:val="18"/>
          <w:szCs w:val="18"/>
          <w:rtl/>
        </w:rPr>
        <w:t xml:space="preserve"> </w:t>
      </w:r>
      <w:r w:rsidRPr="00211D07">
        <w:rPr>
          <w:rFonts w:ascii="Tahoma" w:hAnsi="Tahoma" w:cs="Tahoma" w:hint="eastAsia"/>
          <w:sz w:val="18"/>
          <w:szCs w:val="18"/>
          <w:rtl/>
        </w:rPr>
        <w:t>מספר</w:t>
      </w:r>
      <w:r w:rsidRPr="00211D07">
        <w:rPr>
          <w:rFonts w:ascii="Tahoma" w:hAnsi="Tahoma" w:cs="Tahoma"/>
          <w:sz w:val="18"/>
          <w:szCs w:val="18"/>
          <w:rtl/>
        </w:rPr>
        <w:t xml:space="preserve"> </w:t>
      </w:r>
      <w:r w:rsidRPr="00211D07">
        <w:rPr>
          <w:rFonts w:ascii="Tahoma" w:hAnsi="Tahoma" w:cs="Tahoma" w:hint="eastAsia"/>
          <w:sz w:val="18"/>
          <w:szCs w:val="18"/>
          <w:rtl/>
        </w:rPr>
        <w:t>המהמרים</w:t>
      </w:r>
      <w:r w:rsidRPr="00211D07">
        <w:rPr>
          <w:rFonts w:ascii="Tahoma" w:hAnsi="Tahoma" w:cs="Tahoma" w:hint="cs"/>
          <w:sz w:val="18"/>
          <w:szCs w:val="18"/>
          <w:rtl/>
        </w:rPr>
        <w:t xml:space="preserve"> בישראל" וציין כי "סקר מקיף נבנה בימים אלה על ידי מפעל הפיס בשיתוף עם המשרד" עוד ציין משרד הרווחה כי הוא "</w:t>
      </w:r>
      <w:r w:rsidRPr="00211D07">
        <w:rPr>
          <w:rFonts w:ascii="Tahoma" w:hAnsi="Tahoma" w:cs="Tahoma" w:hint="eastAsia"/>
          <w:sz w:val="18"/>
          <w:szCs w:val="18"/>
          <w:rtl/>
        </w:rPr>
        <w:t>אינו</w:t>
      </w:r>
      <w:r w:rsidRPr="00211D07">
        <w:rPr>
          <w:rFonts w:ascii="Tahoma" w:hAnsi="Tahoma" w:cs="Tahoma"/>
          <w:sz w:val="18"/>
          <w:szCs w:val="18"/>
          <w:rtl/>
        </w:rPr>
        <w:t xml:space="preserve"> סבור שיש צורך בפיתוח מדיניות </w:t>
      </w:r>
      <w:r w:rsidRPr="00211D07">
        <w:rPr>
          <w:rFonts w:ascii="Tahoma" w:hAnsi="Tahoma" w:cs="Tahoma"/>
          <w:sz w:val="18"/>
          <w:szCs w:val="18"/>
          <w:rtl/>
        </w:rPr>
        <w:t>נפרדת בנושא הימורים</w:t>
      </w:r>
      <w:r w:rsidRPr="00211D07">
        <w:rPr>
          <w:rFonts w:ascii="Tahoma" w:hAnsi="Tahoma" w:cs="Tahoma" w:hint="cs"/>
          <w:sz w:val="18"/>
          <w:szCs w:val="18"/>
          <w:rtl/>
        </w:rPr>
        <w:t>.</w:t>
      </w:r>
      <w:r w:rsidRPr="00211D07">
        <w:rPr>
          <w:rFonts w:ascii="Tahoma" w:hAnsi="Tahoma" w:cs="Tahoma"/>
          <w:sz w:val="18"/>
          <w:szCs w:val="18"/>
          <w:rtl/>
        </w:rPr>
        <w:t xml:space="preserve"> </w:t>
      </w:r>
      <w:r w:rsidRPr="00211D07">
        <w:rPr>
          <w:rFonts w:ascii="Tahoma" w:hAnsi="Tahoma" w:cs="Tahoma" w:hint="cs"/>
          <w:sz w:val="18"/>
          <w:szCs w:val="18"/>
          <w:rtl/>
        </w:rPr>
        <w:t xml:space="preserve">מחקרים רבים וחוות דעת של </w:t>
      </w:r>
      <w:r w:rsidRPr="00211D07">
        <w:rPr>
          <w:rFonts w:ascii="Tahoma" w:hAnsi="Tahoma" w:cs="Tahoma"/>
          <w:sz w:val="18"/>
          <w:szCs w:val="18"/>
          <w:rtl/>
        </w:rPr>
        <w:t>אנשי מקצוע בתחום ציינו כי יש להתייחס להתמכרות לחומרים ולהתמכרות התנהגותית באופן כוללני ולא להפרידה לחטיבות נפרדות"</w:t>
      </w:r>
      <w:r w:rsidRPr="00211D07">
        <w:rPr>
          <w:rFonts w:ascii="Tahoma" w:hAnsi="Tahoma" w:cs="Tahoma" w:hint="cs"/>
          <w:sz w:val="18"/>
          <w:szCs w:val="18"/>
          <w:rtl/>
        </w:rPr>
        <w:t>. לפי משרד הרווחה "מדיניות השירות לטיפול בהתמכרויות בתחום הטיפול במכורים להימורים נקבעת על בסיס נתונים ומידע של מאפייני האוכלוסייה המכורה... על בסיס זה נקבעת המדיניות, קבוצת המטופלים המכורים להימורים מונה כ-1,100 מטופלים". עם זאת ציין משרד הרווחה בתשובתו כי נפתחו שתי יחידות אזוריות גדולות לטיפול במהמרים בחיפה ובתל אביב בשיתוף מפעל הפיס ויחידה נוספת נמצאת בתהליך הקמה בעבור בני נוער מכורים להימורים; ביחידות אלו מופעל איתור אינטנסיבי וטיפול ייעודי במכורים.</w:t>
      </w:r>
    </w:p>
    <w:p w:rsidR="009B6D36" w:rsidRPr="00211D07" w:rsidP="002E34D6">
      <w:pPr>
        <w:pStyle w:val="RESHET"/>
        <w:rPr>
          <w:rtl/>
        </w:rPr>
      </w:pPr>
      <w:r w:rsidRPr="00211D07">
        <w:rPr>
          <w:rFonts w:hint="cs"/>
          <w:rtl/>
        </w:rPr>
        <w:t xml:space="preserve">משרד מבקר המדינה מעיר למשרד הרווחה כי תשובתו אינה תואמת את המלצות הוועדה הבין-משרדית שהשתתף בה, אשר המליצה בינואר 2018 על שורה של צעדים ייעודיים לטיפול במכורים להימורים. אף שהמלצות הוועדה טרם נדונו, נכון יהיה </w:t>
      </w:r>
      <w:r w:rsidRPr="00211D07">
        <w:rPr>
          <w:rFonts w:hint="eastAsia"/>
          <w:rtl/>
        </w:rPr>
        <w:t>כי</w:t>
      </w:r>
      <w:r w:rsidRPr="00211D07">
        <w:rPr>
          <w:rtl/>
        </w:rPr>
        <w:t xml:space="preserve"> החלטה בנושא ת</w:t>
      </w:r>
      <w:r w:rsidRPr="00211D07">
        <w:rPr>
          <w:rFonts w:hint="eastAsia"/>
          <w:rtl/>
        </w:rPr>
        <w:t>תקב</w:t>
      </w:r>
      <w:r w:rsidRPr="00211D07">
        <w:rPr>
          <w:rFonts w:hint="cs"/>
          <w:rtl/>
        </w:rPr>
        <w:t xml:space="preserve">ל </w:t>
      </w:r>
      <w:r w:rsidRPr="00211D07">
        <w:rPr>
          <w:rFonts w:hint="eastAsia"/>
          <w:rtl/>
        </w:rPr>
        <w:t>רק</w:t>
      </w:r>
      <w:r w:rsidRPr="00211D07">
        <w:rPr>
          <w:rFonts w:hint="cs"/>
          <w:rtl/>
        </w:rPr>
        <w:t xml:space="preserve"> לאחר בחינה ודיון מעמיקים על ידי המנכ"לים הרלוונטיי</w:t>
      </w:r>
      <w:r w:rsidRPr="00211D07">
        <w:rPr>
          <w:rFonts w:hint="eastAsia"/>
          <w:rtl/>
        </w:rPr>
        <w:t>ם</w:t>
      </w:r>
      <w:r w:rsidRPr="00211D07">
        <w:rPr>
          <w:rFonts w:hint="cs"/>
          <w:rtl/>
        </w:rPr>
        <w:t xml:space="preserve">. עוד מעיר משרד מבקר המדינה כי הסתמכות על מספר המטופלים המוכרים לו - המוערכים </w:t>
      </w:r>
      <w:r w:rsidR="002E34D6">
        <w:rPr>
          <w:rtl/>
        </w:rPr>
        <w:br/>
      </w:r>
      <w:r w:rsidRPr="00211D07">
        <w:rPr>
          <w:rFonts w:hint="cs"/>
          <w:rtl/>
        </w:rPr>
        <w:t>בכ</w:t>
      </w:r>
      <w:r w:rsidRPr="00211D07">
        <w:rPr>
          <w:rtl/>
        </w:rPr>
        <w:t xml:space="preserve">-1% </w:t>
      </w:r>
      <w:r w:rsidRPr="00211D07">
        <w:rPr>
          <w:rFonts w:hint="cs"/>
          <w:rtl/>
        </w:rPr>
        <w:t xml:space="preserve">בלבד </w:t>
      </w:r>
      <w:r w:rsidRPr="00211D07">
        <w:rPr>
          <w:rtl/>
        </w:rPr>
        <w:t>מהסובלים מבעיית הימורים</w:t>
      </w:r>
      <w:r w:rsidRPr="00211D07">
        <w:rPr>
          <w:rFonts w:hint="cs"/>
          <w:rtl/>
        </w:rPr>
        <w:t xml:space="preserve"> לפי המחקר שמומן בידי מפעל הפיס אינה מאפשרת לקבל תמונה מלאה של היקף התופעה ומתעלמת מהמלצת הוועדה בדבר הצורך במיפוי התופעה. לא ניתן לקבוע עמדה על סמך נתונים חלקיים אלה בנוגע לפיתוח מדיניות ייעודית לטיפול במכורים להימורים. </w:t>
      </w:r>
    </w:p>
    <w:p w:rsidR="009B6D36" w:rsidRPr="00211D07" w:rsidP="005874E8">
      <w:pPr>
        <w:pStyle w:val="RESHET"/>
        <w:rPr>
          <w:rtl/>
        </w:rPr>
      </w:pPr>
      <w:r w:rsidRPr="00211D07">
        <w:rPr>
          <w:rFonts w:hint="cs"/>
          <w:rtl/>
        </w:rPr>
        <w:t xml:space="preserve">על משרד הרווחה לבחון את היקף התופעה ואת מאפייני המכורים בטרם יקבע אם יש צורך בפיתוח מדיניות נפרדת לסובלים מבעיית התמכרות להימורים. </w:t>
      </w:r>
    </w:p>
    <w:p w:rsidR="009B6D36" w:rsidRPr="00211D07" w:rsidP="00211D07">
      <w:pPr>
        <w:spacing w:line="240" w:lineRule="exact"/>
        <w:ind w:right="2268"/>
        <w:jc w:val="both"/>
        <w:rPr>
          <w:rFonts w:ascii="Tahoma" w:hAnsi="Tahoma" w:cs="Tahoma"/>
          <w:sz w:val="18"/>
          <w:szCs w:val="18"/>
        </w:rPr>
      </w:pPr>
    </w:p>
    <w:p w:rsidR="009B6D36" w:rsidRPr="00211D07" w:rsidP="00211D07">
      <w:pPr>
        <w:spacing w:line="240" w:lineRule="exact"/>
        <w:ind w:right="2268"/>
        <w:jc w:val="both"/>
        <w:rPr>
          <w:rFonts w:ascii="Tahoma" w:hAnsi="Tahoma" w:cs="Tahoma"/>
          <w:sz w:val="18"/>
          <w:szCs w:val="18"/>
          <w:rtl/>
        </w:rPr>
      </w:pPr>
    </w:p>
    <w:p w:rsidR="009B6D36" w:rsidRPr="00E93732" w:rsidP="00211D07">
      <w:pPr>
        <w:pStyle w:val="KOT4"/>
        <w:rPr>
          <w:rtl/>
        </w:rPr>
      </w:pPr>
      <w:r>
        <w:rPr>
          <w:rFonts w:hint="cs"/>
          <w:rtl/>
        </w:rPr>
        <w:t>מכורים ל</w:t>
      </w:r>
      <w:r w:rsidRPr="00E93732">
        <w:rPr>
          <w:rFonts w:hint="cs"/>
          <w:rtl/>
        </w:rPr>
        <w:t xml:space="preserve">תרופות מרשם </w:t>
      </w:r>
    </w:p>
    <w:p w:rsidR="009B6D36" w:rsidRPr="00211D07" w:rsidP="00211D07">
      <w:pPr>
        <w:spacing w:line="240" w:lineRule="exact"/>
        <w:ind w:right="2268"/>
        <w:jc w:val="both"/>
        <w:rPr>
          <w:rFonts w:ascii="Tahoma" w:hAnsi="Tahoma" w:cs="Tahoma"/>
          <w:sz w:val="18"/>
          <w:szCs w:val="18"/>
          <w:rtl/>
        </w:rPr>
      </w:pPr>
      <w:r w:rsidRPr="00211D07">
        <w:rPr>
          <w:rFonts w:ascii="Tahoma" w:eastAsia="Times New Roman" w:hAnsi="Tahoma" w:cs="Tahoma" w:hint="cs"/>
          <w:sz w:val="18"/>
          <w:szCs w:val="18"/>
          <w:rtl/>
        </w:rPr>
        <w:t>בשנים האחרונות הצטברו בעולם</w:t>
      </w:r>
      <w:r w:rsidRPr="00211D07">
        <w:rPr>
          <w:rFonts w:ascii="Tahoma" w:eastAsia="Times New Roman" w:hAnsi="Tahoma" w:cs="Tahoma" w:hint="cs"/>
          <w:sz w:val="18"/>
          <w:szCs w:val="18"/>
          <w:rtl/>
        </w:rPr>
        <w:t xml:space="preserve"> </w:t>
      </w:r>
      <w:r w:rsidRPr="00211D07">
        <w:rPr>
          <w:rFonts w:ascii="Tahoma" w:eastAsia="Times New Roman" w:hAnsi="Tahoma" w:cs="Tahoma" w:hint="cs"/>
          <w:sz w:val="18"/>
          <w:szCs w:val="18"/>
          <w:rtl/>
        </w:rPr>
        <w:t xml:space="preserve">נתונים על שיעור גבוה של מכורים לתרופות </w:t>
      </w:r>
      <w:r w:rsidRPr="005874E8">
        <w:rPr>
          <w:rFonts w:ascii="Tahoma" w:eastAsia="Times New Roman" w:hAnsi="Tahoma" w:cs="Tahoma" w:hint="cs"/>
          <w:spacing w:val="-4"/>
          <w:sz w:val="18"/>
          <w:szCs w:val="18"/>
          <w:rtl/>
        </w:rPr>
        <w:t>מרשם</w:t>
      </w:r>
      <w:r>
        <w:rPr>
          <w:rStyle w:val="FootnoteReference0"/>
          <w:rFonts w:ascii="Tahoma" w:eastAsia="Times New Roman" w:hAnsi="Tahoma" w:cs="Tahoma"/>
          <w:spacing w:val="-4"/>
          <w:sz w:val="18"/>
          <w:szCs w:val="18"/>
          <w:rtl/>
        </w:rPr>
        <w:footnoteReference w:id="40"/>
      </w:r>
      <w:r w:rsidRPr="005874E8">
        <w:rPr>
          <w:rFonts w:ascii="Tahoma" w:eastAsia="Times New Roman" w:hAnsi="Tahoma" w:cs="Tahoma" w:hint="cs"/>
          <w:spacing w:val="-4"/>
          <w:sz w:val="18"/>
          <w:szCs w:val="18"/>
          <w:rtl/>
        </w:rPr>
        <w:t>, והתופעה אף מוגדרת כ"אפידמיה" הגורמת להתמכרות ולתמותה כתוצאה</w:t>
      </w:r>
      <w:r w:rsidRPr="00211D07">
        <w:rPr>
          <w:rFonts w:ascii="Tahoma" w:eastAsia="Times New Roman" w:hAnsi="Tahoma" w:cs="Tahoma" w:hint="cs"/>
          <w:sz w:val="18"/>
          <w:szCs w:val="18"/>
          <w:rtl/>
        </w:rPr>
        <w:t xml:space="preserve"> משימוש לא מבוקר בתרופות מרשם. </w:t>
      </w:r>
      <w:r w:rsidRPr="00211D07">
        <w:rPr>
          <w:rFonts w:ascii="Tahoma" w:hAnsi="Tahoma" w:cs="Tahoma" w:hint="cs"/>
          <w:sz w:val="18"/>
          <w:szCs w:val="18"/>
          <w:rtl/>
        </w:rPr>
        <w:t xml:space="preserve">גם בישראל </w:t>
      </w:r>
      <w:r w:rsidRPr="00211D07">
        <w:rPr>
          <w:rFonts w:ascii="Tahoma" w:hAnsi="Tahoma" w:cs="Tahoma"/>
          <w:sz w:val="18"/>
          <w:szCs w:val="18"/>
          <w:rtl/>
        </w:rPr>
        <w:t xml:space="preserve">יש אינדיקציות </w:t>
      </w:r>
      <w:r w:rsidRPr="00211D07">
        <w:rPr>
          <w:rFonts w:ascii="Tahoma" w:hAnsi="Tahoma" w:cs="Tahoma" w:hint="cs"/>
          <w:sz w:val="18"/>
          <w:szCs w:val="18"/>
          <w:rtl/>
        </w:rPr>
        <w:t xml:space="preserve">המעידות על </w:t>
      </w:r>
      <w:r w:rsidRPr="00211D07">
        <w:rPr>
          <w:rFonts w:ascii="Tahoma" w:hAnsi="Tahoma" w:cs="Tahoma"/>
          <w:sz w:val="18"/>
          <w:szCs w:val="18"/>
          <w:rtl/>
        </w:rPr>
        <w:t>עלייה בצריכה של התרופות האמורות</w:t>
      </w:r>
      <w:r w:rsidRPr="00211D07">
        <w:rPr>
          <w:rFonts w:ascii="Tahoma" w:hAnsi="Tahoma" w:cs="Tahoma" w:hint="cs"/>
          <w:sz w:val="18"/>
          <w:szCs w:val="18"/>
          <w:rtl/>
        </w:rPr>
        <w:t xml:space="preserve"> ובמספר צרכני תרופות מרשם הסובלים מהתמכרות ומשימוש מזיק בתרופות אלה. </w:t>
      </w:r>
    </w:p>
    <w:p w:rsidR="009B6D36" w:rsidRPr="00211D07" w:rsidP="00211D07">
      <w:pPr>
        <w:spacing w:line="240" w:lineRule="exact"/>
        <w:ind w:right="2268"/>
        <w:jc w:val="both"/>
        <w:rPr>
          <w:rFonts w:ascii="Tahoma" w:hAnsi="Tahoma" w:cs="Tahoma"/>
          <w:sz w:val="18"/>
          <w:szCs w:val="18"/>
          <w:rtl/>
        </w:rPr>
      </w:pPr>
      <w:r w:rsidRPr="00211D07">
        <w:rPr>
          <w:rFonts w:ascii="Tahoma" w:hAnsi="Tahoma" w:cs="Tahoma" w:hint="cs"/>
          <w:sz w:val="18"/>
          <w:szCs w:val="18"/>
          <w:rtl/>
        </w:rPr>
        <w:t>גופי ממשל בארה"ב</w:t>
      </w:r>
      <w:r>
        <w:rPr>
          <w:rFonts w:ascii="Tahoma" w:hAnsi="Tahoma" w:cs="Tahoma"/>
          <w:sz w:val="18"/>
          <w:szCs w:val="18"/>
          <w:vertAlign w:val="superscript"/>
          <w:rtl/>
        </w:rPr>
        <w:footnoteReference w:id="41"/>
      </w:r>
      <w:r w:rsidRPr="00211D07">
        <w:rPr>
          <w:rFonts w:ascii="Tahoma" w:hAnsi="Tahoma" w:cs="Tahoma" w:hint="cs"/>
          <w:sz w:val="18"/>
          <w:szCs w:val="18"/>
          <w:rtl/>
        </w:rPr>
        <w:t xml:space="preserve"> ובאירופה</w:t>
      </w:r>
      <w:r>
        <w:rPr>
          <w:rFonts w:ascii="Tahoma" w:hAnsi="Tahoma" w:cs="Tahoma"/>
          <w:sz w:val="18"/>
          <w:szCs w:val="18"/>
          <w:vertAlign w:val="superscript"/>
          <w:rtl/>
        </w:rPr>
        <w:footnoteReference w:id="42"/>
      </w:r>
      <w:r w:rsidRPr="00211D07">
        <w:rPr>
          <w:rFonts w:ascii="Tahoma" w:hAnsi="Tahoma" w:cs="Tahoma" w:hint="cs"/>
          <w:sz w:val="18"/>
          <w:szCs w:val="18"/>
          <w:rtl/>
        </w:rPr>
        <w:t xml:space="preserve"> פרסמו בשנים האחרונות הנחיות להתמודדות עם התופעה, הכוללות, בין היתר, הנחיות למניעה של שימוש לרעה והתמכרות של המטופלים לתרופות מרשם ולאיתור מכורים. זאת באמצעות הנחיית הרופאים </w:t>
      </w:r>
      <w:r w:rsidRPr="00211D07">
        <w:rPr>
          <w:rFonts w:ascii="Tahoma" w:hAnsi="Tahoma" w:cs="Tahoma"/>
          <w:sz w:val="18"/>
          <w:szCs w:val="18"/>
          <w:rtl/>
        </w:rPr>
        <w:t>לשימוש מושכל בתרופות מרשם</w:t>
      </w:r>
      <w:r w:rsidRPr="00211D07">
        <w:rPr>
          <w:rFonts w:ascii="Tahoma" w:hAnsi="Tahoma" w:cs="Tahoma" w:hint="cs"/>
          <w:sz w:val="18"/>
          <w:szCs w:val="18"/>
          <w:rtl/>
        </w:rPr>
        <w:t xml:space="preserve"> ולשימוש במערכות בקרה על ניפוק תרופות מרשם. </w:t>
      </w:r>
    </w:p>
    <w:p w:rsidR="009B6D36" w:rsidRPr="00211D07" w:rsidP="00211D07">
      <w:pPr>
        <w:spacing w:line="240" w:lineRule="exact"/>
        <w:ind w:right="2268"/>
        <w:jc w:val="both"/>
        <w:rPr>
          <w:rFonts w:ascii="Tahoma" w:hAnsi="Tahoma" w:cs="Tahoma"/>
          <w:sz w:val="18"/>
          <w:szCs w:val="18"/>
          <w:rtl/>
        </w:rPr>
      </w:pPr>
      <w:r w:rsidRPr="00211D07">
        <w:rPr>
          <w:rFonts w:ascii="Tahoma" w:hAnsi="Tahoma" w:cs="Tahoma" w:hint="cs"/>
          <w:sz w:val="18"/>
          <w:szCs w:val="18"/>
          <w:rtl/>
        </w:rPr>
        <w:t>השלב הראשון לפני קביעת מדיניות והפצת הנחיות מתאימות לקופות החולים הוא איסוף נתונים ובניית מסד נתונים ארצי שיצביע על היקף התופעה ויאפשר לנתח את הנתונים כדי להסיק מהם מסקנות. ואכן, מנהלת המחלקה להתמכרויות ציינה בסיכום הפעילות השנתית של המחלקה לשנת 2015 כי: "מסד נתונים ארצי באשר להיקף התופעה... נדרש על מנת להחליט על צעדים אופרטיביים בתחום" וכי בכוונת משרד הבריאות לאסוף מידע בעניין מקופות החולים. בשנת 2016 פנה משרד הבריאות לארבע קופות החולים בבקשה לקבל נתונים על אודות השימוש בתרופות מרשם, כדי לאמוד לראשונה את היקף השימוש בהן באוכלוסיית מבוטחי הקופות.</w:t>
      </w:r>
    </w:p>
    <w:p w:rsidR="009B6D36" w:rsidRPr="00211D07" w:rsidP="005874E8">
      <w:pPr>
        <w:spacing w:after="240" w:line="240" w:lineRule="exact"/>
        <w:ind w:right="2268"/>
        <w:jc w:val="both"/>
        <w:rPr>
          <w:rFonts w:ascii="Tahoma" w:hAnsi="Tahoma" w:cs="Tahoma"/>
          <w:sz w:val="18"/>
          <w:szCs w:val="18"/>
          <w:rtl/>
        </w:rPr>
      </w:pPr>
      <w:r w:rsidRPr="00211D07">
        <w:rPr>
          <w:rFonts w:ascii="Tahoma" w:hAnsi="Tahoma" w:cs="Tahoma" w:hint="cs"/>
          <w:sz w:val="18"/>
          <w:szCs w:val="18"/>
          <w:rtl/>
        </w:rPr>
        <w:t xml:space="preserve">ואולם, מתברר כי משרד הבריאות קיבל מהקופות מידע חלקי שלא ניתן היה להפיק ממנו מידע של ממש על היקף תופעת השימוש לרעה וההתמכרות לתרופות אלה. לפי דוח של מרכז המחקר והמידע של הכנסת ממרץ 2017 היה היקף המכורים כפי שדיווחו קופות החולים - כ-7,000 איש, אך לפי הדוח מדובר בנתונים שמתבססים על קריטריונים שונים בכל קופה, ואין לראות בהם נתונים "המשקפים תמונה מלאה". </w:t>
      </w:r>
      <w:r w:rsidRPr="00211D07">
        <w:rPr>
          <w:rFonts w:ascii="Tahoma" w:hAnsi="Tahoma" w:cs="Tahoma"/>
          <w:sz w:val="18"/>
          <w:szCs w:val="18"/>
          <w:rtl/>
        </w:rPr>
        <w:t>מכבי שירותי בריאות</w:t>
      </w:r>
      <w:r w:rsidRPr="00211D07">
        <w:rPr>
          <w:rFonts w:ascii="Tahoma" w:hAnsi="Tahoma" w:cs="Tahoma" w:hint="cs"/>
          <w:sz w:val="18"/>
          <w:szCs w:val="18"/>
          <w:rtl/>
        </w:rPr>
        <w:t xml:space="preserve"> אף ציינה בתשובתה למשרד מבקר המדינה מנובמבר 2018 כי אין לה "מידע מהימן אשר מזהה" את המכורים לתרופות מרשם.</w:t>
      </w:r>
    </w:p>
    <w:p w:rsidR="009B6D36" w:rsidRPr="005874E8" w:rsidP="005874E8">
      <w:pPr>
        <w:pStyle w:val="RESHET"/>
        <w:rPr>
          <w:rtl/>
        </w:rPr>
      </w:pPr>
      <w:r w:rsidRPr="005874E8">
        <w:rPr>
          <w:rFonts w:hint="cs"/>
          <w:rtl/>
        </w:rPr>
        <w:t xml:space="preserve">יוצא אפוא, כי עד סיום הביקורת אין למשרד הבריאות מסד נתונים ארצי על היקף המכורים לתרופות מרשם, </w:t>
      </w:r>
      <w:r w:rsidRPr="005874E8">
        <w:rPr>
          <w:rFonts w:hint="eastAsia"/>
          <w:rtl/>
        </w:rPr>
        <w:t>ו</w:t>
      </w:r>
      <w:r w:rsidRPr="005874E8">
        <w:rPr>
          <w:rFonts w:hint="cs"/>
          <w:rtl/>
        </w:rPr>
        <w:t>בלעדיו</w:t>
      </w:r>
      <w:r w:rsidRPr="005874E8">
        <w:rPr>
          <w:rtl/>
        </w:rPr>
        <w:t xml:space="preserve"> </w:t>
      </w:r>
      <w:r w:rsidRPr="005874E8">
        <w:rPr>
          <w:rFonts w:hint="cs"/>
          <w:rtl/>
        </w:rPr>
        <w:t>לא</w:t>
      </w:r>
      <w:r w:rsidRPr="005874E8">
        <w:rPr>
          <w:rtl/>
        </w:rPr>
        <w:t xml:space="preserve"> </w:t>
      </w:r>
      <w:r w:rsidRPr="005874E8">
        <w:rPr>
          <w:rFonts w:hint="cs"/>
          <w:rtl/>
        </w:rPr>
        <w:t xml:space="preserve">ניתן </w:t>
      </w:r>
      <w:r w:rsidRPr="005874E8">
        <w:rPr>
          <w:rtl/>
        </w:rPr>
        <w:t>ל</w:t>
      </w:r>
      <w:r w:rsidRPr="005874E8">
        <w:rPr>
          <w:rFonts w:hint="cs"/>
          <w:rtl/>
        </w:rPr>
        <w:t>גבש מדיניות בנושא.</w:t>
      </w:r>
    </w:p>
    <w:p w:rsidR="009B6D36" w:rsidRPr="005874E8" w:rsidP="005874E8">
      <w:pPr>
        <w:pStyle w:val="RESHET"/>
        <w:rPr>
          <w:rtl/>
        </w:rPr>
      </w:pPr>
      <w:r w:rsidRPr="005874E8">
        <w:rPr>
          <w:rFonts w:hint="cs"/>
          <w:rtl/>
        </w:rPr>
        <w:t>קופות החולים הגיעו להישגים מרשימים באיסוף דיגיטלי של מידע איכותי במשך עשרות שנים</w:t>
      </w:r>
      <w:r>
        <w:rPr>
          <w:rStyle w:val="FootnoteReference0"/>
          <w:sz w:val="18"/>
          <w:rtl/>
        </w:rPr>
        <w:footnoteReference w:id="43"/>
      </w:r>
      <w:r w:rsidRPr="005874E8">
        <w:rPr>
          <w:rFonts w:hint="cs"/>
          <w:rtl/>
        </w:rPr>
        <w:t>, ו</w:t>
      </w:r>
      <w:r w:rsidRPr="005874E8">
        <w:rPr>
          <w:rtl/>
        </w:rPr>
        <w:t xml:space="preserve">זה שנים </w:t>
      </w:r>
      <w:r w:rsidRPr="005874E8">
        <w:rPr>
          <w:rFonts w:hint="cs"/>
          <w:rtl/>
        </w:rPr>
        <w:t xml:space="preserve">שהן מובילות </w:t>
      </w:r>
      <w:r w:rsidRPr="005874E8">
        <w:rPr>
          <w:rtl/>
        </w:rPr>
        <w:t>ברמה עולמית באיסוף ובתיעוד של מידע קליני על</w:t>
      </w:r>
      <w:r w:rsidRPr="005874E8">
        <w:rPr>
          <w:rFonts w:hint="cs"/>
          <w:rtl/>
        </w:rPr>
        <w:t xml:space="preserve"> </w:t>
      </w:r>
      <w:r w:rsidRPr="005874E8">
        <w:rPr>
          <w:rtl/>
        </w:rPr>
        <w:t>מבוטחיהן</w:t>
      </w:r>
      <w:r>
        <w:rPr>
          <w:rStyle w:val="FootnoteReference0"/>
          <w:sz w:val="18"/>
          <w:rtl/>
        </w:rPr>
        <w:footnoteReference w:id="44"/>
      </w:r>
      <w:r w:rsidRPr="005874E8">
        <w:rPr>
          <w:rtl/>
        </w:rPr>
        <w:t>.</w:t>
      </w:r>
      <w:r w:rsidRPr="005874E8">
        <w:rPr>
          <w:rFonts w:hint="cs"/>
          <w:rtl/>
        </w:rPr>
        <w:t xml:space="preserve"> לפיכך על משרד הבריאות </w:t>
      </w:r>
      <w:r w:rsidRPr="005874E8">
        <w:rPr>
          <w:rtl/>
        </w:rPr>
        <w:t>ל</w:t>
      </w:r>
      <w:r w:rsidRPr="005874E8">
        <w:rPr>
          <w:rFonts w:hint="cs"/>
          <w:rtl/>
        </w:rPr>
        <w:t>הקים מסד נתונים מקיף ואמין בעניין ההתמכרות לתרופות מרשם שיתבסס על נתונים רלוונטיים שיתקבלו מקופות החולים, ול</w:t>
      </w:r>
      <w:r w:rsidRPr="005874E8">
        <w:rPr>
          <w:rtl/>
        </w:rPr>
        <w:t>קב</w:t>
      </w:r>
      <w:r w:rsidRPr="005874E8">
        <w:rPr>
          <w:rFonts w:hint="cs"/>
          <w:rtl/>
        </w:rPr>
        <w:t>ו</w:t>
      </w:r>
      <w:r w:rsidRPr="005874E8">
        <w:rPr>
          <w:rtl/>
        </w:rPr>
        <w:t xml:space="preserve">ע מדיניות </w:t>
      </w:r>
      <w:r w:rsidRPr="005874E8">
        <w:rPr>
          <w:rFonts w:hint="cs"/>
          <w:rtl/>
        </w:rPr>
        <w:t xml:space="preserve">בנושא לפיהם. </w:t>
      </w:r>
    </w:p>
    <w:p w:rsidR="009B6D36" w:rsidRPr="00211D07" w:rsidP="005874E8">
      <w:pPr>
        <w:spacing w:before="180" w:after="240" w:line="240" w:lineRule="exact"/>
        <w:ind w:right="2268"/>
        <w:jc w:val="both"/>
        <w:rPr>
          <w:rFonts w:ascii="Tahoma" w:hAnsi="Tahoma" w:cs="Tahoma"/>
          <w:sz w:val="18"/>
          <w:szCs w:val="18"/>
          <w:rtl/>
        </w:rPr>
      </w:pPr>
      <w:r w:rsidRPr="00211D07">
        <w:rPr>
          <w:rFonts w:ascii="Tahoma" w:hAnsi="Tahoma" w:cs="Tahoma" w:hint="cs"/>
          <w:sz w:val="18"/>
          <w:szCs w:val="18"/>
          <w:rtl/>
        </w:rPr>
        <w:t>משרד הבריאות ציין בתשובתו כי "נתונים על שימוש בתרופות אינם זמינים באופן מלא כי יש הרבה מאוד מקרים בהם מרשמים ניתנים על ידי רופאים פרטיים". המשרד הוסיף כי לבקשתו קיבל משתי קופות חולים מידע בנוגע ל</w:t>
      </w:r>
      <w:r w:rsidRPr="00211D07">
        <w:rPr>
          <w:rFonts w:ascii="Tahoma" w:hAnsi="Tahoma" w:cs="Tahoma"/>
          <w:sz w:val="18"/>
          <w:szCs w:val="18"/>
          <w:rtl/>
        </w:rPr>
        <w:t>מספר המשתמשים בתרופות</w:t>
      </w:r>
      <w:r w:rsidRPr="00211D07">
        <w:rPr>
          <w:rFonts w:ascii="Tahoma" w:hAnsi="Tahoma" w:cs="Tahoma" w:hint="cs"/>
          <w:sz w:val="18"/>
          <w:szCs w:val="18"/>
          <w:rtl/>
        </w:rPr>
        <w:t xml:space="preserve"> מרשם, והוא ממתין להשלמת המידע בעניין משתי הקופות האחרות שפנה אליהן שוב בנובמבר 2018. עוד הוסיף המשרד כי החל בשנת 2019 תשתתף המחלקה להתמכרויות באופן רשמי בבקרות של המשרד בקופות החולים ולצורך זה גיבשה טופסי בקרה ממוחשבים לאיסוף נתונים על אודות התמכרות לתרופות מרשם.</w:t>
      </w:r>
    </w:p>
    <w:p w:rsidR="009B6D36" w:rsidRPr="00211D07" w:rsidP="00335CD4">
      <w:pPr>
        <w:pStyle w:val="RESHET"/>
        <w:rPr>
          <w:rtl/>
        </w:rPr>
      </w:pPr>
      <w:r w:rsidRPr="00211D07">
        <w:rPr>
          <w:rFonts w:hint="eastAsia"/>
          <w:rtl/>
        </w:rPr>
        <w:t>על</w:t>
      </w:r>
      <w:r w:rsidRPr="00211D07">
        <w:rPr>
          <w:rtl/>
        </w:rPr>
        <w:t xml:space="preserve"> </w:t>
      </w:r>
      <w:r w:rsidRPr="00211D07">
        <w:rPr>
          <w:rFonts w:hint="eastAsia"/>
          <w:rtl/>
        </w:rPr>
        <w:t>משרד</w:t>
      </w:r>
      <w:r w:rsidRPr="00211D07">
        <w:rPr>
          <w:rtl/>
        </w:rPr>
        <w:t xml:space="preserve"> </w:t>
      </w:r>
      <w:r w:rsidRPr="00211D07">
        <w:rPr>
          <w:rFonts w:hint="eastAsia"/>
          <w:rtl/>
        </w:rPr>
        <w:t>הבריאות</w:t>
      </w:r>
      <w:r w:rsidRPr="00211D07">
        <w:rPr>
          <w:rtl/>
        </w:rPr>
        <w:t xml:space="preserve"> </w:t>
      </w:r>
      <w:r w:rsidRPr="00211D07">
        <w:rPr>
          <w:rFonts w:hint="eastAsia"/>
          <w:rtl/>
        </w:rPr>
        <w:t>לגבש</w:t>
      </w:r>
      <w:r w:rsidRPr="00211D07">
        <w:rPr>
          <w:rtl/>
        </w:rPr>
        <w:t xml:space="preserve"> </w:t>
      </w:r>
      <w:r w:rsidRPr="00211D07">
        <w:rPr>
          <w:rFonts w:hint="eastAsia"/>
          <w:rtl/>
        </w:rPr>
        <w:t>בהקדם</w:t>
      </w:r>
      <w:r w:rsidRPr="00211D07">
        <w:rPr>
          <w:rtl/>
        </w:rPr>
        <w:t xml:space="preserve"> </w:t>
      </w:r>
      <w:r w:rsidRPr="00211D07">
        <w:rPr>
          <w:rFonts w:hint="eastAsia"/>
          <w:rtl/>
        </w:rPr>
        <w:t>את</w:t>
      </w:r>
      <w:r w:rsidRPr="00211D07">
        <w:rPr>
          <w:rtl/>
        </w:rPr>
        <w:t xml:space="preserve"> </w:t>
      </w:r>
      <w:r w:rsidRPr="00211D07">
        <w:rPr>
          <w:rFonts w:hint="eastAsia"/>
          <w:rtl/>
        </w:rPr>
        <w:t>מסד</w:t>
      </w:r>
      <w:r w:rsidRPr="00211D07">
        <w:rPr>
          <w:rtl/>
        </w:rPr>
        <w:t xml:space="preserve"> </w:t>
      </w:r>
      <w:r w:rsidRPr="00211D07">
        <w:rPr>
          <w:rFonts w:hint="eastAsia"/>
          <w:rtl/>
        </w:rPr>
        <w:t>הנתונים</w:t>
      </w:r>
      <w:r w:rsidRPr="00211D07">
        <w:rPr>
          <w:rtl/>
        </w:rPr>
        <w:t xml:space="preserve"> </w:t>
      </w:r>
      <w:r w:rsidRPr="00211D07">
        <w:rPr>
          <w:rFonts w:hint="eastAsia"/>
          <w:rtl/>
        </w:rPr>
        <w:t>הארצי</w:t>
      </w:r>
      <w:r w:rsidRPr="00211D07">
        <w:rPr>
          <w:rtl/>
        </w:rPr>
        <w:t xml:space="preserve"> </w:t>
      </w:r>
      <w:r w:rsidRPr="00211D07">
        <w:rPr>
          <w:rFonts w:hint="cs"/>
          <w:rtl/>
        </w:rPr>
        <w:t>בנוגע</w:t>
      </w:r>
      <w:r w:rsidRPr="00211D07">
        <w:rPr>
          <w:rtl/>
        </w:rPr>
        <w:t xml:space="preserve"> </w:t>
      </w:r>
      <w:r w:rsidRPr="00211D07">
        <w:rPr>
          <w:rFonts w:hint="cs"/>
          <w:rtl/>
        </w:rPr>
        <w:t>ל</w:t>
      </w:r>
      <w:r w:rsidRPr="00211D07">
        <w:rPr>
          <w:rFonts w:hint="eastAsia"/>
          <w:rtl/>
        </w:rPr>
        <w:t>היקף</w:t>
      </w:r>
      <w:r w:rsidRPr="00211D07">
        <w:rPr>
          <w:rtl/>
        </w:rPr>
        <w:t xml:space="preserve"> </w:t>
      </w:r>
      <w:r w:rsidRPr="00211D07">
        <w:rPr>
          <w:rFonts w:hint="eastAsia"/>
          <w:rtl/>
        </w:rPr>
        <w:t>תופעת</w:t>
      </w:r>
      <w:r w:rsidRPr="00211D07">
        <w:rPr>
          <w:rtl/>
        </w:rPr>
        <w:t xml:space="preserve"> </w:t>
      </w:r>
      <w:r w:rsidRPr="00211D07">
        <w:rPr>
          <w:rFonts w:hint="eastAsia"/>
          <w:rtl/>
        </w:rPr>
        <w:t>השימוש</w:t>
      </w:r>
      <w:r w:rsidRPr="00211D07">
        <w:rPr>
          <w:rtl/>
        </w:rPr>
        <w:t xml:space="preserve"> </w:t>
      </w:r>
      <w:r w:rsidRPr="00211D07">
        <w:rPr>
          <w:rFonts w:hint="eastAsia"/>
          <w:rtl/>
        </w:rPr>
        <w:t>לרעה</w:t>
      </w:r>
      <w:r w:rsidRPr="00211D07">
        <w:rPr>
          <w:rtl/>
        </w:rPr>
        <w:t xml:space="preserve"> </w:t>
      </w:r>
      <w:r w:rsidRPr="00211D07">
        <w:rPr>
          <w:rFonts w:hint="eastAsia"/>
          <w:rtl/>
        </w:rPr>
        <w:t>וההתמכרות</w:t>
      </w:r>
      <w:r w:rsidRPr="00211D07">
        <w:rPr>
          <w:rtl/>
        </w:rPr>
        <w:t xml:space="preserve"> </w:t>
      </w:r>
      <w:r w:rsidRPr="00211D07">
        <w:rPr>
          <w:rFonts w:hint="eastAsia"/>
          <w:rtl/>
        </w:rPr>
        <w:t>לתרופות</w:t>
      </w:r>
      <w:r w:rsidRPr="00211D07">
        <w:rPr>
          <w:rtl/>
        </w:rPr>
        <w:t xml:space="preserve"> </w:t>
      </w:r>
      <w:r w:rsidRPr="00211D07">
        <w:rPr>
          <w:rFonts w:hint="eastAsia"/>
          <w:rtl/>
        </w:rPr>
        <w:t>מרשם</w:t>
      </w:r>
      <w:r w:rsidRPr="00211D07">
        <w:rPr>
          <w:rtl/>
        </w:rPr>
        <w:t xml:space="preserve">, בין היתר </w:t>
      </w:r>
      <w:r w:rsidRPr="00211D07">
        <w:rPr>
          <w:rFonts w:hint="eastAsia"/>
          <w:rtl/>
        </w:rPr>
        <w:t>על</w:t>
      </w:r>
      <w:r w:rsidRPr="00211D07">
        <w:rPr>
          <w:rtl/>
        </w:rPr>
        <w:t xml:space="preserve"> </w:t>
      </w:r>
      <w:r w:rsidRPr="00211D07">
        <w:rPr>
          <w:rFonts w:hint="eastAsia"/>
          <w:rtl/>
        </w:rPr>
        <w:t>בסיס</w:t>
      </w:r>
      <w:r w:rsidRPr="00211D07">
        <w:rPr>
          <w:rtl/>
        </w:rPr>
        <w:t xml:space="preserve"> </w:t>
      </w:r>
      <w:r w:rsidRPr="00211D07">
        <w:rPr>
          <w:rFonts w:hint="eastAsia"/>
          <w:rtl/>
        </w:rPr>
        <w:t>נתוני</w:t>
      </w:r>
      <w:r w:rsidRPr="00211D07">
        <w:rPr>
          <w:rtl/>
        </w:rPr>
        <w:t xml:space="preserve"> </w:t>
      </w:r>
      <w:r w:rsidRPr="00211D07">
        <w:rPr>
          <w:rFonts w:hint="eastAsia"/>
          <w:rtl/>
        </w:rPr>
        <w:t>קופות</w:t>
      </w:r>
      <w:r w:rsidRPr="00211D07">
        <w:rPr>
          <w:rtl/>
        </w:rPr>
        <w:t xml:space="preserve"> </w:t>
      </w:r>
      <w:r w:rsidRPr="00211D07">
        <w:rPr>
          <w:rFonts w:hint="eastAsia"/>
          <w:rtl/>
        </w:rPr>
        <w:t>החולים</w:t>
      </w:r>
      <w:r w:rsidRPr="00211D07">
        <w:rPr>
          <w:rFonts w:hint="cs"/>
          <w:rtl/>
        </w:rPr>
        <w:t>,</w:t>
      </w:r>
      <w:r w:rsidRPr="00211D07">
        <w:rPr>
          <w:rtl/>
        </w:rPr>
        <w:t xml:space="preserve"> ואף לפעול לאיסוף מידע</w:t>
      </w:r>
      <w:r w:rsidRPr="00211D07">
        <w:rPr>
          <w:rFonts w:hint="eastAsia"/>
          <w:rtl/>
        </w:rPr>
        <w:t xml:space="preserve"> </w:t>
      </w:r>
      <w:r w:rsidRPr="00211D07">
        <w:rPr>
          <w:rFonts w:hint="cs"/>
          <w:rtl/>
        </w:rPr>
        <w:t xml:space="preserve">גם </w:t>
      </w:r>
      <w:r w:rsidRPr="00211D07">
        <w:rPr>
          <w:rFonts w:hint="eastAsia"/>
          <w:rtl/>
        </w:rPr>
        <w:t>מרופאים</w:t>
      </w:r>
      <w:r w:rsidRPr="00211D07">
        <w:rPr>
          <w:rtl/>
        </w:rPr>
        <w:t xml:space="preserve"> </w:t>
      </w:r>
      <w:r w:rsidRPr="00211D07">
        <w:rPr>
          <w:rFonts w:hint="eastAsia"/>
          <w:rtl/>
        </w:rPr>
        <w:t>פרטיים</w:t>
      </w:r>
      <w:r w:rsidRPr="00211D07">
        <w:rPr>
          <w:rtl/>
        </w:rPr>
        <w:t xml:space="preserve"> באמצעות סקר </w:t>
      </w:r>
      <w:r w:rsidRPr="00211D07">
        <w:rPr>
          <w:rFonts w:hint="cs"/>
          <w:rtl/>
        </w:rPr>
        <w:t>א</w:t>
      </w:r>
      <w:r w:rsidRPr="00211D07">
        <w:rPr>
          <w:rtl/>
        </w:rPr>
        <w:t>ו באמצעים אחרים</w:t>
      </w:r>
      <w:r w:rsidRPr="00211D07">
        <w:rPr>
          <w:rFonts w:hint="cs"/>
          <w:rtl/>
        </w:rPr>
        <w:t>.</w:t>
      </w:r>
      <w:r w:rsidRPr="00290C9B" w:rsidR="00290C9B">
        <w:rPr>
          <w:noProof/>
          <w:szCs w:val="17"/>
          <w:rtl/>
        </w:rPr>
        <w:t xml:space="preserve"> </w:t>
      </w:r>
      <w:r w:rsidRPr="0012789B" w:rsidR="00290C9B">
        <w:rPr>
          <w:noProof/>
          <w:szCs w:val="17"/>
          <w:rtl/>
          <w:lang w:eastAsia="en-US"/>
        </w:rPr>
        <mc:AlternateContent>
          <mc:Choice Requires="wps">
            <w:drawing>
              <wp:anchor distT="0" distB="0" distL="114300" distR="114300" simplePos="0" relativeHeight="251672576" behindDoc="1" locked="0" layoutInCell="1" allowOverlap="1">
                <wp:simplePos x="0" y="0"/>
                <wp:positionH relativeFrom="margin">
                  <wp:posOffset>-431800</wp:posOffset>
                </wp:positionH>
                <wp:positionV relativeFrom="margin">
                  <wp:align>top</wp:align>
                </wp:positionV>
                <wp:extent cx="1620000" cy="4140000"/>
                <wp:effectExtent l="0" t="0" r="0" b="0"/>
                <wp:wrapNone/>
                <wp:docPr id="33"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290C9B" w:rsidRPr="00373C5D" w:rsidP="00290C9B">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65788613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835190"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290C9B" w:rsidRPr="00881D99" w:rsidP="00290C9B">
                            <w:pPr>
                              <w:spacing w:after="0" w:line="240" w:lineRule="auto"/>
                              <w:rPr>
                                <w:color w:val="0B5294"/>
                                <w:spacing w:val="-4"/>
                                <w:sz w:val="24"/>
                                <w:szCs w:val="24"/>
                                <w:rtl/>
                                <w:cs/>
                              </w:rPr>
                            </w:pPr>
                            <w:r w:rsidRPr="00335CD4">
                              <w:rPr>
                                <w:rFonts w:cs="Tahoma" w:hint="eastAsia"/>
                                <w:color w:val="0B5294"/>
                                <w:spacing w:val="-4"/>
                                <w:sz w:val="24"/>
                                <w:szCs w:val="24"/>
                                <w:rtl/>
                              </w:rPr>
                              <w:t>על</w:t>
                            </w:r>
                            <w:r w:rsidRPr="00335CD4">
                              <w:rPr>
                                <w:rFonts w:cs="Tahoma"/>
                                <w:color w:val="0B5294"/>
                                <w:spacing w:val="-4"/>
                                <w:sz w:val="24"/>
                                <w:szCs w:val="24"/>
                                <w:rtl/>
                              </w:rPr>
                              <w:t xml:space="preserve"> </w:t>
                            </w:r>
                            <w:r w:rsidRPr="00335CD4">
                              <w:rPr>
                                <w:rFonts w:cs="Tahoma" w:hint="eastAsia"/>
                                <w:color w:val="0B5294"/>
                                <w:spacing w:val="-4"/>
                                <w:sz w:val="24"/>
                                <w:szCs w:val="24"/>
                                <w:rtl/>
                              </w:rPr>
                              <w:t>משרד</w:t>
                            </w:r>
                            <w:r w:rsidRPr="00335CD4">
                              <w:rPr>
                                <w:rFonts w:cs="Tahoma"/>
                                <w:color w:val="0B5294"/>
                                <w:spacing w:val="-4"/>
                                <w:sz w:val="24"/>
                                <w:szCs w:val="24"/>
                                <w:rtl/>
                              </w:rPr>
                              <w:t xml:space="preserve"> </w:t>
                            </w:r>
                            <w:r w:rsidRPr="00335CD4">
                              <w:rPr>
                                <w:rFonts w:cs="Tahoma" w:hint="eastAsia"/>
                                <w:color w:val="0B5294"/>
                                <w:spacing w:val="-4"/>
                                <w:sz w:val="24"/>
                                <w:szCs w:val="24"/>
                                <w:rtl/>
                              </w:rPr>
                              <w:t>הבריאות</w:t>
                            </w:r>
                            <w:r w:rsidRPr="00335CD4">
                              <w:rPr>
                                <w:rFonts w:cs="Tahoma"/>
                                <w:color w:val="0B5294"/>
                                <w:spacing w:val="-4"/>
                                <w:sz w:val="24"/>
                                <w:szCs w:val="24"/>
                                <w:rtl/>
                              </w:rPr>
                              <w:t xml:space="preserve"> </w:t>
                            </w:r>
                            <w:r w:rsidRPr="00335CD4">
                              <w:rPr>
                                <w:rFonts w:cs="Tahoma" w:hint="eastAsia"/>
                                <w:color w:val="0B5294"/>
                                <w:spacing w:val="-4"/>
                                <w:sz w:val="24"/>
                                <w:szCs w:val="24"/>
                                <w:rtl/>
                              </w:rPr>
                              <w:t>לגבש</w:t>
                            </w:r>
                            <w:r w:rsidRPr="00335CD4">
                              <w:rPr>
                                <w:rFonts w:cs="Tahoma"/>
                                <w:color w:val="0B5294"/>
                                <w:spacing w:val="-4"/>
                                <w:sz w:val="24"/>
                                <w:szCs w:val="24"/>
                                <w:rtl/>
                              </w:rPr>
                              <w:t xml:space="preserve"> </w:t>
                            </w:r>
                            <w:r w:rsidRPr="00335CD4">
                              <w:rPr>
                                <w:rFonts w:cs="Tahoma" w:hint="eastAsia"/>
                                <w:color w:val="0B5294"/>
                                <w:spacing w:val="-4"/>
                                <w:sz w:val="24"/>
                                <w:szCs w:val="24"/>
                                <w:rtl/>
                              </w:rPr>
                              <w:t>בהקדם</w:t>
                            </w:r>
                            <w:r w:rsidRPr="00335CD4">
                              <w:rPr>
                                <w:rFonts w:cs="Tahoma"/>
                                <w:color w:val="0B5294"/>
                                <w:spacing w:val="-4"/>
                                <w:sz w:val="24"/>
                                <w:szCs w:val="24"/>
                                <w:rtl/>
                              </w:rPr>
                              <w:t xml:space="preserve"> </w:t>
                            </w:r>
                            <w:r w:rsidRPr="00335CD4">
                              <w:rPr>
                                <w:rFonts w:cs="Tahoma" w:hint="eastAsia"/>
                                <w:color w:val="0B5294"/>
                                <w:spacing w:val="-4"/>
                                <w:sz w:val="24"/>
                                <w:szCs w:val="24"/>
                                <w:rtl/>
                              </w:rPr>
                              <w:t>את</w:t>
                            </w:r>
                            <w:r w:rsidRPr="00335CD4">
                              <w:rPr>
                                <w:rFonts w:cs="Tahoma"/>
                                <w:color w:val="0B5294"/>
                                <w:spacing w:val="-4"/>
                                <w:sz w:val="24"/>
                                <w:szCs w:val="24"/>
                                <w:rtl/>
                              </w:rPr>
                              <w:t xml:space="preserve"> </w:t>
                            </w:r>
                            <w:r w:rsidRPr="00335CD4">
                              <w:rPr>
                                <w:rFonts w:cs="Tahoma" w:hint="eastAsia"/>
                                <w:color w:val="0B5294"/>
                                <w:spacing w:val="-4"/>
                                <w:sz w:val="24"/>
                                <w:szCs w:val="24"/>
                                <w:rtl/>
                              </w:rPr>
                              <w:t>מסד</w:t>
                            </w:r>
                            <w:r w:rsidRPr="00335CD4">
                              <w:rPr>
                                <w:rFonts w:cs="Tahoma"/>
                                <w:color w:val="0B5294"/>
                                <w:spacing w:val="-4"/>
                                <w:sz w:val="24"/>
                                <w:szCs w:val="24"/>
                                <w:rtl/>
                              </w:rPr>
                              <w:t xml:space="preserve"> </w:t>
                            </w:r>
                            <w:r w:rsidRPr="00335CD4">
                              <w:rPr>
                                <w:rFonts w:cs="Tahoma" w:hint="eastAsia"/>
                                <w:color w:val="0B5294"/>
                                <w:spacing w:val="-4"/>
                                <w:sz w:val="24"/>
                                <w:szCs w:val="24"/>
                                <w:rtl/>
                              </w:rPr>
                              <w:t>הנתונים</w:t>
                            </w:r>
                            <w:r w:rsidRPr="00335CD4">
                              <w:rPr>
                                <w:rFonts w:cs="Tahoma"/>
                                <w:color w:val="0B5294"/>
                                <w:spacing w:val="-4"/>
                                <w:sz w:val="24"/>
                                <w:szCs w:val="24"/>
                                <w:rtl/>
                              </w:rPr>
                              <w:t xml:space="preserve"> </w:t>
                            </w:r>
                            <w:r w:rsidRPr="00335CD4">
                              <w:rPr>
                                <w:rFonts w:cs="Tahoma" w:hint="eastAsia"/>
                                <w:color w:val="0B5294"/>
                                <w:spacing w:val="-4"/>
                                <w:sz w:val="24"/>
                                <w:szCs w:val="24"/>
                                <w:rtl/>
                              </w:rPr>
                              <w:t>הארצי</w:t>
                            </w:r>
                            <w:r w:rsidRPr="00335CD4">
                              <w:rPr>
                                <w:rFonts w:cs="Tahoma"/>
                                <w:color w:val="0B5294"/>
                                <w:spacing w:val="-4"/>
                                <w:sz w:val="24"/>
                                <w:szCs w:val="24"/>
                                <w:rtl/>
                              </w:rPr>
                              <w:t xml:space="preserve"> </w:t>
                            </w:r>
                            <w:r w:rsidRPr="00335CD4">
                              <w:rPr>
                                <w:rFonts w:cs="Tahoma" w:hint="eastAsia"/>
                                <w:color w:val="0B5294"/>
                                <w:spacing w:val="-4"/>
                                <w:sz w:val="24"/>
                                <w:szCs w:val="24"/>
                                <w:rtl/>
                              </w:rPr>
                              <w:t>בנוגע</w:t>
                            </w:r>
                            <w:r w:rsidRPr="00335CD4">
                              <w:rPr>
                                <w:rFonts w:cs="Tahoma"/>
                                <w:color w:val="0B5294"/>
                                <w:spacing w:val="-4"/>
                                <w:sz w:val="24"/>
                                <w:szCs w:val="24"/>
                                <w:rtl/>
                              </w:rPr>
                              <w:t xml:space="preserve"> </w:t>
                            </w:r>
                            <w:r w:rsidRPr="00335CD4">
                              <w:rPr>
                                <w:rFonts w:cs="Tahoma" w:hint="eastAsia"/>
                                <w:color w:val="0B5294"/>
                                <w:spacing w:val="-4"/>
                                <w:sz w:val="24"/>
                                <w:szCs w:val="24"/>
                                <w:rtl/>
                              </w:rPr>
                              <w:t>להיקף</w:t>
                            </w:r>
                            <w:r w:rsidRPr="00335CD4">
                              <w:rPr>
                                <w:rFonts w:cs="Tahoma"/>
                                <w:color w:val="0B5294"/>
                                <w:spacing w:val="-4"/>
                                <w:sz w:val="24"/>
                                <w:szCs w:val="24"/>
                                <w:rtl/>
                              </w:rPr>
                              <w:t xml:space="preserve"> </w:t>
                            </w:r>
                            <w:r w:rsidRPr="00335CD4">
                              <w:rPr>
                                <w:rFonts w:cs="Tahoma" w:hint="eastAsia"/>
                                <w:color w:val="0B5294"/>
                                <w:spacing w:val="-4"/>
                                <w:sz w:val="24"/>
                                <w:szCs w:val="24"/>
                                <w:rtl/>
                              </w:rPr>
                              <w:t>תופעת</w:t>
                            </w:r>
                            <w:r w:rsidRPr="00335CD4">
                              <w:rPr>
                                <w:rFonts w:cs="Tahoma"/>
                                <w:color w:val="0B5294"/>
                                <w:spacing w:val="-4"/>
                                <w:sz w:val="24"/>
                                <w:szCs w:val="24"/>
                                <w:rtl/>
                              </w:rPr>
                              <w:t xml:space="preserve"> </w:t>
                            </w:r>
                            <w:r w:rsidRPr="00335CD4">
                              <w:rPr>
                                <w:rFonts w:cs="Tahoma" w:hint="eastAsia"/>
                                <w:color w:val="0B5294"/>
                                <w:spacing w:val="-4"/>
                                <w:sz w:val="24"/>
                                <w:szCs w:val="24"/>
                                <w:rtl/>
                              </w:rPr>
                              <w:t>ההתמכרות</w:t>
                            </w:r>
                            <w:r w:rsidRPr="00335CD4">
                              <w:rPr>
                                <w:rFonts w:cs="Tahoma"/>
                                <w:color w:val="0B5294"/>
                                <w:spacing w:val="-4"/>
                                <w:sz w:val="24"/>
                                <w:szCs w:val="24"/>
                                <w:rtl/>
                              </w:rPr>
                              <w:t xml:space="preserve"> </w:t>
                            </w:r>
                            <w:r w:rsidRPr="00335CD4">
                              <w:rPr>
                                <w:rFonts w:cs="Tahoma" w:hint="eastAsia"/>
                                <w:color w:val="0B5294"/>
                                <w:spacing w:val="-4"/>
                                <w:sz w:val="24"/>
                                <w:szCs w:val="24"/>
                                <w:rtl/>
                              </w:rPr>
                              <w:t>לתרופות</w:t>
                            </w:r>
                            <w:r w:rsidRPr="00335CD4">
                              <w:rPr>
                                <w:rFonts w:cs="Tahoma"/>
                                <w:color w:val="0B5294"/>
                                <w:spacing w:val="-4"/>
                                <w:sz w:val="24"/>
                                <w:szCs w:val="24"/>
                                <w:rtl/>
                              </w:rPr>
                              <w:t xml:space="preserve"> </w:t>
                            </w:r>
                            <w:r w:rsidRPr="00335CD4">
                              <w:rPr>
                                <w:rFonts w:cs="Tahoma" w:hint="eastAsia"/>
                                <w:color w:val="0B5294"/>
                                <w:spacing w:val="-4"/>
                                <w:sz w:val="24"/>
                                <w:szCs w:val="24"/>
                                <w:rtl/>
                              </w:rPr>
                              <w:t>מרשם</w:t>
                            </w:r>
                          </w:p>
                          <w:p w:rsidR="00290C9B" w:rsidRPr="00373C5D" w:rsidP="00290C9B">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80572992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718070"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3"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2880" filled="f" stroked="f">
                <v:textbox>
                  <w:txbxContent>
                    <w:p w:rsidR="00290C9B" w:rsidRPr="00373C5D" w:rsidP="00290C9B">
                      <w:pPr>
                        <w:spacing w:line="240" w:lineRule="atLeast"/>
                        <w:rPr>
                          <w:rFonts w:cs="Tahoma"/>
                          <w:b/>
                          <w:bCs/>
                          <w:color w:val="0B5294"/>
                          <w:sz w:val="48"/>
                          <w:szCs w:val="48"/>
                          <w:rtl/>
                        </w:rPr>
                      </w:pPr>
                      <w:drawing>
                        <wp:inline distT="0" distB="0" distL="0" distR="0">
                          <wp:extent cx="311150" cy="256800"/>
                          <wp:effectExtent l="0" t="0" r="0" b="0"/>
                          <wp:docPr id="3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602518"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290C9B" w:rsidRPr="00881D99" w:rsidP="00290C9B">
                      <w:pPr>
                        <w:spacing w:after="0" w:line="240" w:lineRule="auto"/>
                        <w:rPr>
                          <w:color w:val="0B5294"/>
                          <w:spacing w:val="-4"/>
                          <w:sz w:val="24"/>
                          <w:szCs w:val="24"/>
                          <w:rtl/>
                          <w:cs/>
                        </w:rPr>
                      </w:pPr>
                      <w:r w:rsidRPr="00335CD4">
                        <w:rPr>
                          <w:rFonts w:cs="Tahoma" w:hint="eastAsia"/>
                          <w:color w:val="0B5294"/>
                          <w:spacing w:val="-4"/>
                          <w:sz w:val="24"/>
                          <w:szCs w:val="24"/>
                          <w:rtl/>
                        </w:rPr>
                        <w:t>על</w:t>
                      </w:r>
                      <w:r w:rsidRPr="00335CD4">
                        <w:rPr>
                          <w:rFonts w:cs="Tahoma"/>
                          <w:color w:val="0B5294"/>
                          <w:spacing w:val="-4"/>
                          <w:sz w:val="24"/>
                          <w:szCs w:val="24"/>
                          <w:rtl/>
                        </w:rPr>
                        <w:t xml:space="preserve"> </w:t>
                      </w:r>
                      <w:r w:rsidRPr="00335CD4">
                        <w:rPr>
                          <w:rFonts w:cs="Tahoma" w:hint="eastAsia"/>
                          <w:color w:val="0B5294"/>
                          <w:spacing w:val="-4"/>
                          <w:sz w:val="24"/>
                          <w:szCs w:val="24"/>
                          <w:rtl/>
                        </w:rPr>
                        <w:t>משרד</w:t>
                      </w:r>
                      <w:r w:rsidRPr="00335CD4">
                        <w:rPr>
                          <w:rFonts w:cs="Tahoma"/>
                          <w:color w:val="0B5294"/>
                          <w:spacing w:val="-4"/>
                          <w:sz w:val="24"/>
                          <w:szCs w:val="24"/>
                          <w:rtl/>
                        </w:rPr>
                        <w:t xml:space="preserve"> </w:t>
                      </w:r>
                      <w:r w:rsidRPr="00335CD4">
                        <w:rPr>
                          <w:rFonts w:cs="Tahoma" w:hint="eastAsia"/>
                          <w:color w:val="0B5294"/>
                          <w:spacing w:val="-4"/>
                          <w:sz w:val="24"/>
                          <w:szCs w:val="24"/>
                          <w:rtl/>
                        </w:rPr>
                        <w:t>הבריאות</w:t>
                      </w:r>
                      <w:r w:rsidRPr="00335CD4">
                        <w:rPr>
                          <w:rFonts w:cs="Tahoma"/>
                          <w:color w:val="0B5294"/>
                          <w:spacing w:val="-4"/>
                          <w:sz w:val="24"/>
                          <w:szCs w:val="24"/>
                          <w:rtl/>
                        </w:rPr>
                        <w:t xml:space="preserve"> </w:t>
                      </w:r>
                      <w:r w:rsidRPr="00335CD4">
                        <w:rPr>
                          <w:rFonts w:cs="Tahoma" w:hint="eastAsia"/>
                          <w:color w:val="0B5294"/>
                          <w:spacing w:val="-4"/>
                          <w:sz w:val="24"/>
                          <w:szCs w:val="24"/>
                          <w:rtl/>
                        </w:rPr>
                        <w:t>לגבש</w:t>
                      </w:r>
                      <w:r w:rsidRPr="00335CD4">
                        <w:rPr>
                          <w:rFonts w:cs="Tahoma"/>
                          <w:color w:val="0B5294"/>
                          <w:spacing w:val="-4"/>
                          <w:sz w:val="24"/>
                          <w:szCs w:val="24"/>
                          <w:rtl/>
                        </w:rPr>
                        <w:t xml:space="preserve"> </w:t>
                      </w:r>
                      <w:r w:rsidRPr="00335CD4">
                        <w:rPr>
                          <w:rFonts w:cs="Tahoma" w:hint="eastAsia"/>
                          <w:color w:val="0B5294"/>
                          <w:spacing w:val="-4"/>
                          <w:sz w:val="24"/>
                          <w:szCs w:val="24"/>
                          <w:rtl/>
                        </w:rPr>
                        <w:t>בהקדם</w:t>
                      </w:r>
                      <w:r w:rsidRPr="00335CD4">
                        <w:rPr>
                          <w:rFonts w:cs="Tahoma"/>
                          <w:color w:val="0B5294"/>
                          <w:spacing w:val="-4"/>
                          <w:sz w:val="24"/>
                          <w:szCs w:val="24"/>
                          <w:rtl/>
                        </w:rPr>
                        <w:t xml:space="preserve"> </w:t>
                      </w:r>
                      <w:r w:rsidRPr="00335CD4">
                        <w:rPr>
                          <w:rFonts w:cs="Tahoma" w:hint="eastAsia"/>
                          <w:color w:val="0B5294"/>
                          <w:spacing w:val="-4"/>
                          <w:sz w:val="24"/>
                          <w:szCs w:val="24"/>
                          <w:rtl/>
                        </w:rPr>
                        <w:t>את</w:t>
                      </w:r>
                      <w:r w:rsidRPr="00335CD4">
                        <w:rPr>
                          <w:rFonts w:cs="Tahoma"/>
                          <w:color w:val="0B5294"/>
                          <w:spacing w:val="-4"/>
                          <w:sz w:val="24"/>
                          <w:szCs w:val="24"/>
                          <w:rtl/>
                        </w:rPr>
                        <w:t xml:space="preserve"> </w:t>
                      </w:r>
                      <w:r w:rsidRPr="00335CD4">
                        <w:rPr>
                          <w:rFonts w:cs="Tahoma" w:hint="eastAsia"/>
                          <w:color w:val="0B5294"/>
                          <w:spacing w:val="-4"/>
                          <w:sz w:val="24"/>
                          <w:szCs w:val="24"/>
                          <w:rtl/>
                        </w:rPr>
                        <w:t>מסד</w:t>
                      </w:r>
                      <w:r w:rsidRPr="00335CD4">
                        <w:rPr>
                          <w:rFonts w:cs="Tahoma"/>
                          <w:color w:val="0B5294"/>
                          <w:spacing w:val="-4"/>
                          <w:sz w:val="24"/>
                          <w:szCs w:val="24"/>
                          <w:rtl/>
                        </w:rPr>
                        <w:t xml:space="preserve"> </w:t>
                      </w:r>
                      <w:r w:rsidRPr="00335CD4">
                        <w:rPr>
                          <w:rFonts w:cs="Tahoma" w:hint="eastAsia"/>
                          <w:color w:val="0B5294"/>
                          <w:spacing w:val="-4"/>
                          <w:sz w:val="24"/>
                          <w:szCs w:val="24"/>
                          <w:rtl/>
                        </w:rPr>
                        <w:t>הנתונים</w:t>
                      </w:r>
                      <w:r w:rsidRPr="00335CD4">
                        <w:rPr>
                          <w:rFonts w:cs="Tahoma"/>
                          <w:color w:val="0B5294"/>
                          <w:spacing w:val="-4"/>
                          <w:sz w:val="24"/>
                          <w:szCs w:val="24"/>
                          <w:rtl/>
                        </w:rPr>
                        <w:t xml:space="preserve"> </w:t>
                      </w:r>
                      <w:r w:rsidRPr="00335CD4">
                        <w:rPr>
                          <w:rFonts w:cs="Tahoma" w:hint="eastAsia"/>
                          <w:color w:val="0B5294"/>
                          <w:spacing w:val="-4"/>
                          <w:sz w:val="24"/>
                          <w:szCs w:val="24"/>
                          <w:rtl/>
                        </w:rPr>
                        <w:t>הארצי</w:t>
                      </w:r>
                      <w:r w:rsidRPr="00335CD4">
                        <w:rPr>
                          <w:rFonts w:cs="Tahoma"/>
                          <w:color w:val="0B5294"/>
                          <w:spacing w:val="-4"/>
                          <w:sz w:val="24"/>
                          <w:szCs w:val="24"/>
                          <w:rtl/>
                        </w:rPr>
                        <w:t xml:space="preserve"> </w:t>
                      </w:r>
                      <w:r w:rsidRPr="00335CD4">
                        <w:rPr>
                          <w:rFonts w:cs="Tahoma" w:hint="eastAsia"/>
                          <w:color w:val="0B5294"/>
                          <w:spacing w:val="-4"/>
                          <w:sz w:val="24"/>
                          <w:szCs w:val="24"/>
                          <w:rtl/>
                        </w:rPr>
                        <w:t>בנוגע</w:t>
                      </w:r>
                      <w:r w:rsidRPr="00335CD4">
                        <w:rPr>
                          <w:rFonts w:cs="Tahoma"/>
                          <w:color w:val="0B5294"/>
                          <w:spacing w:val="-4"/>
                          <w:sz w:val="24"/>
                          <w:szCs w:val="24"/>
                          <w:rtl/>
                        </w:rPr>
                        <w:t xml:space="preserve"> </w:t>
                      </w:r>
                      <w:r w:rsidRPr="00335CD4">
                        <w:rPr>
                          <w:rFonts w:cs="Tahoma" w:hint="eastAsia"/>
                          <w:color w:val="0B5294"/>
                          <w:spacing w:val="-4"/>
                          <w:sz w:val="24"/>
                          <w:szCs w:val="24"/>
                          <w:rtl/>
                        </w:rPr>
                        <w:t>להיקף</w:t>
                      </w:r>
                      <w:r w:rsidRPr="00335CD4">
                        <w:rPr>
                          <w:rFonts w:cs="Tahoma"/>
                          <w:color w:val="0B5294"/>
                          <w:spacing w:val="-4"/>
                          <w:sz w:val="24"/>
                          <w:szCs w:val="24"/>
                          <w:rtl/>
                        </w:rPr>
                        <w:t xml:space="preserve"> </w:t>
                      </w:r>
                      <w:r w:rsidRPr="00335CD4">
                        <w:rPr>
                          <w:rFonts w:cs="Tahoma" w:hint="eastAsia"/>
                          <w:color w:val="0B5294"/>
                          <w:spacing w:val="-4"/>
                          <w:sz w:val="24"/>
                          <w:szCs w:val="24"/>
                          <w:rtl/>
                        </w:rPr>
                        <w:t>תופעת</w:t>
                      </w:r>
                      <w:r w:rsidRPr="00335CD4">
                        <w:rPr>
                          <w:rFonts w:cs="Tahoma"/>
                          <w:color w:val="0B5294"/>
                          <w:spacing w:val="-4"/>
                          <w:sz w:val="24"/>
                          <w:szCs w:val="24"/>
                          <w:rtl/>
                        </w:rPr>
                        <w:t xml:space="preserve"> </w:t>
                      </w:r>
                      <w:r w:rsidRPr="00335CD4">
                        <w:rPr>
                          <w:rFonts w:cs="Tahoma" w:hint="eastAsia"/>
                          <w:color w:val="0B5294"/>
                          <w:spacing w:val="-4"/>
                          <w:sz w:val="24"/>
                          <w:szCs w:val="24"/>
                          <w:rtl/>
                        </w:rPr>
                        <w:t>ההתמכרות</w:t>
                      </w:r>
                      <w:r w:rsidRPr="00335CD4">
                        <w:rPr>
                          <w:rFonts w:cs="Tahoma"/>
                          <w:color w:val="0B5294"/>
                          <w:spacing w:val="-4"/>
                          <w:sz w:val="24"/>
                          <w:szCs w:val="24"/>
                          <w:rtl/>
                        </w:rPr>
                        <w:t xml:space="preserve"> </w:t>
                      </w:r>
                      <w:r w:rsidRPr="00335CD4">
                        <w:rPr>
                          <w:rFonts w:cs="Tahoma" w:hint="eastAsia"/>
                          <w:color w:val="0B5294"/>
                          <w:spacing w:val="-4"/>
                          <w:sz w:val="24"/>
                          <w:szCs w:val="24"/>
                          <w:rtl/>
                        </w:rPr>
                        <w:t>לתרופות</w:t>
                      </w:r>
                      <w:r w:rsidRPr="00335CD4">
                        <w:rPr>
                          <w:rFonts w:cs="Tahoma"/>
                          <w:color w:val="0B5294"/>
                          <w:spacing w:val="-4"/>
                          <w:sz w:val="24"/>
                          <w:szCs w:val="24"/>
                          <w:rtl/>
                        </w:rPr>
                        <w:t xml:space="preserve"> </w:t>
                      </w:r>
                      <w:r w:rsidRPr="00335CD4">
                        <w:rPr>
                          <w:rFonts w:cs="Tahoma" w:hint="eastAsia"/>
                          <w:color w:val="0B5294"/>
                          <w:spacing w:val="-4"/>
                          <w:sz w:val="24"/>
                          <w:szCs w:val="24"/>
                          <w:rtl/>
                        </w:rPr>
                        <w:t>מרשם</w:t>
                      </w:r>
                    </w:p>
                    <w:p w:rsidR="00290C9B" w:rsidRPr="00373C5D" w:rsidP="00290C9B">
                      <w:pPr>
                        <w:spacing w:before="120" w:after="0" w:line="240" w:lineRule="atLeast"/>
                        <w:rPr>
                          <w:rFonts w:cs="Tahoma"/>
                          <w:b/>
                          <w:bCs/>
                          <w:color w:val="0B5294"/>
                          <w:sz w:val="48"/>
                          <w:szCs w:val="48"/>
                          <w:rtl/>
                        </w:rPr>
                      </w:pPr>
                      <w:drawing>
                        <wp:inline distT="0" distB="0" distL="0" distR="0">
                          <wp:extent cx="288000" cy="31337"/>
                          <wp:effectExtent l="0" t="0" r="0" b="6985"/>
                          <wp:docPr id="3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814150"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9B6D36" w:rsidRPr="00211D07" w:rsidP="00211D07">
      <w:pPr>
        <w:spacing w:line="240" w:lineRule="exact"/>
        <w:ind w:right="2268"/>
        <w:jc w:val="both"/>
        <w:rPr>
          <w:rFonts w:ascii="Tahoma" w:hAnsi="Tahoma" w:cs="Tahoma"/>
          <w:sz w:val="18"/>
          <w:szCs w:val="18"/>
          <w:rtl/>
        </w:rPr>
      </w:pPr>
    </w:p>
    <w:p w:rsidR="009B6D36" w:rsidRPr="00560F4B" w:rsidP="00211D07">
      <w:pPr>
        <w:pStyle w:val="KOT2"/>
        <w:rPr>
          <w:rtl/>
        </w:rPr>
      </w:pPr>
      <w:r w:rsidRPr="00560F4B">
        <w:rPr>
          <w:rFonts w:hint="cs"/>
          <w:rtl/>
        </w:rPr>
        <w:t>הטיפול במכורים</w:t>
      </w:r>
    </w:p>
    <w:p w:rsidR="009B6D36" w:rsidRPr="00211D07" w:rsidP="00211D07">
      <w:pPr>
        <w:spacing w:line="240" w:lineRule="exact"/>
        <w:ind w:right="2268"/>
        <w:jc w:val="both"/>
        <w:rPr>
          <w:rFonts w:ascii="Tahoma" w:hAnsi="Tahoma" w:cs="Tahoma"/>
          <w:sz w:val="18"/>
          <w:szCs w:val="18"/>
          <w:rtl/>
          <w:lang w:eastAsia="he-IL"/>
        </w:rPr>
      </w:pPr>
      <w:r w:rsidRPr="00211D07">
        <w:rPr>
          <w:rFonts w:ascii="Tahoma" w:hAnsi="Tahoma" w:cs="Tahoma" w:hint="cs"/>
          <w:sz w:val="18"/>
          <w:szCs w:val="18"/>
          <w:rtl/>
          <w:lang w:eastAsia="he-IL"/>
        </w:rPr>
        <w:t xml:space="preserve">השלב הטיפולי הראשון לאחר איתור המכור הוא שלב הגמילה הגופנית </w:t>
      </w:r>
      <w:r w:rsidRPr="00211D07">
        <w:rPr>
          <w:rFonts w:ascii="Tahoma" w:hAnsi="Tahoma" w:cs="Tahoma" w:hint="cs"/>
          <w:sz w:val="18"/>
          <w:szCs w:val="18"/>
          <w:rtl/>
        </w:rPr>
        <w:t>המתבצע לרוב ב</w:t>
      </w:r>
      <w:r w:rsidRPr="00211D07">
        <w:rPr>
          <w:rFonts w:ascii="Tahoma" w:hAnsi="Tahoma" w:cs="Tahoma"/>
          <w:sz w:val="18"/>
          <w:szCs w:val="18"/>
          <w:rtl/>
        </w:rPr>
        <w:t>מסגרות אשפוזיות</w:t>
      </w:r>
      <w:r w:rsidRPr="00211D07">
        <w:rPr>
          <w:rFonts w:ascii="Tahoma" w:hAnsi="Tahoma" w:cs="Tahoma" w:hint="cs"/>
          <w:sz w:val="18"/>
          <w:szCs w:val="18"/>
          <w:rtl/>
        </w:rPr>
        <w:t xml:space="preserve"> שבאחריות משרד הבריאות (להלן - אשפוזיות). </w:t>
      </w:r>
      <w:r w:rsidRPr="00211D07">
        <w:rPr>
          <w:rFonts w:ascii="Tahoma" w:hAnsi="Tahoma" w:cs="Tahoma" w:hint="cs"/>
          <w:sz w:val="18"/>
          <w:szCs w:val="18"/>
          <w:rtl/>
          <w:lang w:eastAsia="he-IL"/>
        </w:rPr>
        <w:t xml:space="preserve">באשפוזית שוהה המכור בין שבועיים לשלושה שבועות כשמדובר בבוגר ועד שלושה חודשים בצעירים. </w:t>
      </w:r>
      <w:r w:rsidRPr="00211D07">
        <w:rPr>
          <w:rFonts w:ascii="Tahoma" w:hAnsi="Tahoma" w:cs="Tahoma" w:hint="cs"/>
          <w:b/>
          <w:sz w:val="18"/>
          <w:szCs w:val="18"/>
          <w:rtl/>
        </w:rPr>
        <w:t xml:space="preserve">במועד הביקורת פעלו בארץ שמונה אשפוזיות במימון משרד הבריאות; </w:t>
      </w:r>
      <w:r w:rsidRPr="00211D07">
        <w:rPr>
          <w:rFonts w:ascii="Tahoma" w:hAnsi="Tahoma" w:cs="Tahoma"/>
          <w:sz w:val="18"/>
          <w:szCs w:val="18"/>
          <w:rtl/>
        </w:rPr>
        <w:t>בשנת 2017 טופלו באשפוזיות אלה כ-2,50</w:t>
      </w:r>
      <w:r w:rsidRPr="00211D07">
        <w:rPr>
          <w:rFonts w:ascii="Tahoma" w:hAnsi="Tahoma" w:cs="Tahoma" w:hint="cs"/>
          <w:sz w:val="18"/>
          <w:szCs w:val="18"/>
          <w:rtl/>
        </w:rPr>
        <w:t>0</w:t>
      </w:r>
      <w:r w:rsidRPr="00211D07">
        <w:rPr>
          <w:rFonts w:ascii="Tahoma" w:hAnsi="Tahoma" w:cs="Tahoma"/>
          <w:sz w:val="18"/>
          <w:szCs w:val="18"/>
          <w:rtl/>
        </w:rPr>
        <w:t xml:space="preserve"> מכורים</w:t>
      </w:r>
      <w:r w:rsidRPr="00211D07">
        <w:rPr>
          <w:rFonts w:ascii="Tahoma" w:hAnsi="Tahoma" w:cs="Tahoma" w:hint="cs"/>
          <w:sz w:val="18"/>
          <w:szCs w:val="18"/>
          <w:rtl/>
        </w:rPr>
        <w:t xml:space="preserve">. </w:t>
      </w:r>
    </w:p>
    <w:p w:rsidR="009B6D36" w:rsidRPr="00211D07" w:rsidP="00211D07">
      <w:pPr>
        <w:spacing w:line="240" w:lineRule="exact"/>
        <w:ind w:right="2268"/>
        <w:jc w:val="both"/>
        <w:rPr>
          <w:rFonts w:ascii="Tahoma" w:hAnsi="Tahoma" w:cs="Tahoma"/>
          <w:sz w:val="18"/>
          <w:szCs w:val="18"/>
          <w:rtl/>
        </w:rPr>
      </w:pPr>
      <w:r w:rsidRPr="00211D07">
        <w:rPr>
          <w:rFonts w:ascii="Tahoma" w:hAnsi="Tahoma" w:cs="Tahoma" w:hint="cs"/>
          <w:sz w:val="18"/>
          <w:szCs w:val="18"/>
          <w:rtl/>
          <w:lang w:eastAsia="he-IL"/>
        </w:rPr>
        <w:t xml:space="preserve">לאחר שלב הגמילה הגופנית מגיע שלב הטיפול הפסיכו-סוציאלי שלו אחראי השירות להתמכרויות במשרד הרווחה. ככלל, הטיפול הפסיכו-סוציאלי מתקיים במסגרת של קהילות טיפוליות או באמצעות היחידות לטיפול בהתמכרויות. </w:t>
      </w:r>
    </w:p>
    <w:p w:rsidR="009B6D36" w:rsidRPr="00211D07" w:rsidP="00211D07">
      <w:pPr>
        <w:spacing w:line="240" w:lineRule="exact"/>
        <w:ind w:right="2268"/>
        <w:jc w:val="both"/>
        <w:rPr>
          <w:rFonts w:ascii="Tahoma" w:hAnsi="Tahoma" w:cs="Tahoma"/>
          <w:sz w:val="18"/>
          <w:szCs w:val="18"/>
        </w:rPr>
      </w:pPr>
    </w:p>
    <w:p w:rsidR="009B6D36" w:rsidRPr="00211D07" w:rsidP="00211D07">
      <w:pPr>
        <w:spacing w:line="240" w:lineRule="exact"/>
        <w:ind w:right="2268"/>
        <w:jc w:val="both"/>
        <w:rPr>
          <w:rFonts w:ascii="Tahoma" w:hAnsi="Tahoma" w:cs="Tahoma"/>
          <w:sz w:val="18"/>
          <w:szCs w:val="18"/>
          <w:rtl/>
        </w:rPr>
      </w:pPr>
    </w:p>
    <w:p w:rsidR="009B6D36" w:rsidP="00211D07">
      <w:pPr>
        <w:pStyle w:val="KOT4"/>
        <w:rPr>
          <w:rtl/>
        </w:rPr>
      </w:pPr>
      <w:r>
        <w:rPr>
          <w:rFonts w:hint="cs"/>
          <w:rtl/>
        </w:rPr>
        <w:t>שלב הגמילה הגופנית - מסגרות אשפוזיות</w:t>
      </w:r>
    </w:p>
    <w:p w:rsidR="009B6D36" w:rsidRPr="00C1371B" w:rsidP="00211D07">
      <w:pPr>
        <w:pStyle w:val="KOT5"/>
        <w:rPr>
          <w:rtl/>
        </w:rPr>
      </w:pPr>
      <w:r>
        <w:rPr>
          <w:rFonts w:hint="cs"/>
          <w:rtl/>
        </w:rPr>
        <w:t>רצף טיפולי במכור שלא סיים את תהליך הגמילה הגופנית</w:t>
      </w:r>
    </w:p>
    <w:p w:rsidR="009B6D36" w:rsidRPr="00211D07" w:rsidP="00211D07">
      <w:pPr>
        <w:spacing w:line="240" w:lineRule="exact"/>
        <w:ind w:right="2268"/>
        <w:jc w:val="both"/>
        <w:rPr>
          <w:rFonts w:ascii="Tahoma" w:hAnsi="Tahoma" w:cs="Tahoma"/>
          <w:sz w:val="18"/>
          <w:szCs w:val="18"/>
          <w:rtl/>
        </w:rPr>
      </w:pPr>
      <w:r w:rsidRPr="00211D07">
        <w:rPr>
          <w:rFonts w:ascii="Tahoma" w:hAnsi="Tahoma" w:cs="Tahoma" w:hint="cs"/>
          <w:sz w:val="18"/>
          <w:szCs w:val="18"/>
          <w:rtl/>
        </w:rPr>
        <w:t xml:space="preserve">הגמילה הגופנית היא השלב הראשון בתהליך הגמילה ולכן נודעת לה חשיבות רבה. לפי נוהל משרד הבריאות </w:t>
      </w:r>
      <w:r w:rsidRPr="00211D07">
        <w:rPr>
          <w:rFonts w:ascii="Tahoma" w:hAnsi="Tahoma" w:cs="Tahoma"/>
          <w:sz w:val="18"/>
          <w:szCs w:val="18"/>
          <w:rtl/>
        </w:rPr>
        <w:t>לקבלה ו</w:t>
      </w:r>
      <w:r w:rsidRPr="00211D07">
        <w:rPr>
          <w:rFonts w:ascii="Tahoma" w:hAnsi="Tahoma" w:cs="Tahoma" w:hint="cs"/>
          <w:sz w:val="18"/>
          <w:szCs w:val="18"/>
          <w:rtl/>
        </w:rPr>
        <w:t>ל</w:t>
      </w:r>
      <w:r w:rsidRPr="00211D07">
        <w:rPr>
          <w:rFonts w:ascii="Tahoma" w:hAnsi="Tahoma" w:cs="Tahoma"/>
          <w:sz w:val="18"/>
          <w:szCs w:val="18"/>
          <w:rtl/>
        </w:rPr>
        <w:t>שחרור מ</w:t>
      </w:r>
      <w:r w:rsidRPr="00211D07">
        <w:rPr>
          <w:rFonts w:ascii="Tahoma" w:hAnsi="Tahoma" w:cs="Tahoma" w:hint="cs"/>
          <w:sz w:val="18"/>
          <w:szCs w:val="18"/>
          <w:rtl/>
        </w:rPr>
        <w:t xml:space="preserve">אשפוזיות מיולי 2012 (להלן - נוהל אשפוזיות), המאושפז מתקבל לאשפוזית בכפוף לאבחון </w:t>
      </w:r>
      <w:r w:rsidRPr="00211D07">
        <w:rPr>
          <w:rFonts w:ascii="Tahoma" w:hAnsi="Tahoma" w:cs="Tahoma" w:hint="eastAsia"/>
          <w:sz w:val="18"/>
          <w:szCs w:val="18"/>
          <w:rtl/>
        </w:rPr>
        <w:t>שתבצע</w:t>
      </w:r>
      <w:r w:rsidRPr="00211D07">
        <w:rPr>
          <w:rFonts w:ascii="Tahoma" w:hAnsi="Tahoma" w:cs="Tahoma" w:hint="cs"/>
          <w:sz w:val="18"/>
          <w:szCs w:val="18"/>
          <w:rtl/>
        </w:rPr>
        <w:t xml:space="preserve"> ועדת קבלה ולקיומה של מוטיבציה בסיסית לקבלת טיפול במסגרת אשפוזית. שחרור של מטופל מהאשפוזית בטרם מוצה שלב הגמילה הגופנית ייעשה רק לאחר שהצוות הטיפולי ימצה את כל המאמצים והכלים לשכנע את המטופל להמשיך בטיפול עד השלמתו. להלן בתרשים 1 שיעור המטופלים באשפוזיות בשנת 2017 שלא סיימו את הטיפול:</w:t>
      </w:r>
    </w:p>
    <w:p w:rsidR="009B6D36" w:rsidRPr="0095721D" w:rsidP="0095721D">
      <w:pPr>
        <w:pStyle w:val="tab-name"/>
        <w:rPr>
          <w:rtl/>
        </w:rPr>
      </w:pPr>
      <w:r w:rsidRPr="0095721D">
        <w:rPr>
          <w:rFonts w:hint="eastAsia"/>
          <w:rtl/>
        </w:rPr>
        <w:t>תרשים</w:t>
      </w:r>
      <w:r w:rsidRPr="0095721D">
        <w:rPr>
          <w:rtl/>
        </w:rPr>
        <w:t xml:space="preserve"> </w:t>
      </w:r>
      <w:r w:rsidRPr="0095721D">
        <w:rPr>
          <w:rFonts w:hint="cs"/>
          <w:rtl/>
        </w:rPr>
        <w:t>1</w:t>
      </w:r>
      <w:r w:rsidRPr="0095721D">
        <w:rPr>
          <w:rtl/>
        </w:rPr>
        <w:t xml:space="preserve">: </w:t>
      </w:r>
      <w:r w:rsidRPr="0095721D">
        <w:rPr>
          <w:b/>
          <w:bCs/>
          <w:rtl/>
        </w:rPr>
        <w:t>שיעור המטופלים באשפוזיות שלא סיימו את הטיפול</w:t>
      </w:r>
      <w:r w:rsidRPr="0095721D">
        <w:rPr>
          <w:rFonts w:hint="cs"/>
          <w:b/>
          <w:bCs/>
          <w:rtl/>
        </w:rPr>
        <w:t>,</w:t>
      </w:r>
      <w:r w:rsidRPr="0095721D">
        <w:rPr>
          <w:b/>
          <w:bCs/>
          <w:rtl/>
        </w:rPr>
        <w:t xml:space="preserve"> 2017</w:t>
      </w:r>
    </w:p>
    <w:p w:rsidR="0095721D" w:rsidRPr="00211D07" w:rsidP="0095721D">
      <w:pPr>
        <w:spacing w:line="240" w:lineRule="atLeast"/>
        <w:ind w:right="2268"/>
        <w:jc w:val="center"/>
        <w:rPr>
          <w:rFonts w:ascii="Tahoma" w:hAnsi="Tahoma" w:cs="Tahoma"/>
          <w:sz w:val="18"/>
          <w:szCs w:val="18"/>
          <w:highlight w:val="yellow"/>
          <w:rtl/>
        </w:rPr>
      </w:pPr>
      <w:r>
        <w:rPr>
          <w:rFonts w:ascii="Tahoma" w:hAnsi="Tahoma" w:cs="Tahoma"/>
          <w:noProof/>
          <w:sz w:val="18"/>
          <w:szCs w:val="18"/>
          <w:rtl/>
        </w:rPr>
        <w:drawing>
          <wp:inline distT="0" distB="0" distL="0" distR="0">
            <wp:extent cx="3339649" cy="1803271"/>
            <wp:effectExtent l="0" t="0" r="0" b="6985"/>
            <wp:docPr id="3" name="Picture 3" descr="44% מן המטופלים באשפוזיות לא סיימו את הטיפו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783957" name="28 - 223 - אינפו 1.jp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339649" cy="1803271"/>
                    </a:xfrm>
                    <a:prstGeom prst="rect">
                      <a:avLst/>
                    </a:prstGeom>
                  </pic:spPr>
                </pic:pic>
              </a:graphicData>
            </a:graphic>
          </wp:inline>
        </w:drawing>
      </w:r>
    </w:p>
    <w:p w:rsidR="009B6D36" w:rsidRPr="00211D07" w:rsidP="0095721D">
      <w:pPr>
        <w:pStyle w:val="text-source"/>
        <w:rPr>
          <w:noProof/>
          <w:rtl/>
        </w:rPr>
      </w:pPr>
      <w:r w:rsidRPr="00211D07">
        <w:rPr>
          <w:noProof/>
          <w:rtl/>
        </w:rPr>
        <w:t>על פי נתוני משרד הבריאות, בעיבוד משרד מבקר המדינה.</w:t>
      </w:r>
    </w:p>
    <w:p w:rsidR="009B6D36" w:rsidRPr="00211D07" w:rsidP="00211D07">
      <w:pPr>
        <w:spacing w:line="240" w:lineRule="exact"/>
        <w:ind w:right="2268"/>
        <w:jc w:val="both"/>
        <w:rPr>
          <w:rFonts w:ascii="Tahoma" w:hAnsi="Tahoma" w:cs="Tahoma"/>
          <w:sz w:val="18"/>
          <w:szCs w:val="18"/>
          <w:rtl/>
        </w:rPr>
      </w:pPr>
      <w:r w:rsidRPr="00211D07">
        <w:rPr>
          <w:rFonts w:ascii="Tahoma" w:hAnsi="Tahoma" w:cs="Tahoma" w:hint="cs"/>
          <w:sz w:val="18"/>
          <w:szCs w:val="18"/>
          <w:rtl/>
        </w:rPr>
        <w:t xml:space="preserve">מהתרשים עולה כי </w:t>
      </w:r>
      <w:r w:rsidRPr="00211D07">
        <w:rPr>
          <w:rFonts w:ascii="Tahoma" w:hAnsi="Tahoma" w:cs="Tahoma"/>
          <w:sz w:val="18"/>
          <w:szCs w:val="18"/>
          <w:rtl/>
        </w:rPr>
        <w:t>בשנת 2017 לא הושלם הטיפול ב-44% מהמטופלים באשפוזיות</w:t>
      </w:r>
      <w:r w:rsidRPr="00211D07">
        <w:rPr>
          <w:rFonts w:ascii="Tahoma" w:hAnsi="Tahoma" w:cs="Tahoma" w:hint="cs"/>
          <w:sz w:val="18"/>
          <w:szCs w:val="18"/>
          <w:rtl/>
        </w:rPr>
        <w:t>.</w:t>
      </w:r>
    </w:p>
    <w:p w:rsidR="009B6D36" w:rsidRPr="00211D07" w:rsidP="0095721D">
      <w:pPr>
        <w:spacing w:after="240" w:line="240" w:lineRule="exact"/>
        <w:ind w:right="2268"/>
        <w:jc w:val="both"/>
        <w:rPr>
          <w:rFonts w:ascii="Tahoma" w:hAnsi="Tahoma" w:cs="Tahoma"/>
          <w:sz w:val="18"/>
          <w:szCs w:val="18"/>
        </w:rPr>
      </w:pPr>
      <w:r w:rsidRPr="00211D07">
        <w:rPr>
          <w:rFonts w:ascii="Tahoma" w:hAnsi="Tahoma" w:cs="Tahoma" w:hint="cs"/>
          <w:sz w:val="18"/>
          <w:szCs w:val="18"/>
          <w:rtl/>
        </w:rPr>
        <w:t xml:space="preserve">לפי </w:t>
      </w:r>
      <w:r w:rsidRPr="00211D07">
        <w:rPr>
          <w:rFonts w:ascii="Tahoma" w:hAnsi="Tahoma" w:cs="Tahoma" w:hint="cs"/>
          <w:sz w:val="18"/>
          <w:szCs w:val="18"/>
          <w:rtl/>
        </w:rPr>
        <w:t>התע"ס</w:t>
      </w:r>
      <w:r w:rsidRPr="00211D07">
        <w:rPr>
          <w:rFonts w:ascii="Tahoma" w:hAnsi="Tahoma" w:cs="Tahoma" w:hint="cs"/>
          <w:sz w:val="18"/>
          <w:szCs w:val="18"/>
          <w:rtl/>
        </w:rPr>
        <w:t xml:space="preserve"> - אם המטופל שמגיע ליחידה לטיפול בהתמכרויות הוא משתמש פעיל - יפנה אותו </w:t>
      </w:r>
      <w:r w:rsidRPr="00211D07">
        <w:rPr>
          <w:rFonts w:ascii="Tahoma" w:hAnsi="Tahoma" w:cs="Tahoma" w:hint="cs"/>
          <w:sz w:val="18"/>
          <w:szCs w:val="18"/>
          <w:rtl/>
        </w:rPr>
        <w:t>העו"ס</w:t>
      </w:r>
      <w:r w:rsidRPr="00211D07">
        <w:rPr>
          <w:rFonts w:ascii="Tahoma" w:hAnsi="Tahoma" w:cs="Tahoma" w:hint="cs"/>
          <w:sz w:val="18"/>
          <w:szCs w:val="18"/>
          <w:rtl/>
        </w:rPr>
        <w:t xml:space="preserve"> לגמילה גופנית באשפוזית. במקרים שמטופל נשר מתהליך הגמילה - היה ניתן לצפות ממשרד הבריאות להודיע על כך לשירותי הרווחה, כדי שהם ינסו לשכנעו להמשיך את הטיפול או לחפש בעבורו מענה חלופי.</w:t>
      </w:r>
    </w:p>
    <w:p w:rsidR="009B6D36" w:rsidRPr="00211D07" w:rsidP="0095721D">
      <w:pPr>
        <w:pStyle w:val="RESHET"/>
        <w:rPr>
          <w:rtl/>
        </w:rPr>
      </w:pPr>
      <w:r w:rsidRPr="00211D07">
        <w:rPr>
          <w:rFonts w:hint="cs"/>
          <w:rtl/>
        </w:rPr>
        <w:t xml:space="preserve">בביקורת עלה כי משרד הבריאות </w:t>
      </w:r>
      <w:r w:rsidRPr="00211D07">
        <w:rPr>
          <w:rtl/>
        </w:rPr>
        <w:t>ל</w:t>
      </w:r>
      <w:r w:rsidRPr="00211D07">
        <w:rPr>
          <w:rFonts w:hint="cs"/>
          <w:rtl/>
        </w:rPr>
        <w:t>א הנחה את ה</w:t>
      </w:r>
      <w:r w:rsidRPr="00211D07">
        <w:rPr>
          <w:rtl/>
        </w:rPr>
        <w:t xml:space="preserve">אשפוזיות לעדכן את </w:t>
      </w:r>
      <w:r w:rsidRPr="00211D07">
        <w:rPr>
          <w:rFonts w:hint="cs"/>
          <w:rtl/>
        </w:rPr>
        <w:t>שירות</w:t>
      </w:r>
      <w:r w:rsidRPr="00211D07">
        <w:rPr>
          <w:rtl/>
        </w:rPr>
        <w:t xml:space="preserve">י הרווחה </w:t>
      </w:r>
      <w:r w:rsidRPr="00211D07">
        <w:rPr>
          <w:rFonts w:hint="cs"/>
          <w:rtl/>
        </w:rPr>
        <w:t xml:space="preserve">בנוגע </w:t>
      </w:r>
      <w:r w:rsidRPr="00211D07">
        <w:rPr>
          <w:rtl/>
        </w:rPr>
        <w:t>ל</w:t>
      </w:r>
      <w:r w:rsidRPr="00211D07">
        <w:rPr>
          <w:rFonts w:hint="cs"/>
          <w:rtl/>
        </w:rPr>
        <w:t>הפסקת</w:t>
      </w:r>
      <w:r w:rsidRPr="00211D07">
        <w:rPr>
          <w:rtl/>
        </w:rPr>
        <w:t xml:space="preserve"> הטיפול וחזר</w:t>
      </w:r>
      <w:r w:rsidRPr="00211D07">
        <w:rPr>
          <w:rFonts w:hint="cs"/>
          <w:rtl/>
        </w:rPr>
        <w:t>תו</w:t>
      </w:r>
      <w:r w:rsidRPr="00211D07">
        <w:rPr>
          <w:rtl/>
        </w:rPr>
        <w:t xml:space="preserve"> של המטופל לקהילה.</w:t>
      </w:r>
    </w:p>
    <w:p w:rsidR="009B6D36" w:rsidRPr="00211D07" w:rsidP="0095721D">
      <w:pPr>
        <w:spacing w:before="180" w:after="240" w:line="240" w:lineRule="exact"/>
        <w:ind w:right="2268"/>
        <w:jc w:val="both"/>
        <w:rPr>
          <w:rFonts w:ascii="Tahoma" w:hAnsi="Tahoma" w:cs="Tahoma"/>
          <w:sz w:val="18"/>
          <w:szCs w:val="18"/>
          <w:rtl/>
        </w:rPr>
      </w:pPr>
      <w:r w:rsidRPr="00211D07">
        <w:rPr>
          <w:rFonts w:ascii="Tahoma" w:hAnsi="Tahoma" w:cs="Tahoma" w:hint="cs"/>
          <w:sz w:val="18"/>
          <w:szCs w:val="18"/>
          <w:rtl/>
        </w:rPr>
        <w:t xml:space="preserve">משרד הרווחה ציין בתשובתו כי השירות להתמכרויות יקיים מפגשי עבודה עם המחלקה להתמכרויות שמטרתם, בין היתר, להבנות את שיתוף הפעולה ביניהם. בתשובתו </w:t>
      </w:r>
      <w:r w:rsidRPr="00211D07">
        <w:rPr>
          <w:rFonts w:ascii="Tahoma" w:hAnsi="Tahoma" w:cs="Tahoma"/>
          <w:sz w:val="18"/>
          <w:szCs w:val="18"/>
          <w:rtl/>
        </w:rPr>
        <w:t xml:space="preserve">ציין משרד </w:t>
      </w:r>
      <w:r w:rsidRPr="00211D07">
        <w:rPr>
          <w:rFonts w:ascii="Tahoma" w:hAnsi="Tahoma" w:cs="Tahoma" w:hint="cs"/>
          <w:sz w:val="18"/>
          <w:szCs w:val="18"/>
          <w:rtl/>
        </w:rPr>
        <w:t xml:space="preserve">הבריאות </w:t>
      </w:r>
      <w:r w:rsidRPr="00211D07">
        <w:rPr>
          <w:rFonts w:ascii="Tahoma" w:hAnsi="Tahoma" w:cs="Tahoma"/>
          <w:sz w:val="18"/>
          <w:szCs w:val="18"/>
          <w:rtl/>
        </w:rPr>
        <w:t>כי</w:t>
      </w:r>
      <w:r w:rsidRPr="00211D07">
        <w:rPr>
          <w:rFonts w:ascii="Tahoma" w:hAnsi="Tahoma" w:cs="Tahoma" w:hint="cs"/>
          <w:sz w:val="18"/>
          <w:szCs w:val="18"/>
          <w:rtl/>
        </w:rPr>
        <w:t xml:space="preserve"> בכוונת המחלקה להתמכרויות שבמשרד הבריאות לבחון עם השירות להתמכרויות שבמשרד הרווחה את העברת ההנחיה לצוותי האשפוזיות בנוגע לעדכון שירותי הרווחה על מטופלים הנושרים מהאשפוזיות.</w:t>
      </w:r>
    </w:p>
    <w:p w:rsidR="009B6D36" w:rsidRPr="00211D07" w:rsidP="0095721D">
      <w:pPr>
        <w:pStyle w:val="RESHET"/>
        <w:rPr>
          <w:rtl/>
        </w:rPr>
      </w:pPr>
      <w:r w:rsidRPr="00211D07">
        <w:rPr>
          <w:rFonts w:hint="cs"/>
          <w:rtl/>
        </w:rPr>
        <w:t>על משרד הבריאות ומשרד הרווחה לבחון במשותף את הדרכים לשיתוף פעולה במקרים שמטופלים נושרים מטיפול הגמילה באשפוזיות.</w:t>
      </w:r>
    </w:p>
    <w:p w:rsidR="009B6D36" w:rsidRPr="00211D07" w:rsidP="00211D07">
      <w:pPr>
        <w:spacing w:line="240" w:lineRule="exact"/>
        <w:ind w:right="2268"/>
        <w:jc w:val="both"/>
        <w:rPr>
          <w:rFonts w:ascii="Tahoma" w:hAnsi="Tahoma" w:cs="Tahoma"/>
          <w:sz w:val="18"/>
          <w:szCs w:val="18"/>
          <w:rtl/>
        </w:rPr>
      </w:pPr>
    </w:p>
    <w:p w:rsidR="009B6D36" w:rsidP="00211D07">
      <w:pPr>
        <w:pStyle w:val="KOT5"/>
        <w:rPr>
          <w:rtl/>
        </w:rPr>
      </w:pPr>
      <w:r w:rsidRPr="008F736E">
        <w:rPr>
          <w:rFonts w:hint="cs"/>
          <w:rtl/>
        </w:rPr>
        <w:t>רצף טיפולי</w:t>
      </w:r>
      <w:r>
        <w:rPr>
          <w:rFonts w:hint="cs"/>
          <w:rtl/>
        </w:rPr>
        <w:t xml:space="preserve"> של מסיימי טיפול באשפוזית</w:t>
      </w:r>
    </w:p>
    <w:p w:rsidR="009B6D36" w:rsidRPr="00211D07" w:rsidP="0095721D">
      <w:pPr>
        <w:spacing w:after="240" w:line="240" w:lineRule="exact"/>
        <w:ind w:right="2268"/>
        <w:jc w:val="both"/>
        <w:rPr>
          <w:rFonts w:ascii="Tahoma" w:hAnsi="Tahoma" w:cs="Tahoma"/>
          <w:sz w:val="18"/>
          <w:szCs w:val="18"/>
          <w:rtl/>
        </w:rPr>
      </w:pPr>
      <w:r w:rsidRPr="00211D07">
        <w:rPr>
          <w:rFonts w:ascii="Tahoma" w:hAnsi="Tahoma" w:cs="Tahoma" w:hint="cs"/>
          <w:sz w:val="18"/>
          <w:szCs w:val="18"/>
          <w:rtl/>
        </w:rPr>
        <w:t xml:space="preserve">כדי להבטיח את המשך הגמילה של המכורים אחרי שהשלימו את תהליך הגמילה באשפוזית יש להפנותם לקבלת טיפול פסיכו-סוציאלי כדי לחזק אותם ולמנוע את חזרתם להתמכרות. לשם כך נקבע בנוהל אשפוזיות כי מטופל שסיים תהליך גמילה יופנה למסגרת </w:t>
      </w:r>
      <w:r w:rsidRPr="00211D07">
        <w:rPr>
          <w:rFonts w:ascii="Tahoma" w:hAnsi="Tahoma" w:cs="Tahoma" w:hint="eastAsia"/>
          <w:sz w:val="18"/>
          <w:szCs w:val="18"/>
          <w:rtl/>
        </w:rPr>
        <w:t>כלשהי</w:t>
      </w:r>
      <w:r w:rsidRPr="00211D07">
        <w:rPr>
          <w:rFonts w:ascii="Tahoma" w:hAnsi="Tahoma" w:cs="Tahoma" w:hint="cs"/>
          <w:sz w:val="18"/>
          <w:szCs w:val="18"/>
          <w:rtl/>
        </w:rPr>
        <w:t xml:space="preserve"> להמשך הטיפול. למסגרות אלו אחראי משרד הרווחה והן פועלות כקהילות טיפוליות במסגרות סגורות, או באמצעות טיפולים שניתנים על ידי עו"ס התמכרויות ביחידה לטיפול בהתמכרויות שברשות המקומית.</w:t>
      </w:r>
    </w:p>
    <w:p w:rsidR="009B6D36" w:rsidRPr="00211D07" w:rsidP="00335CD4">
      <w:pPr>
        <w:pStyle w:val="RESHET"/>
        <w:rPr>
          <w:rtl/>
        </w:rPr>
      </w:pPr>
      <w:r w:rsidRPr="00211D07">
        <w:rPr>
          <w:rFonts w:hint="cs"/>
          <w:rtl/>
        </w:rPr>
        <w:t xml:space="preserve">לפי נתוני המחלקה להתמכרויות במשרד הבריאות, בשנת 2017 השלימו כ-1,400 מטופלים את תהליך הטיפול באשפוזיות. לעומת זאת, על פי נתוני קובץ מטופלים של משרד הרווחה רק כ-400 מטופלים באשפוזיות הופנו אליהם לטיפול במסגרות המשך. יוצא אפוא כי מרבית מסיימי הטיפול באשפוזיות אינם ממשיכים בתהליך הגמילה. הפסקת רצף הטיפול בגמילה עלול לגרום לכך שהמטופלים יחזרו להתמכרות. כמו כן - המשאבים שהושקעו בהם בשלב הגמילה הגופנית עלולים לרדת לטמיון. </w:t>
      </w:r>
      <w:r w:rsidRPr="0012789B" w:rsidR="00290C9B">
        <w:rPr>
          <w:noProof/>
          <w:szCs w:val="17"/>
          <w:rtl/>
          <w:lang w:eastAsia="en-US"/>
        </w:rPr>
        <mc:AlternateContent>
          <mc:Choice Requires="wps">
            <w:drawing>
              <wp:anchor distT="0" distB="0" distL="114300" distR="114300" simplePos="0" relativeHeight="251670528" behindDoc="1" locked="0" layoutInCell="1" allowOverlap="1">
                <wp:simplePos x="0" y="0"/>
                <wp:positionH relativeFrom="margin">
                  <wp:posOffset>-431800</wp:posOffset>
                </wp:positionH>
                <wp:positionV relativeFrom="margin">
                  <wp:align>top</wp:align>
                </wp:positionV>
                <wp:extent cx="1620000" cy="4140000"/>
                <wp:effectExtent l="0" t="0" r="0" b="0"/>
                <wp:wrapNone/>
                <wp:docPr id="30"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290C9B" w:rsidRPr="00373C5D" w:rsidP="00290C9B">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17148399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334123"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290C9B" w:rsidRPr="00881D99" w:rsidP="00290C9B">
                            <w:pPr>
                              <w:spacing w:after="0" w:line="240" w:lineRule="auto"/>
                              <w:rPr>
                                <w:color w:val="0B5294"/>
                                <w:spacing w:val="-4"/>
                                <w:sz w:val="24"/>
                                <w:szCs w:val="24"/>
                                <w:rtl/>
                                <w:cs/>
                              </w:rPr>
                            </w:pPr>
                            <w:r w:rsidRPr="00335CD4">
                              <w:rPr>
                                <w:rFonts w:cs="Tahoma" w:hint="eastAsia"/>
                                <w:color w:val="0B5294"/>
                                <w:spacing w:val="-4"/>
                                <w:sz w:val="24"/>
                                <w:szCs w:val="24"/>
                                <w:rtl/>
                              </w:rPr>
                              <w:t>מרבית</w:t>
                            </w:r>
                            <w:r w:rsidRPr="00335CD4">
                              <w:rPr>
                                <w:rFonts w:cs="Tahoma"/>
                                <w:color w:val="0B5294"/>
                                <w:spacing w:val="-4"/>
                                <w:sz w:val="24"/>
                                <w:szCs w:val="24"/>
                                <w:rtl/>
                              </w:rPr>
                              <w:t xml:space="preserve"> </w:t>
                            </w:r>
                            <w:r w:rsidRPr="00335CD4">
                              <w:rPr>
                                <w:rFonts w:cs="Tahoma" w:hint="eastAsia"/>
                                <w:color w:val="0B5294"/>
                                <w:spacing w:val="-4"/>
                                <w:sz w:val="24"/>
                                <w:szCs w:val="24"/>
                                <w:rtl/>
                              </w:rPr>
                              <w:t>מסיימי</w:t>
                            </w:r>
                            <w:r w:rsidRPr="00335CD4">
                              <w:rPr>
                                <w:rFonts w:cs="Tahoma"/>
                                <w:color w:val="0B5294"/>
                                <w:spacing w:val="-4"/>
                                <w:sz w:val="24"/>
                                <w:szCs w:val="24"/>
                                <w:rtl/>
                              </w:rPr>
                              <w:t xml:space="preserve"> </w:t>
                            </w:r>
                            <w:r w:rsidRPr="00335CD4">
                              <w:rPr>
                                <w:rFonts w:cs="Tahoma" w:hint="eastAsia"/>
                                <w:color w:val="0B5294"/>
                                <w:spacing w:val="-4"/>
                                <w:sz w:val="24"/>
                                <w:szCs w:val="24"/>
                                <w:rtl/>
                              </w:rPr>
                              <w:t>הטיפול</w:t>
                            </w:r>
                            <w:r w:rsidRPr="00335CD4">
                              <w:rPr>
                                <w:rFonts w:cs="Tahoma"/>
                                <w:color w:val="0B5294"/>
                                <w:spacing w:val="-4"/>
                                <w:sz w:val="24"/>
                                <w:szCs w:val="24"/>
                                <w:rtl/>
                              </w:rPr>
                              <w:t xml:space="preserve"> </w:t>
                            </w:r>
                            <w:r w:rsidRPr="00335CD4">
                              <w:rPr>
                                <w:rFonts w:cs="Tahoma" w:hint="eastAsia"/>
                                <w:color w:val="0B5294"/>
                                <w:spacing w:val="-4"/>
                                <w:sz w:val="24"/>
                                <w:szCs w:val="24"/>
                                <w:rtl/>
                              </w:rPr>
                              <w:t>באשפוזיות</w:t>
                            </w:r>
                            <w:r w:rsidRPr="00335CD4">
                              <w:rPr>
                                <w:rFonts w:cs="Tahoma"/>
                                <w:color w:val="0B5294"/>
                                <w:spacing w:val="-4"/>
                                <w:sz w:val="24"/>
                                <w:szCs w:val="24"/>
                                <w:rtl/>
                              </w:rPr>
                              <w:t xml:space="preserve"> </w:t>
                            </w:r>
                            <w:r w:rsidRPr="00335CD4">
                              <w:rPr>
                                <w:rFonts w:cs="Tahoma" w:hint="eastAsia"/>
                                <w:color w:val="0B5294"/>
                                <w:spacing w:val="-4"/>
                                <w:sz w:val="24"/>
                                <w:szCs w:val="24"/>
                                <w:rtl/>
                              </w:rPr>
                              <w:t>אינם</w:t>
                            </w:r>
                            <w:r w:rsidRPr="00335CD4">
                              <w:rPr>
                                <w:rFonts w:cs="Tahoma"/>
                                <w:color w:val="0B5294"/>
                                <w:spacing w:val="-4"/>
                                <w:sz w:val="24"/>
                                <w:szCs w:val="24"/>
                                <w:rtl/>
                              </w:rPr>
                              <w:t xml:space="preserve"> </w:t>
                            </w:r>
                            <w:r w:rsidRPr="00335CD4">
                              <w:rPr>
                                <w:rFonts w:cs="Tahoma" w:hint="eastAsia"/>
                                <w:color w:val="0B5294"/>
                                <w:spacing w:val="-4"/>
                                <w:sz w:val="24"/>
                                <w:szCs w:val="24"/>
                                <w:rtl/>
                              </w:rPr>
                              <w:t>ממשיכים</w:t>
                            </w:r>
                            <w:r w:rsidRPr="00335CD4">
                              <w:rPr>
                                <w:rFonts w:cs="Tahoma"/>
                                <w:color w:val="0B5294"/>
                                <w:spacing w:val="-4"/>
                                <w:sz w:val="24"/>
                                <w:szCs w:val="24"/>
                                <w:rtl/>
                              </w:rPr>
                              <w:t xml:space="preserve"> </w:t>
                            </w:r>
                            <w:r w:rsidRPr="00335CD4">
                              <w:rPr>
                                <w:rFonts w:cs="Tahoma" w:hint="eastAsia"/>
                                <w:color w:val="0B5294"/>
                                <w:spacing w:val="-4"/>
                                <w:sz w:val="24"/>
                                <w:szCs w:val="24"/>
                                <w:rtl/>
                              </w:rPr>
                              <w:t>בתהליך</w:t>
                            </w:r>
                            <w:r w:rsidRPr="00335CD4">
                              <w:rPr>
                                <w:rFonts w:cs="Tahoma"/>
                                <w:color w:val="0B5294"/>
                                <w:spacing w:val="-4"/>
                                <w:sz w:val="24"/>
                                <w:szCs w:val="24"/>
                                <w:rtl/>
                              </w:rPr>
                              <w:t xml:space="preserve"> </w:t>
                            </w:r>
                            <w:r w:rsidRPr="00335CD4">
                              <w:rPr>
                                <w:rFonts w:cs="Tahoma" w:hint="eastAsia"/>
                                <w:color w:val="0B5294"/>
                                <w:spacing w:val="-4"/>
                                <w:sz w:val="24"/>
                                <w:szCs w:val="24"/>
                                <w:rtl/>
                              </w:rPr>
                              <w:t>הגמילה</w:t>
                            </w:r>
                          </w:p>
                          <w:p w:rsidR="00290C9B" w:rsidRPr="00373C5D" w:rsidP="00290C9B">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49353830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63438"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4"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4928" filled="f" stroked="f">
                <v:textbox>
                  <w:txbxContent>
                    <w:p w:rsidR="00290C9B" w:rsidRPr="00373C5D" w:rsidP="00290C9B">
                      <w:pPr>
                        <w:spacing w:line="240" w:lineRule="atLeast"/>
                        <w:rPr>
                          <w:rFonts w:cs="Tahoma"/>
                          <w:b/>
                          <w:bCs/>
                          <w:color w:val="0B5294"/>
                          <w:sz w:val="48"/>
                          <w:szCs w:val="48"/>
                          <w:rtl/>
                        </w:rPr>
                      </w:pPr>
                      <w:drawing>
                        <wp:inline distT="0" distB="0" distL="0" distR="0">
                          <wp:extent cx="311150" cy="256800"/>
                          <wp:effectExtent l="0" t="0" r="0" b="0"/>
                          <wp:docPr id="3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538457"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290C9B" w:rsidRPr="00881D99" w:rsidP="00290C9B">
                      <w:pPr>
                        <w:spacing w:after="0" w:line="240" w:lineRule="auto"/>
                        <w:rPr>
                          <w:color w:val="0B5294"/>
                          <w:spacing w:val="-4"/>
                          <w:sz w:val="24"/>
                          <w:szCs w:val="24"/>
                          <w:rtl/>
                          <w:cs/>
                        </w:rPr>
                      </w:pPr>
                      <w:r w:rsidRPr="00335CD4">
                        <w:rPr>
                          <w:rFonts w:cs="Tahoma" w:hint="eastAsia"/>
                          <w:color w:val="0B5294"/>
                          <w:spacing w:val="-4"/>
                          <w:sz w:val="24"/>
                          <w:szCs w:val="24"/>
                          <w:rtl/>
                        </w:rPr>
                        <w:t>מרבית</w:t>
                      </w:r>
                      <w:r w:rsidRPr="00335CD4">
                        <w:rPr>
                          <w:rFonts w:cs="Tahoma"/>
                          <w:color w:val="0B5294"/>
                          <w:spacing w:val="-4"/>
                          <w:sz w:val="24"/>
                          <w:szCs w:val="24"/>
                          <w:rtl/>
                        </w:rPr>
                        <w:t xml:space="preserve"> </w:t>
                      </w:r>
                      <w:r w:rsidRPr="00335CD4">
                        <w:rPr>
                          <w:rFonts w:cs="Tahoma" w:hint="eastAsia"/>
                          <w:color w:val="0B5294"/>
                          <w:spacing w:val="-4"/>
                          <w:sz w:val="24"/>
                          <w:szCs w:val="24"/>
                          <w:rtl/>
                        </w:rPr>
                        <w:t>מסיימי</w:t>
                      </w:r>
                      <w:r w:rsidRPr="00335CD4">
                        <w:rPr>
                          <w:rFonts w:cs="Tahoma"/>
                          <w:color w:val="0B5294"/>
                          <w:spacing w:val="-4"/>
                          <w:sz w:val="24"/>
                          <w:szCs w:val="24"/>
                          <w:rtl/>
                        </w:rPr>
                        <w:t xml:space="preserve"> </w:t>
                      </w:r>
                      <w:r w:rsidRPr="00335CD4">
                        <w:rPr>
                          <w:rFonts w:cs="Tahoma" w:hint="eastAsia"/>
                          <w:color w:val="0B5294"/>
                          <w:spacing w:val="-4"/>
                          <w:sz w:val="24"/>
                          <w:szCs w:val="24"/>
                          <w:rtl/>
                        </w:rPr>
                        <w:t>הטיפול</w:t>
                      </w:r>
                      <w:r w:rsidRPr="00335CD4">
                        <w:rPr>
                          <w:rFonts w:cs="Tahoma"/>
                          <w:color w:val="0B5294"/>
                          <w:spacing w:val="-4"/>
                          <w:sz w:val="24"/>
                          <w:szCs w:val="24"/>
                          <w:rtl/>
                        </w:rPr>
                        <w:t xml:space="preserve"> </w:t>
                      </w:r>
                      <w:r w:rsidRPr="00335CD4">
                        <w:rPr>
                          <w:rFonts w:cs="Tahoma" w:hint="eastAsia"/>
                          <w:color w:val="0B5294"/>
                          <w:spacing w:val="-4"/>
                          <w:sz w:val="24"/>
                          <w:szCs w:val="24"/>
                          <w:rtl/>
                        </w:rPr>
                        <w:t>באשפוזיות</w:t>
                      </w:r>
                      <w:r w:rsidRPr="00335CD4">
                        <w:rPr>
                          <w:rFonts w:cs="Tahoma"/>
                          <w:color w:val="0B5294"/>
                          <w:spacing w:val="-4"/>
                          <w:sz w:val="24"/>
                          <w:szCs w:val="24"/>
                          <w:rtl/>
                        </w:rPr>
                        <w:t xml:space="preserve"> </w:t>
                      </w:r>
                      <w:r w:rsidRPr="00335CD4">
                        <w:rPr>
                          <w:rFonts w:cs="Tahoma" w:hint="eastAsia"/>
                          <w:color w:val="0B5294"/>
                          <w:spacing w:val="-4"/>
                          <w:sz w:val="24"/>
                          <w:szCs w:val="24"/>
                          <w:rtl/>
                        </w:rPr>
                        <w:t>אינם</w:t>
                      </w:r>
                      <w:r w:rsidRPr="00335CD4">
                        <w:rPr>
                          <w:rFonts w:cs="Tahoma"/>
                          <w:color w:val="0B5294"/>
                          <w:spacing w:val="-4"/>
                          <w:sz w:val="24"/>
                          <w:szCs w:val="24"/>
                          <w:rtl/>
                        </w:rPr>
                        <w:t xml:space="preserve"> </w:t>
                      </w:r>
                      <w:r w:rsidRPr="00335CD4">
                        <w:rPr>
                          <w:rFonts w:cs="Tahoma" w:hint="eastAsia"/>
                          <w:color w:val="0B5294"/>
                          <w:spacing w:val="-4"/>
                          <w:sz w:val="24"/>
                          <w:szCs w:val="24"/>
                          <w:rtl/>
                        </w:rPr>
                        <w:t>ממשיכים</w:t>
                      </w:r>
                      <w:r w:rsidRPr="00335CD4">
                        <w:rPr>
                          <w:rFonts w:cs="Tahoma"/>
                          <w:color w:val="0B5294"/>
                          <w:spacing w:val="-4"/>
                          <w:sz w:val="24"/>
                          <w:szCs w:val="24"/>
                          <w:rtl/>
                        </w:rPr>
                        <w:t xml:space="preserve"> </w:t>
                      </w:r>
                      <w:r w:rsidRPr="00335CD4">
                        <w:rPr>
                          <w:rFonts w:cs="Tahoma" w:hint="eastAsia"/>
                          <w:color w:val="0B5294"/>
                          <w:spacing w:val="-4"/>
                          <w:sz w:val="24"/>
                          <w:szCs w:val="24"/>
                          <w:rtl/>
                        </w:rPr>
                        <w:t>בתהליך</w:t>
                      </w:r>
                      <w:r w:rsidRPr="00335CD4">
                        <w:rPr>
                          <w:rFonts w:cs="Tahoma"/>
                          <w:color w:val="0B5294"/>
                          <w:spacing w:val="-4"/>
                          <w:sz w:val="24"/>
                          <w:szCs w:val="24"/>
                          <w:rtl/>
                        </w:rPr>
                        <w:t xml:space="preserve"> </w:t>
                      </w:r>
                      <w:r w:rsidRPr="00335CD4">
                        <w:rPr>
                          <w:rFonts w:cs="Tahoma" w:hint="eastAsia"/>
                          <w:color w:val="0B5294"/>
                          <w:spacing w:val="-4"/>
                          <w:sz w:val="24"/>
                          <w:szCs w:val="24"/>
                          <w:rtl/>
                        </w:rPr>
                        <w:t>הגמילה</w:t>
                      </w:r>
                    </w:p>
                    <w:p w:rsidR="00290C9B" w:rsidRPr="00373C5D" w:rsidP="00290C9B">
                      <w:pPr>
                        <w:spacing w:before="120" w:after="0" w:line="240" w:lineRule="atLeast"/>
                        <w:rPr>
                          <w:rFonts w:cs="Tahoma"/>
                          <w:b/>
                          <w:bCs/>
                          <w:color w:val="0B5294"/>
                          <w:sz w:val="48"/>
                          <w:szCs w:val="48"/>
                          <w:rtl/>
                        </w:rPr>
                      </w:pPr>
                      <w:drawing>
                        <wp:inline distT="0" distB="0" distL="0" distR="0">
                          <wp:extent cx="288000" cy="31337"/>
                          <wp:effectExtent l="0" t="0" r="0" b="6985"/>
                          <wp:docPr id="3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608391"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9B6D36" w:rsidRPr="00211D07" w:rsidP="0095721D">
      <w:pPr>
        <w:spacing w:before="180" w:line="240" w:lineRule="exact"/>
        <w:ind w:right="2268"/>
        <w:jc w:val="both"/>
        <w:rPr>
          <w:rFonts w:ascii="Tahoma" w:hAnsi="Tahoma" w:cs="Tahoma"/>
          <w:sz w:val="18"/>
          <w:szCs w:val="18"/>
          <w:rtl/>
        </w:rPr>
      </w:pPr>
      <w:r w:rsidRPr="00211D07">
        <w:rPr>
          <w:rFonts w:ascii="Tahoma" w:hAnsi="Tahoma" w:cs="Tahoma" w:hint="cs"/>
          <w:sz w:val="18"/>
          <w:szCs w:val="18"/>
          <w:rtl/>
        </w:rPr>
        <w:t>כדי לבחון את הרצף הטיפולי של מסיימי טיפול באשפוזיות יש להצליב את נתוני תעודת הזהות שלהם עם נתוני תעודת הזהות של המטופלים בשירות להתמכרויות. מתברר שנתוני המטופלים באשפוזיות מופיעים במשרד הבריאות באופן ממחושב רק משנת 2017, ואילו בשירות להתמכרויות שבמשרד הרווחה אין ריכוז נתונים של תעודות הזהות של המטופלים שלו</w:t>
      </w:r>
      <w:r>
        <w:rPr>
          <w:rStyle w:val="FootnoteReference0"/>
          <w:rFonts w:ascii="Tahoma" w:hAnsi="Tahoma" w:cs="Tahoma"/>
          <w:sz w:val="18"/>
          <w:szCs w:val="18"/>
          <w:rtl/>
        </w:rPr>
        <w:footnoteReference w:id="45"/>
      </w:r>
      <w:r w:rsidRPr="00211D07">
        <w:rPr>
          <w:rFonts w:ascii="Tahoma" w:hAnsi="Tahoma" w:cs="Tahoma" w:hint="cs"/>
          <w:sz w:val="18"/>
          <w:szCs w:val="18"/>
          <w:rtl/>
        </w:rPr>
        <w:t xml:space="preserve"> - כך שלא ניתן לבצע מעקב ולבחון לעומק את היקף התופעה והסיבות שגרמו לה.</w:t>
      </w:r>
    </w:p>
    <w:p w:rsidR="009B6D36" w:rsidRPr="00211D07" w:rsidP="0095721D">
      <w:pPr>
        <w:spacing w:after="240" w:line="240" w:lineRule="exact"/>
        <w:ind w:right="2268"/>
        <w:jc w:val="both"/>
        <w:rPr>
          <w:rFonts w:ascii="Tahoma" w:hAnsi="Tahoma" w:cs="Tahoma"/>
          <w:sz w:val="18"/>
          <w:szCs w:val="18"/>
        </w:rPr>
      </w:pPr>
      <w:r w:rsidRPr="00211D07">
        <w:rPr>
          <w:rFonts w:ascii="Tahoma" w:hAnsi="Tahoma" w:cs="Tahoma"/>
          <w:sz w:val="18"/>
          <w:szCs w:val="18"/>
          <w:rtl/>
        </w:rPr>
        <w:t xml:space="preserve">משרד הרווחה ציין </w:t>
      </w:r>
      <w:r w:rsidRPr="00211D07">
        <w:rPr>
          <w:rFonts w:ascii="Tahoma" w:hAnsi="Tahoma" w:cs="Tahoma" w:hint="cs"/>
          <w:sz w:val="18"/>
          <w:szCs w:val="18"/>
          <w:rtl/>
        </w:rPr>
        <w:t xml:space="preserve">בתשובתו </w:t>
      </w:r>
      <w:r w:rsidRPr="00211D07">
        <w:rPr>
          <w:rFonts w:ascii="Tahoma" w:hAnsi="Tahoma" w:cs="Tahoma"/>
          <w:sz w:val="18"/>
          <w:szCs w:val="18"/>
          <w:rtl/>
        </w:rPr>
        <w:t>כי</w:t>
      </w:r>
      <w:r w:rsidRPr="00211D07">
        <w:rPr>
          <w:rFonts w:ascii="Tahoma" w:hAnsi="Tahoma" w:cs="Tahoma" w:hint="cs"/>
          <w:sz w:val="18"/>
          <w:szCs w:val="18"/>
          <w:rtl/>
        </w:rPr>
        <w:t xml:space="preserve"> בשיתוף משרד הבריאות הוא ימסד בנוהל את רצף הטיפול במכורים בין האשפוזיות ובין המסגרות שבמימון השירות להתמכרויות. משרד הבריאות ציין בתשובתו כי כינס את מנהלי האשפוזיות וחזר והדגיש לפניהם את נוהל האשפוזיות ואת החשיבות של יצירת קשר עם המסגרת הטיפולית ההמשכית שנבחרה עם המטופל. עוד ציין כי יבחן אפשרות להצלבת נתונים בסוף כל שנת פעילות כדי ללמוד ולהפיק לקחים בנוגע ליעילות הטיפול הבין-משרדי.</w:t>
      </w:r>
      <w:r w:rsidRPr="00211D07">
        <w:rPr>
          <w:rFonts w:ascii="Tahoma" w:hAnsi="Tahoma" w:cs="Tahoma"/>
          <w:sz w:val="18"/>
          <w:szCs w:val="18"/>
          <w:rtl/>
        </w:rPr>
        <w:t xml:space="preserve"> </w:t>
      </w:r>
    </w:p>
    <w:p w:rsidR="009B6D36" w:rsidRPr="00211D07" w:rsidP="0095721D">
      <w:pPr>
        <w:pStyle w:val="RESHET"/>
        <w:rPr>
          <w:rtl/>
        </w:rPr>
      </w:pPr>
      <w:r w:rsidRPr="00211D07">
        <w:rPr>
          <w:rFonts w:hint="cs"/>
          <w:rtl/>
        </w:rPr>
        <w:t>על משרד הבריאות ומשרד הרווחה לאסוף את הנתונים הרלוונטיים על אודות המטופלים שלהם ולבחון את הדרכים לשיפור הרצף הטיפולי בין האשפוזיות למסגרות הטיפוליות שבאחריות הרווחה.</w:t>
      </w:r>
    </w:p>
    <w:p w:rsidR="009B6D36" w:rsidRPr="00211D07" w:rsidP="00211D07">
      <w:pPr>
        <w:spacing w:line="240" w:lineRule="exact"/>
        <w:ind w:right="2268"/>
        <w:jc w:val="both"/>
        <w:rPr>
          <w:rFonts w:ascii="Tahoma" w:hAnsi="Tahoma" w:cs="Tahoma"/>
          <w:sz w:val="18"/>
          <w:szCs w:val="18"/>
        </w:rPr>
      </w:pPr>
    </w:p>
    <w:p w:rsidR="009B6D36" w:rsidRPr="00211D07" w:rsidP="00211D07">
      <w:pPr>
        <w:spacing w:line="240" w:lineRule="exact"/>
        <w:ind w:right="2268"/>
        <w:jc w:val="both"/>
        <w:rPr>
          <w:rFonts w:ascii="Tahoma" w:hAnsi="Tahoma" w:cs="Tahoma"/>
          <w:sz w:val="18"/>
          <w:szCs w:val="18"/>
          <w:rtl/>
        </w:rPr>
      </w:pPr>
    </w:p>
    <w:p w:rsidR="009B6D36" w:rsidRPr="001D071A" w:rsidP="00211D07">
      <w:pPr>
        <w:pStyle w:val="KOT4"/>
        <w:rPr>
          <w:rtl/>
        </w:rPr>
      </w:pPr>
      <w:r>
        <w:rPr>
          <w:rFonts w:hint="cs"/>
          <w:rtl/>
        </w:rPr>
        <w:t>ה</w:t>
      </w:r>
      <w:r w:rsidRPr="001D071A">
        <w:rPr>
          <w:rFonts w:hint="cs"/>
          <w:rtl/>
        </w:rPr>
        <w:t xml:space="preserve">טיפול </w:t>
      </w:r>
      <w:r>
        <w:rPr>
          <w:rFonts w:hint="cs"/>
          <w:rtl/>
        </w:rPr>
        <w:t>ה</w:t>
      </w:r>
      <w:r w:rsidRPr="001D071A">
        <w:rPr>
          <w:rFonts w:hint="cs"/>
          <w:rtl/>
        </w:rPr>
        <w:t xml:space="preserve">פסיכו-סוציאלי </w:t>
      </w:r>
      <w:r>
        <w:rPr>
          <w:rFonts w:hint="cs"/>
          <w:rtl/>
        </w:rPr>
        <w:t>שניתן על ידי משרד הרווחה</w:t>
      </w:r>
    </w:p>
    <w:p w:rsidR="009B6D36" w:rsidRPr="00F140F9" w:rsidP="00211D07">
      <w:pPr>
        <w:pStyle w:val="KOT5"/>
        <w:rPr>
          <w:rtl/>
        </w:rPr>
      </w:pPr>
      <w:r>
        <w:rPr>
          <w:rFonts w:hint="cs"/>
          <w:rtl/>
        </w:rPr>
        <w:t>אי-</w:t>
      </w:r>
      <w:r w:rsidRPr="00562C7D">
        <w:rPr>
          <w:rtl/>
        </w:rPr>
        <w:t xml:space="preserve">ניצול </w:t>
      </w:r>
      <w:r>
        <w:rPr>
          <w:rFonts w:hint="cs"/>
          <w:rtl/>
        </w:rPr>
        <w:t xml:space="preserve">של תוספת </w:t>
      </w:r>
      <w:r w:rsidRPr="00562C7D">
        <w:rPr>
          <w:rtl/>
        </w:rPr>
        <w:t>תקציב</w:t>
      </w:r>
      <w:r>
        <w:rPr>
          <w:rFonts w:hint="cs"/>
          <w:rtl/>
        </w:rPr>
        <w:t>ית שהוקצתה ל</w:t>
      </w:r>
      <w:r w:rsidRPr="00562C7D">
        <w:rPr>
          <w:rtl/>
        </w:rPr>
        <w:t>שירות להתמכרויות</w:t>
      </w:r>
      <w:r w:rsidRPr="00562C7D">
        <w:rPr>
          <w:rFonts w:hint="cs"/>
          <w:rtl/>
        </w:rPr>
        <w:t xml:space="preserve"> </w:t>
      </w:r>
    </w:p>
    <w:p w:rsidR="009B6D36" w:rsidRPr="00211D07" w:rsidP="00211D07">
      <w:pPr>
        <w:spacing w:line="240" w:lineRule="exact"/>
        <w:ind w:right="2268"/>
        <w:jc w:val="both"/>
        <w:rPr>
          <w:rFonts w:ascii="Tahoma" w:hAnsi="Tahoma" w:cs="Tahoma"/>
          <w:sz w:val="18"/>
          <w:szCs w:val="18"/>
          <w:rtl/>
        </w:rPr>
      </w:pPr>
      <w:r w:rsidRPr="00211D07">
        <w:rPr>
          <w:rFonts w:ascii="Tahoma" w:hAnsi="Tahoma" w:cs="Tahoma" w:hint="cs"/>
          <w:sz w:val="18"/>
          <w:szCs w:val="18"/>
          <w:rtl/>
        </w:rPr>
        <w:t xml:space="preserve">חוק הסעד </w:t>
      </w:r>
      <w:r w:rsidRPr="00211D07">
        <w:rPr>
          <w:rFonts w:ascii="Tahoma" w:hAnsi="Tahoma" w:cs="Tahoma"/>
          <w:sz w:val="18"/>
          <w:szCs w:val="18"/>
          <w:rtl/>
        </w:rPr>
        <w:t xml:space="preserve">קובע כי </w:t>
      </w:r>
      <w:r w:rsidRPr="00211D07">
        <w:rPr>
          <w:rFonts w:ascii="Tahoma" w:hAnsi="Tahoma" w:cs="Tahoma" w:hint="cs"/>
          <w:sz w:val="18"/>
          <w:szCs w:val="18"/>
          <w:rtl/>
        </w:rPr>
        <w:t>על ה</w:t>
      </w:r>
      <w:r w:rsidRPr="00211D07">
        <w:rPr>
          <w:rFonts w:ascii="Tahoma" w:hAnsi="Tahoma" w:cs="Tahoma"/>
          <w:sz w:val="18"/>
          <w:szCs w:val="18"/>
          <w:rtl/>
        </w:rPr>
        <w:t xml:space="preserve">רשות המקומית </w:t>
      </w:r>
      <w:r w:rsidRPr="00211D07">
        <w:rPr>
          <w:rFonts w:ascii="Tahoma" w:hAnsi="Tahoma" w:cs="Tahoma" w:hint="cs"/>
          <w:sz w:val="18"/>
          <w:szCs w:val="18"/>
          <w:rtl/>
        </w:rPr>
        <w:t>לקיים</w:t>
      </w:r>
      <w:r w:rsidRPr="00211D07">
        <w:rPr>
          <w:rFonts w:ascii="Tahoma" w:hAnsi="Tahoma" w:cs="Tahoma"/>
          <w:sz w:val="18"/>
          <w:szCs w:val="18"/>
          <w:rtl/>
        </w:rPr>
        <w:t xml:space="preserve"> לשכת סעד, קרי מ</w:t>
      </w:r>
      <w:r w:rsidRPr="00211D07">
        <w:rPr>
          <w:rFonts w:ascii="Tahoma" w:hAnsi="Tahoma" w:cs="Tahoma" w:hint="cs"/>
          <w:sz w:val="18"/>
          <w:szCs w:val="18"/>
          <w:rtl/>
        </w:rPr>
        <w:t>ש"ח</w:t>
      </w:r>
      <w:r w:rsidRPr="00211D07">
        <w:rPr>
          <w:rFonts w:ascii="Tahoma" w:hAnsi="Tahoma" w:cs="Tahoma"/>
          <w:sz w:val="18"/>
          <w:szCs w:val="18"/>
          <w:rtl/>
        </w:rPr>
        <w:t xml:space="preserve"> שתפקידה לתת טיפול סוציאלי וסעד לנזקקים. </w:t>
      </w:r>
      <w:r w:rsidRPr="00211D07">
        <w:rPr>
          <w:rFonts w:ascii="Tahoma" w:hAnsi="Tahoma" w:cs="Tahoma" w:hint="cs"/>
          <w:sz w:val="18"/>
          <w:szCs w:val="18"/>
          <w:rtl/>
        </w:rPr>
        <w:t xml:space="preserve">מקורות המימון של שירותי הרווחה בקהילה הם </w:t>
      </w:r>
      <w:r w:rsidRPr="00211D07">
        <w:rPr>
          <w:rFonts w:ascii="Tahoma" w:hAnsi="Tahoma" w:cs="Tahoma" w:hint="cs"/>
          <w:sz w:val="18"/>
          <w:szCs w:val="18"/>
          <w:rtl/>
          <w:lang w:eastAsia="he-IL"/>
        </w:rPr>
        <w:t xml:space="preserve">משרד הרווחה והרשויות המקומיות. מסגרות הרווחה </w:t>
      </w:r>
      <w:r w:rsidRPr="00211D07">
        <w:rPr>
          <w:rFonts w:ascii="Tahoma" w:hAnsi="Tahoma" w:cs="Tahoma" w:hint="cs"/>
          <w:sz w:val="18"/>
          <w:szCs w:val="18"/>
          <w:rtl/>
        </w:rPr>
        <w:t xml:space="preserve">בקהילה </w:t>
      </w:r>
      <w:r w:rsidRPr="00211D07">
        <w:rPr>
          <w:rFonts w:ascii="Tahoma" w:hAnsi="Tahoma" w:cs="Tahoma"/>
          <w:sz w:val="18"/>
          <w:szCs w:val="18"/>
          <w:rtl/>
        </w:rPr>
        <w:t xml:space="preserve">כוללות, בין היתר, </w:t>
      </w:r>
      <w:r w:rsidRPr="00211D07">
        <w:rPr>
          <w:rFonts w:ascii="Tahoma" w:hAnsi="Tahoma" w:cs="Tahoma" w:hint="cs"/>
          <w:sz w:val="18"/>
          <w:szCs w:val="18"/>
          <w:rtl/>
        </w:rPr>
        <w:t xml:space="preserve">את </w:t>
      </w:r>
      <w:r w:rsidRPr="00211D07">
        <w:rPr>
          <w:rFonts w:ascii="Tahoma" w:hAnsi="Tahoma" w:cs="Tahoma"/>
          <w:sz w:val="18"/>
          <w:szCs w:val="18"/>
          <w:rtl/>
        </w:rPr>
        <w:t xml:space="preserve">יחידות </w:t>
      </w:r>
      <w:r w:rsidRPr="00211D07">
        <w:rPr>
          <w:rFonts w:ascii="Tahoma" w:hAnsi="Tahoma" w:cs="Tahoma" w:hint="cs"/>
          <w:sz w:val="18"/>
          <w:szCs w:val="18"/>
          <w:rtl/>
        </w:rPr>
        <w:t>ה</w:t>
      </w:r>
      <w:r w:rsidRPr="00211D07">
        <w:rPr>
          <w:rFonts w:ascii="Tahoma" w:hAnsi="Tahoma" w:cs="Tahoma"/>
          <w:sz w:val="18"/>
          <w:szCs w:val="18"/>
          <w:rtl/>
        </w:rPr>
        <w:t xml:space="preserve">טיפול בהתמכרויות </w:t>
      </w:r>
      <w:r w:rsidRPr="00211D07">
        <w:rPr>
          <w:rFonts w:ascii="Tahoma" w:hAnsi="Tahoma" w:cs="Tahoma" w:hint="cs"/>
          <w:sz w:val="18"/>
          <w:szCs w:val="18"/>
          <w:rtl/>
        </w:rPr>
        <w:t>ש</w:t>
      </w:r>
      <w:r w:rsidRPr="00211D07">
        <w:rPr>
          <w:rFonts w:ascii="Tahoma" w:hAnsi="Tahoma" w:cs="Tahoma"/>
          <w:sz w:val="18"/>
          <w:szCs w:val="18"/>
          <w:rtl/>
        </w:rPr>
        <w:t>עוסקות באיתור, אבחון, טיפול ושיקום מכורים לפני התחלת תהליך הגמילה הגופנית שניתן במסגרות טיפוליות שבאחריות משרד הבריאות, וכן לאחר שהמכורים השלימו את הגמילה הגופנית</w:t>
      </w:r>
      <w:r w:rsidRPr="00211D07">
        <w:rPr>
          <w:rFonts w:ascii="Tahoma" w:hAnsi="Tahoma" w:cs="Tahoma" w:hint="cs"/>
          <w:sz w:val="18"/>
          <w:szCs w:val="18"/>
          <w:rtl/>
        </w:rPr>
        <w:t>.</w:t>
      </w:r>
      <w:r w:rsidRPr="00211D07">
        <w:rPr>
          <w:rFonts w:ascii="Tahoma" w:hAnsi="Tahoma" w:cs="Tahoma"/>
          <w:sz w:val="18"/>
          <w:szCs w:val="18"/>
          <w:rtl/>
        </w:rPr>
        <w:t xml:space="preserve"> </w:t>
      </w:r>
      <w:r w:rsidRPr="00211D07">
        <w:rPr>
          <w:rFonts w:ascii="Tahoma" w:hAnsi="Tahoma" w:cs="Tahoma" w:hint="cs"/>
          <w:sz w:val="18"/>
          <w:szCs w:val="18"/>
          <w:rtl/>
        </w:rPr>
        <w:t xml:space="preserve">היחידות </w:t>
      </w:r>
      <w:r w:rsidRPr="00211D07">
        <w:rPr>
          <w:rFonts w:ascii="Tahoma" w:hAnsi="Tahoma" w:cs="Tahoma"/>
          <w:sz w:val="18"/>
          <w:szCs w:val="18"/>
          <w:rtl/>
        </w:rPr>
        <w:t>מרכז</w:t>
      </w:r>
      <w:r w:rsidRPr="00211D07">
        <w:rPr>
          <w:rFonts w:ascii="Tahoma" w:hAnsi="Tahoma" w:cs="Tahoma" w:hint="cs"/>
          <w:sz w:val="18"/>
          <w:szCs w:val="18"/>
          <w:rtl/>
        </w:rPr>
        <w:t>ו</w:t>
      </w:r>
      <w:r w:rsidRPr="00211D07">
        <w:rPr>
          <w:rFonts w:ascii="Tahoma" w:hAnsi="Tahoma" w:cs="Tahoma"/>
          <w:sz w:val="18"/>
          <w:szCs w:val="18"/>
          <w:rtl/>
        </w:rPr>
        <w:t>ת את הטיפול במכורים</w:t>
      </w:r>
      <w:r w:rsidRPr="00211D07">
        <w:rPr>
          <w:rFonts w:ascii="Tahoma" w:hAnsi="Tahoma" w:cs="Tahoma" w:hint="cs"/>
          <w:sz w:val="18"/>
          <w:szCs w:val="18"/>
          <w:rtl/>
        </w:rPr>
        <w:t xml:space="preserve"> </w:t>
      </w:r>
      <w:r w:rsidRPr="00211D07">
        <w:rPr>
          <w:rFonts w:ascii="Tahoma" w:hAnsi="Tahoma" w:cs="Tahoma"/>
          <w:sz w:val="18"/>
          <w:szCs w:val="18"/>
          <w:rtl/>
        </w:rPr>
        <w:t>המתגוררים ביישוב</w:t>
      </w:r>
      <w:r w:rsidRPr="00211D07">
        <w:rPr>
          <w:rFonts w:ascii="Tahoma" w:hAnsi="Tahoma" w:cs="Tahoma" w:hint="cs"/>
          <w:sz w:val="18"/>
          <w:szCs w:val="18"/>
          <w:rtl/>
        </w:rPr>
        <w:t xml:space="preserve"> מסוים (להלן - יחידה מקומית)</w:t>
      </w:r>
      <w:r w:rsidRPr="00211D07">
        <w:rPr>
          <w:rFonts w:ascii="Tahoma" w:hAnsi="Tahoma" w:cs="Tahoma"/>
          <w:sz w:val="18"/>
          <w:szCs w:val="18"/>
          <w:rtl/>
        </w:rPr>
        <w:t xml:space="preserve">, או </w:t>
      </w:r>
      <w:r w:rsidRPr="00211D07">
        <w:rPr>
          <w:rFonts w:ascii="Tahoma" w:hAnsi="Tahoma" w:cs="Tahoma" w:hint="cs"/>
          <w:sz w:val="18"/>
          <w:szCs w:val="18"/>
          <w:rtl/>
          <w:lang w:eastAsia="he-IL"/>
        </w:rPr>
        <w:t xml:space="preserve">בכמה יישובים באזור מסוים </w:t>
      </w:r>
      <w:r w:rsidRPr="00211D07">
        <w:rPr>
          <w:rFonts w:ascii="Tahoma" w:hAnsi="Tahoma" w:cs="Tahoma" w:hint="cs"/>
          <w:sz w:val="18"/>
          <w:szCs w:val="18"/>
          <w:rtl/>
        </w:rPr>
        <w:t>(להלן - יחידה אזורית)</w:t>
      </w:r>
      <w:r w:rsidRPr="00211D07">
        <w:rPr>
          <w:rFonts w:ascii="Tahoma" w:hAnsi="Tahoma" w:cs="Tahoma"/>
          <w:sz w:val="18"/>
          <w:szCs w:val="18"/>
          <w:rtl/>
        </w:rPr>
        <w:t xml:space="preserve"> ו</w:t>
      </w:r>
      <w:r w:rsidRPr="00211D07">
        <w:rPr>
          <w:rFonts w:ascii="Tahoma" w:hAnsi="Tahoma" w:cs="Tahoma" w:hint="cs"/>
          <w:sz w:val="18"/>
          <w:szCs w:val="18"/>
          <w:rtl/>
        </w:rPr>
        <w:t xml:space="preserve">כן את </w:t>
      </w:r>
      <w:r w:rsidRPr="00211D07">
        <w:rPr>
          <w:rFonts w:ascii="Tahoma" w:hAnsi="Tahoma" w:cs="Tahoma"/>
          <w:sz w:val="18"/>
          <w:szCs w:val="18"/>
          <w:rtl/>
        </w:rPr>
        <w:t xml:space="preserve">מרכזי </w:t>
      </w:r>
      <w:r w:rsidRPr="00211D07">
        <w:rPr>
          <w:rFonts w:ascii="Tahoma" w:hAnsi="Tahoma" w:cs="Tahoma" w:hint="cs"/>
          <w:sz w:val="18"/>
          <w:szCs w:val="18"/>
          <w:rtl/>
        </w:rPr>
        <w:t>הטיפול</w:t>
      </w:r>
      <w:r>
        <w:rPr>
          <w:rFonts w:ascii="Tahoma" w:hAnsi="Tahoma" w:cs="Tahoma"/>
          <w:sz w:val="18"/>
          <w:szCs w:val="18"/>
          <w:vertAlign w:val="superscript"/>
          <w:rtl/>
        </w:rPr>
        <w:footnoteReference w:id="46"/>
      </w:r>
      <w:r w:rsidRPr="00211D07">
        <w:rPr>
          <w:rFonts w:ascii="Tahoma" w:hAnsi="Tahoma" w:cs="Tahoma" w:hint="cs"/>
          <w:sz w:val="18"/>
          <w:szCs w:val="18"/>
          <w:rtl/>
        </w:rPr>
        <w:t>.</w:t>
      </w:r>
      <w:r w:rsidRPr="00211D07">
        <w:rPr>
          <w:rFonts w:ascii="Tahoma" w:hAnsi="Tahoma" w:cs="Tahoma"/>
          <w:sz w:val="18"/>
          <w:szCs w:val="18"/>
          <w:rtl/>
        </w:rPr>
        <w:t xml:space="preserve"> </w:t>
      </w:r>
    </w:p>
    <w:p w:rsidR="009B6D36" w:rsidRPr="00211D07" w:rsidP="00211D07">
      <w:pPr>
        <w:spacing w:line="240" w:lineRule="exact"/>
        <w:ind w:left="-1" w:right="2268"/>
        <w:jc w:val="both"/>
        <w:rPr>
          <w:rFonts w:ascii="Tahoma" w:hAnsi="Tahoma" w:cs="Tahoma"/>
          <w:sz w:val="18"/>
          <w:szCs w:val="18"/>
          <w:rtl/>
        </w:rPr>
      </w:pPr>
      <w:r w:rsidRPr="00211D07">
        <w:rPr>
          <w:rFonts w:ascii="Tahoma" w:hAnsi="Tahoma" w:cs="Tahoma" w:hint="cs"/>
          <w:sz w:val="18"/>
          <w:szCs w:val="18"/>
          <w:rtl/>
        </w:rPr>
        <w:t xml:space="preserve">על פי נתוני </w:t>
      </w:r>
      <w:r w:rsidRPr="00211D07">
        <w:rPr>
          <w:rFonts w:ascii="Tahoma" w:hAnsi="Tahoma" w:cs="Tahoma"/>
          <w:sz w:val="18"/>
          <w:szCs w:val="18"/>
          <w:rtl/>
        </w:rPr>
        <w:t>השירות להתמכרויות</w:t>
      </w:r>
      <w:r w:rsidRPr="00211D07">
        <w:rPr>
          <w:rFonts w:ascii="Tahoma" w:hAnsi="Tahoma" w:cs="Tahoma" w:hint="cs"/>
          <w:sz w:val="18"/>
          <w:szCs w:val="18"/>
          <w:rtl/>
        </w:rPr>
        <w:t>, ב-105 מ-</w:t>
      </w:r>
      <w:r w:rsidRPr="00211D07">
        <w:rPr>
          <w:rFonts w:ascii="Tahoma" w:hAnsi="Tahoma" w:cs="Tahoma"/>
          <w:sz w:val="18"/>
          <w:szCs w:val="18"/>
          <w:rtl/>
        </w:rPr>
        <w:t>25</w:t>
      </w:r>
      <w:r w:rsidRPr="00211D07">
        <w:rPr>
          <w:rFonts w:ascii="Tahoma" w:hAnsi="Tahoma" w:cs="Tahoma" w:hint="cs"/>
          <w:sz w:val="18"/>
          <w:szCs w:val="18"/>
          <w:rtl/>
        </w:rPr>
        <w:t>5</w:t>
      </w:r>
      <w:r w:rsidRPr="00211D07">
        <w:rPr>
          <w:rFonts w:ascii="Tahoma" w:hAnsi="Tahoma" w:cs="Tahoma"/>
          <w:sz w:val="18"/>
          <w:szCs w:val="18"/>
          <w:rtl/>
        </w:rPr>
        <w:t xml:space="preserve"> הרשויות המקומיות</w:t>
      </w:r>
      <w:r w:rsidRPr="00211D07">
        <w:rPr>
          <w:rFonts w:ascii="Tahoma" w:hAnsi="Tahoma" w:cs="Tahoma" w:hint="cs"/>
          <w:sz w:val="18"/>
          <w:szCs w:val="18"/>
          <w:rtl/>
        </w:rPr>
        <w:t xml:space="preserve"> </w:t>
      </w:r>
      <w:r w:rsidRPr="00211D07">
        <w:rPr>
          <w:rFonts w:ascii="Tahoma" w:hAnsi="Tahoma" w:cs="Tahoma"/>
          <w:sz w:val="18"/>
          <w:szCs w:val="18"/>
          <w:rtl/>
        </w:rPr>
        <w:t>פ</w:t>
      </w:r>
      <w:r w:rsidRPr="00211D07">
        <w:rPr>
          <w:rFonts w:ascii="Tahoma" w:hAnsi="Tahoma" w:cs="Tahoma" w:hint="cs"/>
          <w:sz w:val="18"/>
          <w:szCs w:val="18"/>
          <w:rtl/>
        </w:rPr>
        <w:t>ו</w:t>
      </w:r>
      <w:r w:rsidRPr="00211D07">
        <w:rPr>
          <w:rFonts w:ascii="Tahoma" w:hAnsi="Tahoma" w:cs="Tahoma"/>
          <w:sz w:val="18"/>
          <w:szCs w:val="18"/>
          <w:rtl/>
        </w:rPr>
        <w:t>עלו</w:t>
      </w:r>
      <w:r w:rsidRPr="00211D07">
        <w:rPr>
          <w:rFonts w:ascii="Tahoma" w:hAnsi="Tahoma" w:cs="Tahoma" w:hint="cs"/>
          <w:sz w:val="18"/>
          <w:szCs w:val="18"/>
          <w:rtl/>
        </w:rPr>
        <w:t>ת</w:t>
      </w:r>
      <w:r w:rsidRPr="00211D07">
        <w:rPr>
          <w:rFonts w:ascii="Tahoma" w:hAnsi="Tahoma" w:cs="Tahoma"/>
          <w:sz w:val="18"/>
          <w:szCs w:val="18"/>
          <w:rtl/>
        </w:rPr>
        <w:t xml:space="preserve"> יחידות לטיפול במכורים</w:t>
      </w:r>
      <w:r w:rsidRPr="00211D07">
        <w:rPr>
          <w:rFonts w:ascii="Tahoma" w:hAnsi="Tahoma" w:cs="Tahoma" w:hint="cs"/>
          <w:sz w:val="18"/>
          <w:szCs w:val="18"/>
          <w:rtl/>
        </w:rPr>
        <w:t xml:space="preserve"> - חלקן מקומיות וחלקן אזוריות</w:t>
      </w:r>
      <w:r>
        <w:rPr>
          <w:rFonts w:ascii="Tahoma" w:hAnsi="Tahoma" w:cs="Tahoma"/>
          <w:sz w:val="18"/>
          <w:szCs w:val="18"/>
          <w:vertAlign w:val="superscript"/>
          <w:rtl/>
        </w:rPr>
        <w:footnoteReference w:id="47"/>
      </w:r>
      <w:r w:rsidRPr="00211D07">
        <w:rPr>
          <w:rFonts w:ascii="Tahoma" w:hAnsi="Tahoma" w:cs="Tahoma" w:hint="cs"/>
          <w:sz w:val="18"/>
          <w:szCs w:val="18"/>
          <w:rtl/>
        </w:rPr>
        <w:t xml:space="preserve">. על פי נתוני השירות במרץ 2017 עמד מספר משרות </w:t>
      </w:r>
      <w:r w:rsidRPr="00211D07">
        <w:rPr>
          <w:rFonts w:ascii="Tahoma" w:hAnsi="Tahoma" w:cs="Tahoma" w:hint="cs"/>
          <w:sz w:val="18"/>
          <w:szCs w:val="18"/>
          <w:rtl/>
        </w:rPr>
        <w:t>העו"סים</w:t>
      </w:r>
      <w:r w:rsidRPr="00211D07">
        <w:rPr>
          <w:rFonts w:ascii="Tahoma" w:hAnsi="Tahoma" w:cs="Tahoma" w:hint="cs"/>
          <w:sz w:val="18"/>
          <w:szCs w:val="18"/>
          <w:rtl/>
        </w:rPr>
        <w:t xml:space="preserve"> לטיפול במכורים בכלל יחידות הטיפול על 235 משרות וטופלו בהן כ-11,000 מטופלים</w:t>
      </w:r>
      <w:r>
        <w:rPr>
          <w:rFonts w:ascii="Tahoma" w:hAnsi="Tahoma" w:cs="Tahoma"/>
          <w:sz w:val="18"/>
          <w:szCs w:val="18"/>
          <w:vertAlign w:val="superscript"/>
          <w:rtl/>
        </w:rPr>
        <w:footnoteReference w:id="48"/>
      </w:r>
      <w:r w:rsidRPr="00211D07">
        <w:rPr>
          <w:rFonts w:ascii="Tahoma" w:hAnsi="Tahoma" w:cs="Tahoma" w:hint="cs"/>
          <w:sz w:val="18"/>
          <w:szCs w:val="18"/>
          <w:rtl/>
        </w:rPr>
        <w:t>.</w:t>
      </w:r>
    </w:p>
    <w:p w:rsidR="009B6D36" w:rsidRPr="00211D07" w:rsidP="00211D07">
      <w:pPr>
        <w:spacing w:line="240" w:lineRule="exact"/>
        <w:ind w:right="2268"/>
        <w:jc w:val="both"/>
        <w:rPr>
          <w:rFonts w:ascii="Tahoma" w:hAnsi="Tahoma" w:cs="Tahoma"/>
          <w:sz w:val="18"/>
          <w:szCs w:val="18"/>
          <w:rtl/>
        </w:rPr>
      </w:pPr>
      <w:r w:rsidRPr="00211D07">
        <w:rPr>
          <w:rFonts w:ascii="Tahoma" w:hAnsi="Tahoma" w:cs="Tahoma" w:hint="cs"/>
          <w:sz w:val="18"/>
          <w:szCs w:val="18"/>
          <w:rtl/>
        </w:rPr>
        <w:t>מענה מתאים ונגיש לטיפול בנגמלים הוא הכרחי כדי לשמור על רצף הגמילה ולהתמיד בה. היעדר מענה כזה יכול להביא לידי הידרדרו</w:t>
      </w:r>
      <w:r w:rsidRPr="00211D07">
        <w:rPr>
          <w:rFonts w:ascii="Tahoma" w:hAnsi="Tahoma" w:cs="Tahoma" w:hint="eastAsia"/>
          <w:sz w:val="18"/>
          <w:szCs w:val="18"/>
          <w:rtl/>
        </w:rPr>
        <w:t>ת</w:t>
      </w:r>
      <w:r w:rsidRPr="00211D07">
        <w:rPr>
          <w:rFonts w:ascii="Tahoma" w:hAnsi="Tahoma" w:cs="Tahoma" w:hint="cs"/>
          <w:sz w:val="18"/>
          <w:szCs w:val="18"/>
          <w:rtl/>
        </w:rPr>
        <w:t xml:space="preserve"> במצב הנגמלים. כך למשל, פנתה במאי 2017 מרכזת </w:t>
      </w:r>
      <w:r w:rsidRPr="00211D07">
        <w:rPr>
          <w:rFonts w:ascii="Tahoma" w:hAnsi="Tahoma" w:cs="Tahoma"/>
          <w:sz w:val="18"/>
          <w:szCs w:val="18"/>
          <w:rtl/>
        </w:rPr>
        <w:t>השירות להתמכרויות</w:t>
      </w:r>
      <w:r w:rsidRPr="00211D07">
        <w:rPr>
          <w:rFonts w:ascii="Tahoma" w:hAnsi="Tahoma" w:cs="Tahoma" w:hint="cs"/>
          <w:sz w:val="18"/>
          <w:szCs w:val="18"/>
          <w:rtl/>
        </w:rPr>
        <w:t xml:space="preserve"> במחוז תל אביב והמרכז (להלן - מחוז מרכז) ל</w:t>
      </w:r>
      <w:r w:rsidRPr="00211D07">
        <w:rPr>
          <w:rFonts w:ascii="Tahoma" w:hAnsi="Tahoma" w:cs="Tahoma"/>
          <w:sz w:val="18"/>
          <w:szCs w:val="18"/>
          <w:rtl/>
        </w:rPr>
        <w:t>שירות להתמכרויות</w:t>
      </w:r>
      <w:r w:rsidRPr="00211D07">
        <w:rPr>
          <w:rFonts w:ascii="Tahoma" w:hAnsi="Tahoma" w:cs="Tahoma" w:hint="cs"/>
          <w:sz w:val="18"/>
          <w:szCs w:val="18"/>
          <w:rtl/>
        </w:rPr>
        <w:t xml:space="preserve"> וציינה כי בחלק מיחידות הטיפול ברשויות המקומיות במחוז מרכז המתינו בין חמישה ל-20 מכורים לטיפול של היחידה. היא הוסיפה כי אוכלוסיית מבקשי הטיפול ביחידות הטיפול נמצאת בסיכון גבוה "</w:t>
      </w:r>
      <w:r w:rsidRPr="00211D07">
        <w:rPr>
          <w:rFonts w:ascii="Tahoma" w:hAnsi="Tahoma" w:cs="Tahoma" w:hint="cs"/>
          <w:b/>
          <w:bCs/>
          <w:sz w:val="18"/>
          <w:szCs w:val="18"/>
          <w:rtl/>
        </w:rPr>
        <w:t>עד כדי סכנת חיים!</w:t>
      </w:r>
      <w:r w:rsidRPr="00211D07">
        <w:rPr>
          <w:rFonts w:ascii="Tahoma" w:hAnsi="Tahoma" w:cs="Tahoma" w:hint="cs"/>
          <w:sz w:val="18"/>
          <w:szCs w:val="18"/>
          <w:rtl/>
        </w:rPr>
        <w:t xml:space="preserve">" וההמתנה שלהם מעלה עוד יותר את רמת הסיכון שבה הם נמצאים </w:t>
      </w:r>
      <w:r w:rsidRPr="00211D07">
        <w:rPr>
          <w:rFonts w:ascii="Tahoma" w:hAnsi="Tahoma" w:cs="Tahoma"/>
          <w:sz w:val="18"/>
          <w:szCs w:val="18"/>
          <w:rtl/>
        </w:rPr>
        <w:t>(הדגשה במקור)</w:t>
      </w:r>
      <w:r w:rsidRPr="00211D07">
        <w:rPr>
          <w:rFonts w:ascii="Tahoma" w:hAnsi="Tahoma" w:cs="Tahoma" w:hint="cs"/>
          <w:sz w:val="18"/>
          <w:szCs w:val="18"/>
          <w:rtl/>
        </w:rPr>
        <w:t>.</w:t>
      </w:r>
    </w:p>
    <w:p w:rsidR="009B6D36" w:rsidRPr="00211D07" w:rsidP="00211D07">
      <w:pPr>
        <w:spacing w:line="240" w:lineRule="exact"/>
        <w:ind w:right="2268"/>
        <w:jc w:val="both"/>
        <w:rPr>
          <w:rFonts w:ascii="Tahoma" w:hAnsi="Tahoma" w:cs="Tahoma"/>
          <w:b/>
          <w:bCs/>
          <w:sz w:val="18"/>
          <w:szCs w:val="18"/>
          <w:rtl/>
        </w:rPr>
      </w:pPr>
      <w:r w:rsidRPr="00211D07">
        <w:rPr>
          <w:rFonts w:ascii="Tahoma" w:hAnsi="Tahoma" w:cs="Tahoma" w:hint="cs"/>
          <w:sz w:val="18"/>
          <w:szCs w:val="18"/>
          <w:rtl/>
        </w:rPr>
        <w:t xml:space="preserve">לצורך ההקמה וההפעלה של מסגרות חדשות ולהרחבה של מסגרות קיימות בקהילה, קיבל </w:t>
      </w:r>
      <w:r w:rsidRPr="00211D07">
        <w:rPr>
          <w:rFonts w:ascii="Tahoma" w:hAnsi="Tahoma" w:cs="Tahoma"/>
          <w:sz w:val="18"/>
          <w:szCs w:val="18"/>
          <w:rtl/>
        </w:rPr>
        <w:t>השירות להתמכרויות</w:t>
      </w:r>
      <w:r w:rsidRPr="00211D07">
        <w:rPr>
          <w:rFonts w:ascii="Tahoma" w:hAnsi="Tahoma" w:cs="Tahoma" w:hint="cs"/>
          <w:sz w:val="18"/>
          <w:szCs w:val="18"/>
          <w:rtl/>
        </w:rPr>
        <w:t xml:space="preserve"> תוספות תקציביות בעבורן שעוגנו בבסיס התקציב: </w:t>
      </w:r>
      <w:r w:rsidRPr="00211D07">
        <w:rPr>
          <w:rFonts w:ascii="Tahoma" w:hAnsi="Tahoma" w:cs="Tahoma"/>
          <w:sz w:val="18"/>
          <w:szCs w:val="18"/>
          <w:rtl/>
        </w:rPr>
        <w:t xml:space="preserve">6.3 מיליון ש"ח </w:t>
      </w:r>
      <w:r w:rsidRPr="00211D07">
        <w:rPr>
          <w:rFonts w:ascii="Tahoma" w:hAnsi="Tahoma" w:cs="Tahoma" w:hint="cs"/>
          <w:sz w:val="18"/>
          <w:szCs w:val="18"/>
          <w:rtl/>
        </w:rPr>
        <w:t>לשנת 2017 ועוד 5.9</w:t>
      </w:r>
      <w:r w:rsidRPr="00211D07">
        <w:rPr>
          <w:rFonts w:ascii="Tahoma" w:hAnsi="Tahoma" w:cs="Tahoma"/>
          <w:sz w:val="18"/>
          <w:szCs w:val="18"/>
          <w:rtl/>
        </w:rPr>
        <w:t xml:space="preserve"> מ</w:t>
      </w:r>
      <w:r w:rsidRPr="00211D07">
        <w:rPr>
          <w:rFonts w:ascii="Tahoma" w:hAnsi="Tahoma" w:cs="Tahoma" w:hint="cs"/>
          <w:sz w:val="18"/>
          <w:szCs w:val="18"/>
          <w:rtl/>
        </w:rPr>
        <w:t>י</w:t>
      </w:r>
      <w:r w:rsidRPr="00211D07">
        <w:rPr>
          <w:rFonts w:ascii="Tahoma" w:hAnsi="Tahoma" w:cs="Tahoma"/>
          <w:sz w:val="18"/>
          <w:szCs w:val="18"/>
          <w:rtl/>
        </w:rPr>
        <w:t>ל</w:t>
      </w:r>
      <w:r w:rsidRPr="00211D07">
        <w:rPr>
          <w:rFonts w:ascii="Tahoma" w:hAnsi="Tahoma" w:cs="Tahoma" w:hint="cs"/>
          <w:sz w:val="18"/>
          <w:szCs w:val="18"/>
          <w:rtl/>
        </w:rPr>
        <w:t xml:space="preserve">יון </w:t>
      </w:r>
      <w:r w:rsidRPr="00211D07">
        <w:rPr>
          <w:rFonts w:ascii="Tahoma" w:hAnsi="Tahoma" w:cs="Tahoma"/>
          <w:sz w:val="18"/>
          <w:szCs w:val="18"/>
          <w:rtl/>
        </w:rPr>
        <w:t>ש"ח</w:t>
      </w:r>
      <w:r w:rsidRPr="00211D07">
        <w:rPr>
          <w:rFonts w:ascii="Tahoma" w:hAnsi="Tahoma" w:cs="Tahoma" w:hint="cs"/>
          <w:sz w:val="18"/>
          <w:szCs w:val="18"/>
          <w:rtl/>
        </w:rPr>
        <w:t xml:space="preserve"> לשנת 2018</w:t>
      </w:r>
      <w:r>
        <w:rPr>
          <w:rFonts w:ascii="Tahoma" w:hAnsi="Tahoma" w:cs="Tahoma"/>
          <w:sz w:val="18"/>
          <w:szCs w:val="18"/>
          <w:vertAlign w:val="superscript"/>
          <w:rtl/>
        </w:rPr>
        <w:footnoteReference w:id="49"/>
      </w:r>
      <w:r w:rsidRPr="00211D07">
        <w:rPr>
          <w:rFonts w:ascii="Tahoma" w:hAnsi="Tahoma" w:cs="Tahoma" w:hint="cs"/>
          <w:sz w:val="18"/>
          <w:szCs w:val="18"/>
          <w:rtl/>
        </w:rPr>
        <w:t xml:space="preserve">. את התוספות התקציביות אמור היה משרד הרווחה להקצות לרשויות המקומיות על </w:t>
      </w:r>
      <w:r w:rsidRPr="00211D07">
        <w:rPr>
          <w:rFonts w:ascii="Tahoma" w:hAnsi="Tahoma" w:cs="Tahoma" w:hint="cs"/>
          <w:sz w:val="18"/>
          <w:szCs w:val="18"/>
          <w:rtl/>
        </w:rPr>
        <w:t>פי החלטתה של ועדת ההקצאות המשותפת למשרד הרווחה ולמרכז השלטון המקומי.</w:t>
      </w:r>
    </w:p>
    <w:p w:rsidR="009B6D36" w:rsidRPr="00211D07" w:rsidP="00211D07">
      <w:pPr>
        <w:spacing w:line="240" w:lineRule="exact"/>
        <w:ind w:right="2268"/>
        <w:jc w:val="both"/>
        <w:rPr>
          <w:rFonts w:ascii="Tahoma" w:hAnsi="Tahoma" w:cs="Tahoma"/>
          <w:sz w:val="18"/>
          <w:szCs w:val="18"/>
          <w:rtl/>
        </w:rPr>
      </w:pPr>
      <w:r w:rsidRPr="00211D07">
        <w:rPr>
          <w:rFonts w:ascii="Tahoma" w:hAnsi="Tahoma" w:cs="Tahoma" w:hint="cs"/>
          <w:sz w:val="18"/>
          <w:szCs w:val="18"/>
          <w:rtl/>
        </w:rPr>
        <w:t>באוקטובר 2016 הודיע אגף התקציבים של משרד הרווחה ל</w:t>
      </w:r>
      <w:r w:rsidRPr="00211D07">
        <w:rPr>
          <w:rFonts w:ascii="Tahoma" w:hAnsi="Tahoma" w:cs="Tahoma"/>
          <w:sz w:val="18"/>
          <w:szCs w:val="18"/>
          <w:rtl/>
        </w:rPr>
        <w:t>שירות להתמכרויות</w:t>
      </w:r>
      <w:r w:rsidRPr="00211D07">
        <w:rPr>
          <w:rFonts w:ascii="Tahoma" w:hAnsi="Tahoma" w:cs="Tahoma" w:hint="cs"/>
          <w:sz w:val="18"/>
          <w:szCs w:val="18"/>
          <w:rtl/>
        </w:rPr>
        <w:t xml:space="preserve"> </w:t>
      </w:r>
      <w:r w:rsidRPr="00211D07">
        <w:rPr>
          <w:rFonts w:ascii="Tahoma" w:hAnsi="Tahoma" w:cs="Tahoma"/>
          <w:sz w:val="18"/>
          <w:szCs w:val="18"/>
          <w:rtl/>
        </w:rPr>
        <w:t>ש</w:t>
      </w:r>
      <w:r w:rsidRPr="00211D07">
        <w:rPr>
          <w:rFonts w:ascii="Tahoma" w:hAnsi="Tahoma" w:cs="Tahoma" w:hint="cs"/>
          <w:sz w:val="18"/>
          <w:szCs w:val="18"/>
          <w:rtl/>
        </w:rPr>
        <w:t>הקצאת התוספת התקציבית למסגרות ב</w:t>
      </w:r>
      <w:r w:rsidRPr="00211D07">
        <w:rPr>
          <w:rFonts w:ascii="Tahoma" w:hAnsi="Tahoma" w:cs="Tahoma"/>
          <w:sz w:val="18"/>
          <w:szCs w:val="18"/>
          <w:rtl/>
        </w:rPr>
        <w:t>קהיל</w:t>
      </w:r>
      <w:r w:rsidRPr="00211D07">
        <w:rPr>
          <w:rFonts w:ascii="Tahoma" w:hAnsi="Tahoma" w:cs="Tahoma" w:hint="cs"/>
          <w:sz w:val="18"/>
          <w:szCs w:val="18"/>
          <w:rtl/>
        </w:rPr>
        <w:t>ה</w:t>
      </w:r>
      <w:r w:rsidRPr="00211D07">
        <w:rPr>
          <w:rFonts w:ascii="Tahoma" w:hAnsi="Tahoma" w:cs="Tahoma"/>
          <w:sz w:val="18"/>
          <w:szCs w:val="18"/>
          <w:rtl/>
        </w:rPr>
        <w:t xml:space="preserve"> </w:t>
      </w:r>
      <w:r w:rsidRPr="00211D07">
        <w:rPr>
          <w:rFonts w:ascii="Tahoma" w:hAnsi="Tahoma" w:cs="Tahoma" w:hint="cs"/>
          <w:sz w:val="18"/>
          <w:szCs w:val="18"/>
          <w:rtl/>
        </w:rPr>
        <w:t>לשנים 2018-2017,</w:t>
      </w:r>
      <w:r w:rsidRPr="00211D07">
        <w:rPr>
          <w:rFonts w:ascii="Tahoma" w:hAnsi="Tahoma" w:cs="Tahoma"/>
          <w:sz w:val="18"/>
          <w:szCs w:val="18"/>
          <w:rtl/>
        </w:rPr>
        <w:t xml:space="preserve"> </w:t>
      </w:r>
      <w:r w:rsidRPr="00211D07">
        <w:rPr>
          <w:rFonts w:ascii="Tahoma" w:hAnsi="Tahoma" w:cs="Tahoma" w:hint="cs"/>
          <w:sz w:val="18"/>
          <w:szCs w:val="18"/>
          <w:rtl/>
        </w:rPr>
        <w:t>תי</w:t>
      </w:r>
      <w:r w:rsidRPr="00211D07">
        <w:rPr>
          <w:rFonts w:ascii="Tahoma" w:hAnsi="Tahoma" w:cs="Tahoma"/>
          <w:sz w:val="18"/>
          <w:szCs w:val="18"/>
          <w:rtl/>
        </w:rPr>
        <w:t xml:space="preserve">עשה </w:t>
      </w:r>
      <w:r w:rsidRPr="00211D07">
        <w:rPr>
          <w:rFonts w:ascii="Tahoma" w:hAnsi="Tahoma" w:cs="Tahoma" w:hint="cs"/>
          <w:sz w:val="18"/>
          <w:szCs w:val="18"/>
          <w:rtl/>
        </w:rPr>
        <w:t xml:space="preserve">על פי </w:t>
      </w:r>
      <w:r w:rsidRPr="00211D07">
        <w:rPr>
          <w:rFonts w:ascii="Tahoma" w:hAnsi="Tahoma" w:cs="Tahoma"/>
          <w:sz w:val="18"/>
          <w:szCs w:val="18"/>
          <w:rtl/>
        </w:rPr>
        <w:t>קריטריונים</w:t>
      </w:r>
      <w:r w:rsidRPr="00211D07">
        <w:rPr>
          <w:rFonts w:ascii="Tahoma" w:hAnsi="Tahoma" w:cs="Tahoma" w:hint="cs"/>
          <w:sz w:val="18"/>
          <w:szCs w:val="18"/>
          <w:rtl/>
        </w:rPr>
        <w:t xml:space="preserve"> (דבר שלא היה נהוג בעבר), והקצאת התוספת התקציבית תוקפא עד קביעת הקריטריונים.</w:t>
      </w:r>
    </w:p>
    <w:p w:rsidR="009B6D36" w:rsidRPr="00211D07" w:rsidP="00211D07">
      <w:pPr>
        <w:spacing w:line="240" w:lineRule="exact"/>
        <w:ind w:right="2268"/>
        <w:jc w:val="both"/>
        <w:rPr>
          <w:rFonts w:ascii="Tahoma" w:hAnsi="Tahoma" w:cs="Tahoma"/>
          <w:sz w:val="18"/>
          <w:szCs w:val="18"/>
          <w:rtl/>
        </w:rPr>
      </w:pPr>
      <w:r w:rsidRPr="00211D07">
        <w:rPr>
          <w:rFonts w:ascii="Tahoma" w:hAnsi="Tahoma" w:cs="Tahoma"/>
          <w:sz w:val="18"/>
          <w:szCs w:val="18"/>
          <w:rtl/>
        </w:rPr>
        <w:t>בביקורת עלה כי רק ב</w:t>
      </w:r>
      <w:r w:rsidRPr="00211D07">
        <w:rPr>
          <w:rFonts w:ascii="Tahoma" w:hAnsi="Tahoma" w:cs="Tahoma" w:hint="eastAsia"/>
          <w:sz w:val="18"/>
          <w:szCs w:val="18"/>
          <w:rtl/>
        </w:rPr>
        <w:t>אוגוסט</w:t>
      </w:r>
      <w:r w:rsidRPr="00211D07">
        <w:rPr>
          <w:rFonts w:ascii="Tahoma" w:hAnsi="Tahoma" w:cs="Tahoma"/>
          <w:sz w:val="18"/>
          <w:szCs w:val="18"/>
          <w:rtl/>
        </w:rPr>
        <w:t xml:space="preserve"> 2017, כעשרה חודשים לאחר </w:t>
      </w:r>
      <w:r w:rsidRPr="00211D07">
        <w:rPr>
          <w:rFonts w:ascii="Tahoma" w:hAnsi="Tahoma" w:cs="Tahoma" w:hint="eastAsia"/>
          <w:sz w:val="18"/>
          <w:szCs w:val="18"/>
          <w:rtl/>
        </w:rPr>
        <w:t>שדרש</w:t>
      </w:r>
      <w:r w:rsidRPr="00211D07">
        <w:rPr>
          <w:rFonts w:ascii="Tahoma" w:hAnsi="Tahoma" w:cs="Tahoma"/>
          <w:sz w:val="18"/>
          <w:szCs w:val="18"/>
          <w:rtl/>
        </w:rPr>
        <w:t xml:space="preserve"> אגף </w:t>
      </w:r>
      <w:r w:rsidRPr="00211D07">
        <w:rPr>
          <w:rFonts w:ascii="Tahoma" w:hAnsi="Tahoma" w:cs="Tahoma" w:hint="eastAsia"/>
          <w:sz w:val="18"/>
          <w:szCs w:val="18"/>
          <w:rtl/>
        </w:rPr>
        <w:t>ה</w:t>
      </w:r>
      <w:r w:rsidRPr="00211D07">
        <w:rPr>
          <w:rFonts w:ascii="Tahoma" w:hAnsi="Tahoma" w:cs="Tahoma"/>
          <w:sz w:val="18"/>
          <w:szCs w:val="18"/>
          <w:rtl/>
        </w:rPr>
        <w:t xml:space="preserve">תקציבים של משרד הרווחה לקבוע קריטריונים, דנה ועדת ההקצאות בקריטריונים ואישרה אותם, בכפוף לביצוע כמה בדיקות נוספות, </w:t>
      </w:r>
      <w:r w:rsidRPr="00211D07">
        <w:rPr>
          <w:rFonts w:ascii="Tahoma" w:hAnsi="Tahoma" w:cs="Tahoma" w:hint="eastAsia"/>
          <w:sz w:val="18"/>
          <w:szCs w:val="18"/>
          <w:rtl/>
        </w:rPr>
        <w:t>ו</w:t>
      </w:r>
      <w:r w:rsidRPr="00211D07">
        <w:rPr>
          <w:rFonts w:ascii="Tahoma" w:hAnsi="Tahoma" w:cs="Tahoma"/>
          <w:sz w:val="18"/>
          <w:szCs w:val="18"/>
          <w:rtl/>
        </w:rPr>
        <w:t>רק בינואר 2018, כחמישה חודשים נוספים</w:t>
      </w:r>
      <w:r w:rsidRPr="00211D07">
        <w:rPr>
          <w:rFonts w:ascii="Tahoma" w:hAnsi="Tahoma" w:cs="Tahoma" w:hint="cs"/>
          <w:sz w:val="18"/>
          <w:szCs w:val="18"/>
          <w:rtl/>
        </w:rPr>
        <w:t xml:space="preserve"> לאחר מכן</w:t>
      </w:r>
      <w:r w:rsidRPr="00211D07">
        <w:rPr>
          <w:rFonts w:ascii="Tahoma" w:hAnsi="Tahoma" w:cs="Tahoma"/>
          <w:sz w:val="18"/>
          <w:szCs w:val="18"/>
          <w:rtl/>
        </w:rPr>
        <w:t xml:space="preserve"> (כשנה ושלושה חודשים </w:t>
      </w:r>
      <w:r w:rsidRPr="00211D07">
        <w:rPr>
          <w:rFonts w:ascii="Tahoma" w:hAnsi="Tahoma" w:cs="Tahoma" w:hint="cs"/>
          <w:sz w:val="18"/>
          <w:szCs w:val="18"/>
          <w:rtl/>
        </w:rPr>
        <w:t>מאז</w:t>
      </w:r>
      <w:r w:rsidRPr="00211D07">
        <w:rPr>
          <w:rFonts w:ascii="Tahoma" w:hAnsi="Tahoma" w:cs="Tahoma"/>
          <w:sz w:val="18"/>
          <w:szCs w:val="18"/>
          <w:rtl/>
        </w:rPr>
        <w:t xml:space="preserve"> </w:t>
      </w:r>
      <w:r w:rsidRPr="00211D07">
        <w:rPr>
          <w:rFonts w:ascii="Tahoma" w:hAnsi="Tahoma" w:cs="Tahoma" w:hint="eastAsia"/>
          <w:sz w:val="18"/>
          <w:szCs w:val="18"/>
          <w:rtl/>
        </w:rPr>
        <w:t>ה</w:t>
      </w:r>
      <w:r w:rsidRPr="00211D07">
        <w:rPr>
          <w:rFonts w:ascii="Tahoma" w:hAnsi="Tahoma" w:cs="Tahoma"/>
          <w:sz w:val="18"/>
          <w:szCs w:val="18"/>
          <w:rtl/>
        </w:rPr>
        <w:t>דריש</w:t>
      </w:r>
      <w:r w:rsidRPr="00211D07">
        <w:rPr>
          <w:rFonts w:ascii="Tahoma" w:hAnsi="Tahoma" w:cs="Tahoma" w:hint="eastAsia"/>
          <w:sz w:val="18"/>
          <w:szCs w:val="18"/>
          <w:rtl/>
        </w:rPr>
        <w:t>ה</w:t>
      </w:r>
      <w:r w:rsidRPr="00211D07">
        <w:rPr>
          <w:rFonts w:ascii="Tahoma" w:hAnsi="Tahoma" w:cs="Tahoma"/>
          <w:sz w:val="18"/>
          <w:szCs w:val="18"/>
          <w:rtl/>
        </w:rPr>
        <w:t xml:space="preserve"> לקריטריונים), אישרה ועדת ההקצאות את הקריטריונים באופן סופי. </w:t>
      </w:r>
      <w:r w:rsidRPr="00211D07">
        <w:rPr>
          <w:rFonts w:ascii="Tahoma" w:hAnsi="Tahoma" w:cs="Tahoma" w:hint="eastAsia"/>
          <w:sz w:val="18"/>
          <w:szCs w:val="18"/>
          <w:rtl/>
        </w:rPr>
        <w:t>בסופו</w:t>
      </w:r>
      <w:r w:rsidRPr="00211D07">
        <w:rPr>
          <w:rFonts w:ascii="Tahoma" w:hAnsi="Tahoma" w:cs="Tahoma"/>
          <w:sz w:val="18"/>
          <w:szCs w:val="18"/>
          <w:rtl/>
        </w:rPr>
        <w:t xml:space="preserve"> של דבר לא נ</w:t>
      </w:r>
      <w:r w:rsidRPr="00211D07">
        <w:rPr>
          <w:rFonts w:ascii="Tahoma" w:hAnsi="Tahoma" w:cs="Tahoma" w:hint="eastAsia"/>
          <w:sz w:val="18"/>
          <w:szCs w:val="18"/>
          <w:rtl/>
        </w:rPr>
        <w:t>י</w:t>
      </w:r>
      <w:r w:rsidRPr="00211D07">
        <w:rPr>
          <w:rFonts w:ascii="Tahoma" w:hAnsi="Tahoma" w:cs="Tahoma"/>
          <w:sz w:val="18"/>
          <w:szCs w:val="18"/>
          <w:rtl/>
        </w:rPr>
        <w:t xml:space="preserve">צל השירות להתמכרויות את התוספת התקציבית שקיבל לשנת 2017 </w:t>
      </w:r>
      <w:r w:rsidRPr="00211D07">
        <w:rPr>
          <w:rFonts w:ascii="Tahoma" w:hAnsi="Tahoma" w:cs="Tahoma" w:hint="eastAsia"/>
          <w:sz w:val="18"/>
          <w:szCs w:val="18"/>
          <w:rtl/>
        </w:rPr>
        <w:t>ל</w:t>
      </w:r>
      <w:r w:rsidRPr="00211D07">
        <w:rPr>
          <w:rFonts w:ascii="Tahoma" w:hAnsi="Tahoma" w:cs="Tahoma"/>
          <w:sz w:val="18"/>
          <w:szCs w:val="18"/>
          <w:rtl/>
        </w:rPr>
        <w:t>הקמת מסגרות חדשות בקהילה ולהרחבת מסגרות קיימות</w:t>
      </w:r>
      <w:r>
        <w:rPr>
          <w:rStyle w:val="FootnoteReference0"/>
          <w:rFonts w:ascii="Tahoma" w:hAnsi="Tahoma" w:cs="Tahoma"/>
          <w:sz w:val="18"/>
          <w:szCs w:val="18"/>
          <w:rtl/>
        </w:rPr>
        <w:footnoteReference w:id="50"/>
      </w:r>
      <w:r w:rsidRPr="00211D07">
        <w:rPr>
          <w:rFonts w:ascii="Tahoma" w:hAnsi="Tahoma" w:cs="Tahoma"/>
          <w:sz w:val="18"/>
          <w:szCs w:val="18"/>
          <w:rtl/>
        </w:rPr>
        <w:t>.</w:t>
      </w:r>
      <w:r w:rsidRPr="00211D07">
        <w:rPr>
          <w:rFonts w:ascii="Tahoma" w:hAnsi="Tahoma" w:cs="Tahoma"/>
          <w:b/>
          <w:bCs/>
          <w:sz w:val="18"/>
          <w:szCs w:val="18"/>
          <w:rtl/>
        </w:rPr>
        <w:t xml:space="preserve"> </w:t>
      </w:r>
      <w:r w:rsidRPr="00211D07">
        <w:rPr>
          <w:rFonts w:ascii="Tahoma" w:hAnsi="Tahoma" w:cs="Tahoma" w:hint="cs"/>
          <w:sz w:val="18"/>
          <w:szCs w:val="18"/>
          <w:rtl/>
        </w:rPr>
        <w:t xml:space="preserve">יצוין, כי </w:t>
      </w:r>
      <w:r w:rsidRPr="00211D07">
        <w:rPr>
          <w:rFonts w:ascii="Tahoma" w:hAnsi="Tahoma" w:cs="Tahoma"/>
          <w:sz w:val="18"/>
          <w:szCs w:val="18"/>
          <w:rtl/>
        </w:rPr>
        <w:t xml:space="preserve">במקרים מסוימים </w:t>
      </w:r>
      <w:r w:rsidRPr="00211D07">
        <w:rPr>
          <w:rFonts w:ascii="Tahoma" w:hAnsi="Tahoma" w:cs="Tahoma" w:hint="cs"/>
          <w:sz w:val="18"/>
          <w:szCs w:val="18"/>
          <w:rtl/>
        </w:rPr>
        <w:t xml:space="preserve">הייתה </w:t>
      </w:r>
      <w:r w:rsidRPr="00211D07">
        <w:rPr>
          <w:rFonts w:ascii="Tahoma" w:hAnsi="Tahoma" w:cs="Tahoma"/>
          <w:sz w:val="18"/>
          <w:szCs w:val="18"/>
          <w:rtl/>
        </w:rPr>
        <w:t>פגיעה קשה במיוחד</w:t>
      </w:r>
      <w:r w:rsidRPr="00211D07">
        <w:rPr>
          <w:rFonts w:ascii="Tahoma" w:hAnsi="Tahoma" w:cs="Tahoma" w:hint="cs"/>
          <w:sz w:val="18"/>
          <w:szCs w:val="18"/>
          <w:rtl/>
        </w:rPr>
        <w:t>.</w:t>
      </w:r>
      <w:r w:rsidRPr="00211D07">
        <w:rPr>
          <w:rFonts w:ascii="Tahoma" w:hAnsi="Tahoma" w:cs="Tahoma"/>
          <w:sz w:val="18"/>
          <w:szCs w:val="18"/>
          <w:rtl/>
        </w:rPr>
        <w:t xml:space="preserve"> למשל</w:t>
      </w:r>
      <w:r w:rsidRPr="00211D07">
        <w:rPr>
          <w:rFonts w:ascii="Tahoma" w:hAnsi="Tahoma" w:cs="Tahoma" w:hint="cs"/>
          <w:sz w:val="18"/>
          <w:szCs w:val="18"/>
          <w:rtl/>
        </w:rPr>
        <w:t xml:space="preserve"> -</w:t>
      </w:r>
      <w:r w:rsidRPr="00211D07">
        <w:rPr>
          <w:rFonts w:ascii="Tahoma" w:hAnsi="Tahoma" w:cs="Tahoma"/>
          <w:sz w:val="18"/>
          <w:szCs w:val="18"/>
          <w:rtl/>
        </w:rPr>
        <w:t xml:space="preserve"> לאוכלוסיית הנשים המכורות הוקצה תקציב ייעודי לשנים</w:t>
      </w:r>
      <w:r w:rsidRPr="00211D07">
        <w:rPr>
          <w:rFonts w:ascii="Tahoma" w:hAnsi="Tahoma" w:cs="Tahoma" w:hint="cs"/>
          <w:sz w:val="18"/>
          <w:szCs w:val="18"/>
          <w:rtl/>
        </w:rPr>
        <w:t xml:space="preserve"> </w:t>
      </w:r>
      <w:r w:rsidRPr="00211D07">
        <w:rPr>
          <w:rFonts w:ascii="Tahoma" w:hAnsi="Tahoma" w:cs="Tahoma"/>
          <w:sz w:val="18"/>
          <w:szCs w:val="18"/>
          <w:rtl/>
        </w:rPr>
        <w:t xml:space="preserve">2018-2017 אך ניצולו היה מזערי (ראו </w:t>
      </w:r>
      <w:r w:rsidRPr="00211D07">
        <w:rPr>
          <w:rFonts w:ascii="Tahoma" w:hAnsi="Tahoma" w:cs="Tahoma" w:hint="cs"/>
          <w:sz w:val="18"/>
          <w:szCs w:val="18"/>
          <w:rtl/>
        </w:rPr>
        <w:t xml:space="preserve">להלן </w:t>
      </w:r>
      <w:r w:rsidRPr="00211D07">
        <w:rPr>
          <w:rFonts w:ascii="Tahoma" w:hAnsi="Tahoma" w:cs="Tahoma"/>
          <w:sz w:val="18"/>
          <w:szCs w:val="18"/>
          <w:rtl/>
        </w:rPr>
        <w:t>בפרק על הטיפול בנשים מכורות).</w:t>
      </w:r>
    </w:p>
    <w:p w:rsidR="009B6D36" w:rsidRPr="00211D07" w:rsidP="00211D07">
      <w:pPr>
        <w:spacing w:line="240" w:lineRule="exact"/>
        <w:ind w:right="2268"/>
        <w:jc w:val="both"/>
        <w:rPr>
          <w:rFonts w:ascii="Tahoma" w:hAnsi="Tahoma" w:cs="Tahoma"/>
          <w:sz w:val="18"/>
          <w:szCs w:val="18"/>
          <w:rtl/>
        </w:rPr>
      </w:pPr>
      <w:r w:rsidRPr="00211D07">
        <w:rPr>
          <w:rFonts w:ascii="Tahoma" w:hAnsi="Tahoma" w:cs="Tahoma" w:hint="cs"/>
          <w:sz w:val="18"/>
          <w:szCs w:val="18"/>
          <w:rtl/>
        </w:rPr>
        <w:t>יצוין כי לא זו בלבד ש</w:t>
      </w:r>
      <w:r w:rsidRPr="00211D07">
        <w:rPr>
          <w:rFonts w:ascii="Tahoma" w:hAnsi="Tahoma" w:cs="Tahoma"/>
          <w:sz w:val="18"/>
          <w:szCs w:val="18"/>
          <w:rtl/>
        </w:rPr>
        <w:t>השירות להתמכרויות</w:t>
      </w:r>
      <w:r w:rsidRPr="00211D07">
        <w:rPr>
          <w:rFonts w:ascii="Tahoma" w:hAnsi="Tahoma" w:cs="Tahoma" w:hint="cs"/>
          <w:sz w:val="18"/>
          <w:szCs w:val="18"/>
          <w:rtl/>
        </w:rPr>
        <w:t xml:space="preserve"> לא ניצל את התוספת שקיבל לשנת 2017 לצרכים שהוזכרו לעיל, בשנת 2018 נוצלו לצרכים האמורים בהקצאה רב-שנתית, רק כ-40% מתוספות התקציב לקהילה לשנים אלה</w:t>
      </w:r>
      <w:r>
        <w:rPr>
          <w:rStyle w:val="FootnoteReference0"/>
          <w:rFonts w:ascii="Tahoma" w:hAnsi="Tahoma" w:cs="Tahoma"/>
          <w:sz w:val="18"/>
          <w:szCs w:val="18"/>
          <w:rtl/>
        </w:rPr>
        <w:footnoteReference w:id="51"/>
      </w:r>
      <w:r w:rsidRPr="00211D07">
        <w:rPr>
          <w:rFonts w:ascii="Tahoma" w:hAnsi="Tahoma" w:cs="Tahoma" w:hint="cs"/>
          <w:sz w:val="18"/>
          <w:szCs w:val="18"/>
          <w:rtl/>
        </w:rPr>
        <w:t xml:space="preserve">. </w:t>
      </w:r>
    </w:p>
    <w:p w:rsidR="009B6D36" w:rsidRPr="00211D07" w:rsidP="0095721D">
      <w:pPr>
        <w:spacing w:after="240" w:line="240" w:lineRule="exact"/>
        <w:ind w:right="2268"/>
        <w:jc w:val="both"/>
        <w:rPr>
          <w:rFonts w:ascii="Tahoma" w:hAnsi="Tahoma" w:cs="Tahoma"/>
          <w:sz w:val="18"/>
          <w:szCs w:val="18"/>
          <w:rtl/>
        </w:rPr>
      </w:pPr>
      <w:r w:rsidRPr="00211D07">
        <w:rPr>
          <w:rFonts w:ascii="Tahoma" w:hAnsi="Tahoma" w:cs="Tahoma"/>
          <w:sz w:val="18"/>
          <w:szCs w:val="18"/>
          <w:rtl/>
        </w:rPr>
        <w:t xml:space="preserve">משרד הרווחה </w:t>
      </w:r>
      <w:r w:rsidRPr="00211D07">
        <w:rPr>
          <w:rFonts w:ascii="Tahoma" w:hAnsi="Tahoma" w:cs="Tahoma" w:hint="cs"/>
          <w:sz w:val="18"/>
          <w:szCs w:val="18"/>
          <w:rtl/>
        </w:rPr>
        <w:t xml:space="preserve">ציין בתשובתו </w:t>
      </w:r>
      <w:r w:rsidRPr="00211D07">
        <w:rPr>
          <w:rFonts w:ascii="Tahoma" w:hAnsi="Tahoma" w:cs="Tahoma"/>
          <w:sz w:val="18"/>
          <w:szCs w:val="18"/>
          <w:rtl/>
        </w:rPr>
        <w:t>כי</w:t>
      </w:r>
      <w:r w:rsidRPr="00211D07">
        <w:rPr>
          <w:rFonts w:ascii="Tahoma" w:hAnsi="Tahoma" w:cs="Tahoma" w:hint="cs"/>
          <w:sz w:val="18"/>
          <w:szCs w:val="18"/>
          <w:rtl/>
        </w:rPr>
        <w:t xml:space="preserve"> גיבוש נוסחה להקצאת תקציב לפי קריטריונים הינו תהליך מורכב הכולל איסוף נתונים, הרצת סימולציות ובחינה של החלופות השונות והוסיף כי "עם זאת, המשרד יפעל להבא לצמצם את לוח הזמנים ככל שניתן".</w:t>
      </w:r>
    </w:p>
    <w:p w:rsidR="009B6D36" w:rsidRPr="00211D07" w:rsidP="0095721D">
      <w:pPr>
        <w:pStyle w:val="RESHET"/>
        <w:rPr>
          <w:rtl/>
        </w:rPr>
      </w:pPr>
      <w:r w:rsidRPr="00211D07">
        <w:rPr>
          <w:rFonts w:hint="cs"/>
          <w:rtl/>
        </w:rPr>
        <w:t>משרד מבקר המדינה מעיר למשרד הרווחה ולוועדת ההקצאות על השיהוי בקביעת הקריטריונים ובאישורם. כתוצאה ממנו תקציבי מדינה שאושרו לא נוצלו בפועל, ונפגעו המכורים שלא קיבלו את הטיפול שהם זכאים לו.</w:t>
      </w:r>
    </w:p>
    <w:p w:rsidR="009B6D36" w:rsidRPr="00211D07" w:rsidP="00211D07">
      <w:pPr>
        <w:spacing w:line="240" w:lineRule="exact"/>
        <w:ind w:right="2268"/>
        <w:jc w:val="both"/>
        <w:rPr>
          <w:rFonts w:ascii="Tahoma" w:hAnsi="Tahoma" w:cs="Tahoma"/>
          <w:sz w:val="18"/>
          <w:szCs w:val="18"/>
          <w:rtl/>
        </w:rPr>
      </w:pPr>
    </w:p>
    <w:p w:rsidR="009B6D36" w:rsidRPr="00562C7D" w:rsidP="00211D07">
      <w:pPr>
        <w:pStyle w:val="KOT5"/>
        <w:rPr>
          <w:rtl/>
        </w:rPr>
      </w:pPr>
      <w:r>
        <w:rPr>
          <w:rFonts w:hint="cs"/>
          <w:rtl/>
        </w:rPr>
        <w:t>סירוב</w:t>
      </w:r>
      <w:r w:rsidRPr="00562C7D">
        <w:rPr>
          <w:rtl/>
        </w:rPr>
        <w:t xml:space="preserve"> </w:t>
      </w:r>
      <w:r w:rsidRPr="00562C7D">
        <w:rPr>
          <w:rFonts w:hint="cs"/>
          <w:rtl/>
        </w:rPr>
        <w:t>רשויות מקומ</w:t>
      </w:r>
      <w:r w:rsidRPr="00562C7D">
        <w:rPr>
          <w:rtl/>
        </w:rPr>
        <w:t>יות</w:t>
      </w:r>
      <w:r w:rsidRPr="00562C7D">
        <w:rPr>
          <w:rFonts w:hint="cs"/>
          <w:rtl/>
        </w:rPr>
        <w:t xml:space="preserve"> </w:t>
      </w:r>
      <w:r>
        <w:rPr>
          <w:rFonts w:hint="cs"/>
          <w:rtl/>
        </w:rPr>
        <w:t>לפתח מסגרות לטיפול בהתמכרויות</w:t>
      </w:r>
    </w:p>
    <w:p w:rsidR="009B6D36" w:rsidRPr="00211D07" w:rsidP="0095721D">
      <w:pPr>
        <w:spacing w:after="240" w:line="240" w:lineRule="exact"/>
        <w:ind w:right="2268"/>
        <w:jc w:val="both"/>
        <w:rPr>
          <w:rFonts w:ascii="Tahoma" w:hAnsi="Tahoma" w:cs="Tahoma"/>
          <w:sz w:val="18"/>
          <w:szCs w:val="18"/>
          <w:rtl/>
        </w:rPr>
      </w:pPr>
      <w:r w:rsidRPr="00211D07">
        <w:rPr>
          <w:rFonts w:ascii="Tahoma" w:hAnsi="Tahoma" w:cs="Tahoma" w:hint="cs"/>
          <w:sz w:val="18"/>
          <w:szCs w:val="18"/>
          <w:rtl/>
        </w:rPr>
        <w:t xml:space="preserve">משרד הרווחה ביסס את הקריטריונים לתוספת התקציבית לרשויות המקומיות על נתונים ומדדים של היישובים כדי לתת זכות קדימה ליישובים שנזקקים יותר לתקציב. בין הקריטריונים: היקף המכורים בכל יישוב; </w:t>
      </w:r>
      <w:r w:rsidRPr="00211D07">
        <w:rPr>
          <w:rFonts w:ascii="Tahoma" w:hAnsi="Tahoma" w:cs="Tahoma"/>
          <w:sz w:val="18"/>
          <w:szCs w:val="18"/>
          <w:rtl/>
        </w:rPr>
        <w:t xml:space="preserve">האשכול החברתי-כלכלי </w:t>
      </w:r>
      <w:r w:rsidRPr="00211D07">
        <w:rPr>
          <w:rFonts w:ascii="Tahoma" w:hAnsi="Tahoma" w:cs="Tahoma" w:hint="cs"/>
          <w:sz w:val="18"/>
          <w:szCs w:val="18"/>
          <w:rtl/>
        </w:rPr>
        <w:t>שהוא מדורג בו; היקף האוכלוסייה במצוקה</w:t>
      </w:r>
      <w:r w:rsidRPr="00211D07">
        <w:rPr>
          <w:rFonts w:ascii="Tahoma" w:hAnsi="Tahoma" w:cs="Tahoma"/>
          <w:sz w:val="18"/>
          <w:szCs w:val="18"/>
          <w:rtl/>
        </w:rPr>
        <w:t xml:space="preserve"> </w:t>
      </w:r>
      <w:r w:rsidRPr="00211D07">
        <w:rPr>
          <w:rFonts w:ascii="Tahoma" w:hAnsi="Tahoma" w:cs="Tahoma" w:hint="cs"/>
          <w:sz w:val="18"/>
          <w:szCs w:val="18"/>
          <w:rtl/>
        </w:rPr>
        <w:t xml:space="preserve">- </w:t>
      </w:r>
      <w:r w:rsidRPr="00211D07">
        <w:rPr>
          <w:rFonts w:ascii="Tahoma" w:hAnsi="Tahoma" w:cs="Tahoma"/>
          <w:sz w:val="18"/>
          <w:szCs w:val="18"/>
          <w:rtl/>
        </w:rPr>
        <w:t xml:space="preserve">חסרי דיור ובעלי הכנסות נמוכות </w:t>
      </w:r>
      <w:r w:rsidRPr="00211D07">
        <w:rPr>
          <w:rFonts w:ascii="Tahoma" w:hAnsi="Tahoma" w:cs="Tahoma" w:hint="cs"/>
          <w:sz w:val="18"/>
          <w:szCs w:val="18"/>
          <w:rtl/>
        </w:rPr>
        <w:t xml:space="preserve">- </w:t>
      </w:r>
      <w:r w:rsidRPr="00211D07">
        <w:rPr>
          <w:rFonts w:ascii="Tahoma" w:hAnsi="Tahoma" w:cs="Tahoma"/>
          <w:sz w:val="18"/>
          <w:szCs w:val="18"/>
          <w:rtl/>
        </w:rPr>
        <w:t>בקריטריונים לתקצוב מסגרות למבוגרים</w:t>
      </w:r>
      <w:r w:rsidRPr="00211D07">
        <w:rPr>
          <w:rFonts w:ascii="Tahoma" w:hAnsi="Tahoma" w:cs="Tahoma" w:hint="cs"/>
          <w:sz w:val="18"/>
          <w:szCs w:val="18"/>
          <w:rtl/>
        </w:rPr>
        <w:t>; היקף הנשירה של בני הנוער ממוסדות חינוך</w:t>
      </w:r>
      <w:r w:rsidRPr="00211D07">
        <w:rPr>
          <w:rFonts w:ascii="Tahoma" w:hAnsi="Tahoma" w:cs="Tahoma"/>
          <w:sz w:val="18"/>
          <w:szCs w:val="18"/>
          <w:rtl/>
        </w:rPr>
        <w:t xml:space="preserve"> </w:t>
      </w:r>
      <w:r w:rsidRPr="00211D07">
        <w:rPr>
          <w:rFonts w:ascii="Tahoma" w:hAnsi="Tahoma" w:cs="Tahoma" w:hint="cs"/>
          <w:sz w:val="18"/>
          <w:szCs w:val="18"/>
          <w:rtl/>
        </w:rPr>
        <w:t xml:space="preserve">- </w:t>
      </w:r>
      <w:r w:rsidRPr="00211D07">
        <w:rPr>
          <w:rFonts w:ascii="Tahoma" w:hAnsi="Tahoma" w:cs="Tahoma"/>
          <w:sz w:val="18"/>
          <w:szCs w:val="18"/>
          <w:rtl/>
        </w:rPr>
        <w:t>בקריטריונים לתקצוב מסגרות ל</w:t>
      </w:r>
      <w:r w:rsidRPr="00211D07">
        <w:rPr>
          <w:rFonts w:ascii="Tahoma" w:hAnsi="Tahoma" w:cs="Tahoma" w:hint="cs"/>
          <w:sz w:val="18"/>
          <w:szCs w:val="18"/>
          <w:rtl/>
        </w:rPr>
        <w:t xml:space="preserve">בני נוער. לאחר גיבוש הקריטריונים ובהתאם להם, החל במרץ 2018, הגיש </w:t>
      </w:r>
      <w:r w:rsidRPr="00211D07">
        <w:rPr>
          <w:rFonts w:ascii="Tahoma" w:hAnsi="Tahoma" w:cs="Tahoma"/>
          <w:sz w:val="18"/>
          <w:szCs w:val="18"/>
          <w:rtl/>
        </w:rPr>
        <w:t>השירות להתמכרויות</w:t>
      </w:r>
      <w:r w:rsidRPr="00211D07">
        <w:rPr>
          <w:rFonts w:ascii="Tahoma" w:hAnsi="Tahoma" w:cs="Tahoma" w:hint="cs"/>
          <w:sz w:val="18"/>
          <w:szCs w:val="18"/>
          <w:rtl/>
        </w:rPr>
        <w:t xml:space="preserve"> ל-72 רשויות מקומיות הצעות להקצאה תקציבית של משרד הרווחה למימון הקמתם והרחבתם של מסגרות לטיפול בקהילה בשיעור של 75% מעלותן, ויתרת המימון, בשיעור של 25% אמורה להתקבל ממקורות היישוב. </w:t>
      </w:r>
    </w:p>
    <w:p w:rsidR="009B6D36" w:rsidRPr="00211D07" w:rsidP="0095721D">
      <w:pPr>
        <w:pStyle w:val="RESHET"/>
        <w:rPr>
          <w:rtl/>
        </w:rPr>
      </w:pPr>
      <w:r w:rsidRPr="00211D07">
        <w:rPr>
          <w:rFonts w:hint="cs"/>
          <w:rtl/>
        </w:rPr>
        <w:t xml:space="preserve">13 רשויות מקומיות מאותן 72 שאליהן פנה משרד הרווחה דחו את ההצעות של </w:t>
      </w:r>
      <w:r w:rsidRPr="00211D07">
        <w:rPr>
          <w:rtl/>
        </w:rPr>
        <w:t>השירות להתמכרויות</w:t>
      </w:r>
      <w:r w:rsidRPr="00211D07">
        <w:rPr>
          <w:rFonts w:hint="cs"/>
          <w:rtl/>
        </w:rPr>
        <w:t xml:space="preserve"> להקים או לעבות מסגרות לטיפול במכורים. ואולם מתברר שלפי נתוני משרד הרווחה לסוף 2016, כי בארבע מהן היו רשומים כמה עשרות תושבים עם נזקקות שהיא התמכרות. להלן הפרטים:</w:t>
      </w:r>
    </w:p>
    <w:p w:rsidR="009B6D36" w:rsidRPr="00211D07" w:rsidP="00E76FAB">
      <w:pPr>
        <w:pStyle w:val="ListParagraph"/>
        <w:numPr>
          <w:ilvl w:val="0"/>
          <w:numId w:val="6"/>
        </w:numPr>
        <w:autoSpaceDE/>
        <w:autoSpaceDN/>
        <w:adjustRightInd/>
        <w:spacing w:before="180" w:after="240" w:line="240" w:lineRule="exact"/>
        <w:ind w:right="2268"/>
        <w:rPr>
          <w:sz w:val="18"/>
          <w:szCs w:val="18"/>
        </w:rPr>
      </w:pPr>
      <w:r w:rsidRPr="0095721D">
        <w:rPr>
          <w:rStyle w:val="Heading7Char"/>
          <w:rFonts w:ascii="Tahoma" w:hAnsi="Tahoma" w:cs="Tahoma" w:hint="cs"/>
          <w:sz w:val="17"/>
          <w:szCs w:val="17"/>
          <w:rtl/>
        </w:rPr>
        <w:t>רעננה:</w:t>
      </w:r>
      <w:r w:rsidRPr="00211D07">
        <w:rPr>
          <w:rFonts w:hint="cs"/>
          <w:sz w:val="18"/>
          <w:szCs w:val="18"/>
          <w:rtl/>
        </w:rPr>
        <w:t xml:space="preserve"> העיר מסווגת באשכול חברתי-כלכלי 8</w:t>
      </w:r>
      <w:r>
        <w:rPr>
          <w:rStyle w:val="FootnoteReference0"/>
          <w:sz w:val="18"/>
          <w:szCs w:val="18"/>
          <w:rtl/>
        </w:rPr>
        <w:footnoteReference w:id="52"/>
      </w:r>
      <w:r w:rsidRPr="00211D07">
        <w:rPr>
          <w:rFonts w:hint="cs"/>
          <w:sz w:val="18"/>
          <w:szCs w:val="18"/>
          <w:rtl/>
        </w:rPr>
        <w:t>. במועד הביקורת לא היו בה מסגרות לטיפול במכורים מבוגרים בקהילה. בשנת 2016 היו בה 38 תושבים עם נזקקות שהיא התמכרות.</w:t>
      </w:r>
      <w:r w:rsidRPr="00211D07">
        <w:rPr>
          <w:sz w:val="18"/>
          <w:szCs w:val="18"/>
          <w:rtl/>
        </w:rPr>
        <w:t xml:space="preserve"> </w:t>
      </w:r>
      <w:r w:rsidRPr="00211D07">
        <w:rPr>
          <w:rFonts w:hint="cs"/>
          <w:sz w:val="18"/>
          <w:szCs w:val="18"/>
          <w:rtl/>
        </w:rPr>
        <w:t xml:space="preserve">במרץ 2018 הציע </w:t>
      </w:r>
      <w:r w:rsidRPr="00211D07">
        <w:rPr>
          <w:sz w:val="18"/>
          <w:szCs w:val="18"/>
          <w:rtl/>
        </w:rPr>
        <w:t>השירות להתמכרויות</w:t>
      </w:r>
      <w:r w:rsidRPr="00211D07">
        <w:rPr>
          <w:rFonts w:hint="cs"/>
          <w:sz w:val="18"/>
          <w:szCs w:val="18"/>
          <w:rtl/>
        </w:rPr>
        <w:t xml:space="preserve"> לעירייה לממן הקמה של מסגרת </w:t>
      </w:r>
      <w:r w:rsidRPr="00211D07">
        <w:rPr>
          <w:sz w:val="18"/>
          <w:szCs w:val="18"/>
          <w:rtl/>
        </w:rPr>
        <w:t xml:space="preserve">חדשה </w:t>
      </w:r>
      <w:r w:rsidRPr="00211D07">
        <w:rPr>
          <w:rFonts w:hint="cs"/>
          <w:sz w:val="18"/>
          <w:szCs w:val="18"/>
          <w:rtl/>
        </w:rPr>
        <w:t>למבוגרים</w:t>
      </w:r>
      <w:r>
        <w:rPr>
          <w:sz w:val="18"/>
          <w:szCs w:val="18"/>
          <w:vertAlign w:val="superscript"/>
          <w:rtl/>
        </w:rPr>
        <w:footnoteReference w:id="53"/>
      </w:r>
      <w:r w:rsidRPr="00211D07">
        <w:rPr>
          <w:rFonts w:hint="cs"/>
          <w:sz w:val="18"/>
          <w:szCs w:val="18"/>
          <w:rtl/>
        </w:rPr>
        <w:t>. במאי 2018 דיווחה מרכזת השירות במחוז מרכז כי עיריית רעננה אינה מעוניינת להיענות להצעה. מנהלת מחלקת הרווחה של עיריית רעננה</w:t>
      </w:r>
      <w:r w:rsidRPr="00211D07">
        <w:rPr>
          <w:sz w:val="18"/>
          <w:szCs w:val="18"/>
          <w:rtl/>
        </w:rPr>
        <w:t xml:space="preserve"> ציינה </w:t>
      </w:r>
      <w:r w:rsidRPr="00211D07">
        <w:rPr>
          <w:rFonts w:hint="cs"/>
          <w:sz w:val="18"/>
          <w:szCs w:val="18"/>
          <w:rtl/>
        </w:rPr>
        <w:t>כי כעשרה מתושבי רעננה מטופלים ביחידות אזוריות. היא סבורה שאין מקום לפתוח יחידה מקומית ברעננה, ועד כה לא נתקלו בקושי לקבל את השירות ביחידות אזוריות בערים סמוכות.</w:t>
      </w:r>
      <w:r w:rsidRPr="00211D07">
        <w:rPr>
          <w:sz w:val="18"/>
          <w:szCs w:val="18"/>
          <w:rtl/>
        </w:rPr>
        <w:t xml:space="preserve"> </w:t>
      </w:r>
      <w:r w:rsidRPr="00211D07">
        <w:rPr>
          <w:rFonts w:hint="cs"/>
          <w:sz w:val="18"/>
          <w:szCs w:val="18"/>
          <w:rtl/>
        </w:rPr>
        <w:t xml:space="preserve">עוד ציינה כי </w:t>
      </w:r>
      <w:r w:rsidRPr="00211D07">
        <w:rPr>
          <w:sz w:val="18"/>
          <w:szCs w:val="18"/>
          <w:rtl/>
        </w:rPr>
        <w:t xml:space="preserve">אין </w:t>
      </w:r>
      <w:r w:rsidRPr="00211D07">
        <w:rPr>
          <w:rFonts w:hint="cs"/>
          <w:sz w:val="18"/>
          <w:szCs w:val="18"/>
          <w:rtl/>
        </w:rPr>
        <w:t>להם</w:t>
      </w:r>
      <w:r w:rsidRPr="00211D07">
        <w:rPr>
          <w:sz w:val="18"/>
          <w:szCs w:val="18"/>
          <w:rtl/>
        </w:rPr>
        <w:t xml:space="preserve"> </w:t>
      </w:r>
      <w:r w:rsidRPr="00211D07">
        <w:rPr>
          <w:rFonts w:hint="cs"/>
          <w:sz w:val="18"/>
          <w:szCs w:val="18"/>
          <w:rtl/>
        </w:rPr>
        <w:t xml:space="preserve">די מטופלים </w:t>
      </w:r>
      <w:r w:rsidRPr="00211D07">
        <w:rPr>
          <w:sz w:val="18"/>
          <w:szCs w:val="18"/>
          <w:rtl/>
        </w:rPr>
        <w:t>ש</w:t>
      </w:r>
      <w:r w:rsidRPr="00211D07">
        <w:rPr>
          <w:rFonts w:hint="cs"/>
          <w:sz w:val="18"/>
          <w:szCs w:val="18"/>
          <w:rtl/>
        </w:rPr>
        <w:t xml:space="preserve">ירצו לקבל </w:t>
      </w:r>
      <w:r w:rsidRPr="00211D07">
        <w:rPr>
          <w:sz w:val="18"/>
          <w:szCs w:val="18"/>
          <w:rtl/>
        </w:rPr>
        <w:t>ש</w:t>
      </w:r>
      <w:r w:rsidRPr="00211D07">
        <w:rPr>
          <w:rFonts w:hint="cs"/>
          <w:sz w:val="18"/>
          <w:szCs w:val="18"/>
          <w:rtl/>
        </w:rPr>
        <w:t>י</w:t>
      </w:r>
      <w:r w:rsidRPr="00211D07">
        <w:rPr>
          <w:sz w:val="18"/>
          <w:szCs w:val="18"/>
          <w:rtl/>
        </w:rPr>
        <w:t>רות ברעננה</w:t>
      </w:r>
      <w:r w:rsidRPr="00211D07">
        <w:rPr>
          <w:rFonts w:hint="cs"/>
          <w:sz w:val="18"/>
          <w:szCs w:val="18"/>
          <w:rtl/>
        </w:rPr>
        <w:t>,</w:t>
      </w:r>
      <w:r w:rsidRPr="00211D07">
        <w:rPr>
          <w:sz w:val="18"/>
          <w:szCs w:val="18"/>
          <w:rtl/>
        </w:rPr>
        <w:t xml:space="preserve"> ו</w:t>
      </w:r>
      <w:r w:rsidRPr="00211D07">
        <w:rPr>
          <w:rFonts w:hint="cs"/>
          <w:sz w:val="18"/>
          <w:szCs w:val="18"/>
          <w:rtl/>
        </w:rPr>
        <w:t xml:space="preserve">לכן </w:t>
      </w:r>
      <w:r w:rsidRPr="00211D07">
        <w:rPr>
          <w:sz w:val="18"/>
          <w:szCs w:val="18"/>
          <w:rtl/>
        </w:rPr>
        <w:t xml:space="preserve">לא </w:t>
      </w:r>
      <w:r w:rsidRPr="00211D07">
        <w:rPr>
          <w:rFonts w:hint="cs"/>
          <w:sz w:val="18"/>
          <w:szCs w:val="18"/>
          <w:rtl/>
        </w:rPr>
        <w:t>יוכלו</w:t>
      </w:r>
      <w:r w:rsidRPr="00211D07">
        <w:rPr>
          <w:sz w:val="18"/>
          <w:szCs w:val="18"/>
          <w:rtl/>
        </w:rPr>
        <w:t xml:space="preserve"> להפעיל את הש</w:t>
      </w:r>
      <w:r w:rsidRPr="00211D07">
        <w:rPr>
          <w:rFonts w:hint="cs"/>
          <w:sz w:val="18"/>
          <w:szCs w:val="18"/>
          <w:rtl/>
        </w:rPr>
        <w:t>י</w:t>
      </w:r>
      <w:r w:rsidRPr="00211D07">
        <w:rPr>
          <w:sz w:val="18"/>
          <w:szCs w:val="18"/>
          <w:rtl/>
        </w:rPr>
        <w:t xml:space="preserve">רות ביעילות אלא אם </w:t>
      </w:r>
      <w:r w:rsidRPr="00211D07">
        <w:rPr>
          <w:rFonts w:hint="cs"/>
          <w:sz w:val="18"/>
          <w:szCs w:val="18"/>
          <w:rtl/>
        </w:rPr>
        <w:t>כן יפתחו</w:t>
      </w:r>
      <w:r w:rsidRPr="00211D07">
        <w:rPr>
          <w:sz w:val="18"/>
          <w:szCs w:val="18"/>
          <w:rtl/>
        </w:rPr>
        <w:t xml:space="preserve"> ש</w:t>
      </w:r>
      <w:r w:rsidRPr="00211D07">
        <w:rPr>
          <w:rFonts w:hint="cs"/>
          <w:sz w:val="18"/>
          <w:szCs w:val="18"/>
          <w:rtl/>
        </w:rPr>
        <w:t>י</w:t>
      </w:r>
      <w:r w:rsidRPr="00211D07">
        <w:rPr>
          <w:sz w:val="18"/>
          <w:szCs w:val="18"/>
          <w:rtl/>
        </w:rPr>
        <w:t>רות אזורי</w:t>
      </w:r>
      <w:r w:rsidRPr="00211D07">
        <w:rPr>
          <w:rFonts w:hint="cs"/>
          <w:sz w:val="18"/>
          <w:szCs w:val="18"/>
          <w:rtl/>
        </w:rPr>
        <w:t>. עיריית רעננה הוסיפ</w:t>
      </w:r>
      <w:r w:rsidRPr="00211D07">
        <w:rPr>
          <w:sz w:val="18"/>
          <w:szCs w:val="18"/>
          <w:rtl/>
        </w:rPr>
        <w:t>ה בתשובה מ</w:t>
      </w:r>
      <w:r w:rsidRPr="00211D07">
        <w:rPr>
          <w:rFonts w:hint="cs"/>
          <w:sz w:val="18"/>
          <w:szCs w:val="18"/>
          <w:rtl/>
        </w:rPr>
        <w:t>אוקטו</w:t>
      </w:r>
      <w:r w:rsidRPr="00211D07">
        <w:rPr>
          <w:sz w:val="18"/>
          <w:szCs w:val="18"/>
          <w:rtl/>
        </w:rPr>
        <w:t>בר 2018</w:t>
      </w:r>
      <w:r w:rsidRPr="00211D07">
        <w:rPr>
          <w:rFonts w:hint="cs"/>
          <w:sz w:val="18"/>
          <w:szCs w:val="18"/>
          <w:rtl/>
        </w:rPr>
        <w:t xml:space="preserve"> שיש עוד </w:t>
      </w:r>
      <w:r w:rsidRPr="00211D07">
        <w:rPr>
          <w:sz w:val="18"/>
          <w:szCs w:val="18"/>
          <w:rtl/>
        </w:rPr>
        <w:t xml:space="preserve">סיבות לכך </w:t>
      </w:r>
      <w:r w:rsidRPr="00211D07">
        <w:rPr>
          <w:rFonts w:hint="cs"/>
          <w:sz w:val="18"/>
          <w:szCs w:val="18"/>
          <w:rtl/>
        </w:rPr>
        <w:t xml:space="preserve">שתושבים עם נזקקות שהיא התמכרות לא נשלחו לטיפול </w:t>
      </w:r>
      <w:r w:rsidRPr="00211D07">
        <w:rPr>
          <w:sz w:val="18"/>
          <w:szCs w:val="18"/>
          <w:rtl/>
        </w:rPr>
        <w:t xml:space="preserve">ובהן: </w:t>
      </w:r>
      <w:r w:rsidRPr="00211D07">
        <w:rPr>
          <w:rFonts w:hint="cs"/>
          <w:sz w:val="18"/>
          <w:szCs w:val="18"/>
          <w:rtl/>
        </w:rPr>
        <w:t>לכמה מהם לא הייתה מוטיבציה "להיכנס לתהליך גמילה" וכמה אחרים "מכחישים את ההתמכרות".</w:t>
      </w:r>
    </w:p>
    <w:p w:rsidR="009B6D36" w:rsidRPr="00211D07" w:rsidP="0095721D">
      <w:pPr>
        <w:pStyle w:val="RESHET"/>
        <w:ind w:left="567"/>
        <w:rPr>
          <w:rtl/>
        </w:rPr>
      </w:pPr>
      <w:r w:rsidRPr="00211D07">
        <w:rPr>
          <w:rFonts w:hint="cs"/>
          <w:rtl/>
        </w:rPr>
        <w:t>משרד מבקר המדינה מעיר לעיריית</w:t>
      </w:r>
      <w:r w:rsidRPr="00211D07">
        <w:rPr>
          <w:rtl/>
        </w:rPr>
        <w:t xml:space="preserve"> רעננה</w:t>
      </w:r>
      <w:r w:rsidRPr="00211D07">
        <w:rPr>
          <w:rFonts w:hint="cs"/>
          <w:rtl/>
        </w:rPr>
        <w:t xml:space="preserve"> שככלל, המוטיבציה של מכורים לשנות את מצבם היא נמוכה, ולכן אחד מתפקידיו של עו"ס ההתמכרויות ברשות המקומית הוא לטעת במכור את המוטיבציה לטיפול, תוך התמודדות עם ההכחשה של ההתמכרות שהיא שכיחה בקרב מכורים. ואולם בהיעדר יחידת התמכרויות ועו"ס התמכרויות בעיר ספק אם יש מי שימלא תפקיד זה. עיריית רעננה אמנם מפנה מטופלים לרשויות סמוכות, אך ללא תקן של עו"ס התמכרויות ספק אם האמצעים שננקטו לאיתור ולשכנוע של מכורים לקבל טיפול יכולים להיות מיטביים. </w:t>
      </w:r>
    </w:p>
    <w:p w:rsidR="009B6D36" w:rsidRPr="00211D07" w:rsidP="00E76FAB">
      <w:pPr>
        <w:pStyle w:val="ListParagraph"/>
        <w:numPr>
          <w:ilvl w:val="0"/>
          <w:numId w:val="6"/>
        </w:numPr>
        <w:autoSpaceDE/>
        <w:autoSpaceDN/>
        <w:adjustRightInd/>
        <w:spacing w:before="180" w:line="240" w:lineRule="exact"/>
        <w:ind w:right="2268"/>
        <w:rPr>
          <w:sz w:val="18"/>
          <w:szCs w:val="18"/>
        </w:rPr>
      </w:pPr>
      <w:r w:rsidRPr="0095721D">
        <w:rPr>
          <w:rStyle w:val="Heading7Char"/>
          <w:rFonts w:ascii="Tahoma" w:hAnsi="Tahoma" w:cs="Tahoma" w:hint="cs"/>
          <w:sz w:val="17"/>
          <w:szCs w:val="17"/>
          <w:rtl/>
        </w:rPr>
        <w:t>ערד:</w:t>
      </w:r>
      <w:r w:rsidRPr="00211D07">
        <w:rPr>
          <w:rFonts w:hint="cs"/>
          <w:sz w:val="18"/>
          <w:szCs w:val="18"/>
          <w:rtl/>
        </w:rPr>
        <w:t xml:space="preserve"> העיר מסווגת באשכול חברתי-כלכלי 4. במועד הביקורת היה לה תקן לעו"ס בהיקף של 0.75 משרה לטיפול במבוגרים. בשנת 2016 היו בה 64 תושבים עם נזקקות שהיא התמכרות. במרץ 2018 הציע </w:t>
      </w:r>
      <w:r w:rsidRPr="00211D07">
        <w:rPr>
          <w:sz w:val="18"/>
          <w:szCs w:val="18"/>
          <w:rtl/>
        </w:rPr>
        <w:t>השירות להתמכרויות</w:t>
      </w:r>
      <w:r w:rsidRPr="00211D07">
        <w:rPr>
          <w:rFonts w:hint="cs"/>
          <w:sz w:val="18"/>
          <w:szCs w:val="18"/>
          <w:rtl/>
        </w:rPr>
        <w:t xml:space="preserve"> לעירייה לממן עיבוי של היחידה לטיפול במבוגרים או הקמה של מסגרת </w:t>
      </w:r>
      <w:r w:rsidRPr="00211D07">
        <w:rPr>
          <w:rFonts w:hint="eastAsia"/>
          <w:sz w:val="18"/>
          <w:szCs w:val="18"/>
          <w:rtl/>
        </w:rPr>
        <w:t>חדשה</w:t>
      </w:r>
      <w:r w:rsidRPr="00211D07">
        <w:rPr>
          <w:rFonts w:hint="cs"/>
          <w:sz w:val="18"/>
          <w:szCs w:val="18"/>
          <w:rtl/>
        </w:rPr>
        <w:t xml:space="preserve"> למבוגרים</w:t>
      </w:r>
      <w:r>
        <w:rPr>
          <w:sz w:val="18"/>
          <w:szCs w:val="18"/>
          <w:vertAlign w:val="superscript"/>
          <w:rtl/>
        </w:rPr>
        <w:footnoteReference w:id="54"/>
      </w:r>
      <w:r w:rsidRPr="00211D07">
        <w:rPr>
          <w:rFonts w:hint="cs"/>
          <w:sz w:val="18"/>
          <w:szCs w:val="18"/>
          <w:rtl/>
        </w:rPr>
        <w:t>. ואולם העירייה דחתה את ההצעה בנימוק כי לעירייה אין אפשרות לקבל עובדים חדשים. מנהלת המחלקה לשירותים חברתיים בעיריית ערד ציינה</w:t>
      </w:r>
      <w:r w:rsidRPr="00211D07">
        <w:rPr>
          <w:sz w:val="18"/>
          <w:szCs w:val="18"/>
          <w:rtl/>
        </w:rPr>
        <w:t xml:space="preserve"> </w:t>
      </w:r>
      <w:r w:rsidRPr="00211D07">
        <w:rPr>
          <w:rFonts w:hint="cs"/>
          <w:sz w:val="18"/>
          <w:szCs w:val="18"/>
          <w:rtl/>
        </w:rPr>
        <w:t xml:space="preserve">כי העירייה </w:t>
      </w:r>
      <w:r w:rsidRPr="00211D07">
        <w:rPr>
          <w:sz w:val="18"/>
          <w:szCs w:val="18"/>
          <w:rtl/>
        </w:rPr>
        <w:t xml:space="preserve">דחתה את ההצעה של משרד הרווחה </w:t>
      </w:r>
      <w:r w:rsidRPr="00211D07">
        <w:rPr>
          <w:rFonts w:hint="cs"/>
          <w:sz w:val="18"/>
          <w:szCs w:val="18"/>
          <w:rtl/>
        </w:rPr>
        <w:t>בשל</w:t>
      </w:r>
      <w:r w:rsidRPr="00211D07">
        <w:rPr>
          <w:sz w:val="18"/>
          <w:szCs w:val="18"/>
          <w:rtl/>
        </w:rPr>
        <w:t xml:space="preserve"> מצב</w:t>
      </w:r>
      <w:r w:rsidRPr="00211D07">
        <w:rPr>
          <w:rFonts w:hint="cs"/>
          <w:sz w:val="18"/>
          <w:szCs w:val="18"/>
          <w:rtl/>
        </w:rPr>
        <w:t>ה</w:t>
      </w:r>
      <w:r w:rsidRPr="00211D07">
        <w:rPr>
          <w:sz w:val="18"/>
          <w:szCs w:val="18"/>
          <w:rtl/>
        </w:rPr>
        <w:t xml:space="preserve"> הכלכלי הקשה</w:t>
      </w:r>
      <w:r w:rsidRPr="00211D07">
        <w:rPr>
          <w:rFonts w:hint="cs"/>
          <w:sz w:val="18"/>
          <w:szCs w:val="18"/>
          <w:rtl/>
        </w:rPr>
        <w:t>.</w:t>
      </w:r>
      <w:r w:rsidRPr="00211D07">
        <w:rPr>
          <w:sz w:val="18"/>
          <w:szCs w:val="18"/>
          <w:rtl/>
        </w:rPr>
        <w:t xml:space="preserve"> </w:t>
      </w:r>
      <w:r w:rsidRPr="00211D07">
        <w:rPr>
          <w:rFonts w:hint="cs"/>
          <w:sz w:val="18"/>
          <w:szCs w:val="18"/>
          <w:rtl/>
        </w:rPr>
        <w:t xml:space="preserve">מנהלת המחלקה הוסיפה כי </w:t>
      </w:r>
      <w:r w:rsidRPr="00211D07">
        <w:rPr>
          <w:sz w:val="18"/>
          <w:szCs w:val="18"/>
          <w:rtl/>
        </w:rPr>
        <w:t xml:space="preserve">היחידה הקיימת לטיפול במכורים מבוגרים </w:t>
      </w:r>
      <w:r w:rsidRPr="00211D07">
        <w:rPr>
          <w:rFonts w:hint="cs"/>
          <w:sz w:val="18"/>
          <w:szCs w:val="18"/>
          <w:rtl/>
        </w:rPr>
        <w:t xml:space="preserve">היא </w:t>
      </w:r>
      <w:r w:rsidRPr="00211D07">
        <w:rPr>
          <w:sz w:val="18"/>
          <w:szCs w:val="18"/>
          <w:rtl/>
        </w:rPr>
        <w:t xml:space="preserve">עמוסה. </w:t>
      </w:r>
      <w:r w:rsidRPr="00211D07">
        <w:rPr>
          <w:rFonts w:hint="cs"/>
          <w:sz w:val="18"/>
          <w:szCs w:val="18"/>
          <w:rtl/>
        </w:rPr>
        <w:t xml:space="preserve">עקב העומס </w:t>
      </w:r>
      <w:r w:rsidRPr="00211D07">
        <w:rPr>
          <w:sz w:val="18"/>
          <w:szCs w:val="18"/>
          <w:rtl/>
        </w:rPr>
        <w:t>יש מכורים שממתינים לטיפול ("רשימות המתנה")</w:t>
      </w:r>
      <w:r w:rsidRPr="00211D07">
        <w:rPr>
          <w:rFonts w:hint="cs"/>
          <w:sz w:val="18"/>
          <w:szCs w:val="18"/>
          <w:rtl/>
        </w:rPr>
        <w:t xml:space="preserve">. המכורים לסמים שממתינים לטיפול </w:t>
      </w:r>
      <w:r w:rsidRPr="00211D07">
        <w:rPr>
          <w:sz w:val="18"/>
          <w:szCs w:val="18"/>
          <w:rtl/>
        </w:rPr>
        <w:t>א</w:t>
      </w:r>
      <w:r w:rsidRPr="00211D07">
        <w:rPr>
          <w:rFonts w:hint="cs"/>
          <w:sz w:val="18"/>
          <w:szCs w:val="18"/>
          <w:rtl/>
        </w:rPr>
        <w:t>ינם</w:t>
      </w:r>
      <w:r w:rsidRPr="00211D07">
        <w:rPr>
          <w:sz w:val="18"/>
          <w:szCs w:val="18"/>
          <w:rtl/>
        </w:rPr>
        <w:t xml:space="preserve"> מופנים ל</w:t>
      </w:r>
      <w:r w:rsidRPr="00211D07">
        <w:rPr>
          <w:rFonts w:hint="cs"/>
          <w:sz w:val="18"/>
          <w:szCs w:val="18"/>
          <w:rtl/>
        </w:rPr>
        <w:t>טיפול ב</w:t>
      </w:r>
      <w:r w:rsidRPr="00211D07">
        <w:rPr>
          <w:sz w:val="18"/>
          <w:szCs w:val="18"/>
          <w:rtl/>
        </w:rPr>
        <w:t xml:space="preserve">יחידות אזוריות מאחר </w:t>
      </w:r>
      <w:r w:rsidRPr="00211D07">
        <w:rPr>
          <w:rFonts w:hint="cs"/>
          <w:sz w:val="18"/>
          <w:szCs w:val="18"/>
          <w:rtl/>
        </w:rPr>
        <w:t>ש</w:t>
      </w:r>
      <w:r w:rsidRPr="00211D07">
        <w:rPr>
          <w:sz w:val="18"/>
          <w:szCs w:val="18"/>
          <w:rtl/>
        </w:rPr>
        <w:t>הם אמורים לקבל טיפול בערד</w:t>
      </w:r>
      <w:r w:rsidRPr="00211D07">
        <w:rPr>
          <w:rFonts w:hint="cs"/>
          <w:sz w:val="18"/>
          <w:szCs w:val="18"/>
          <w:rtl/>
        </w:rPr>
        <w:t>.</w:t>
      </w:r>
      <w:r w:rsidRPr="00211D07">
        <w:rPr>
          <w:sz w:val="18"/>
          <w:szCs w:val="18"/>
          <w:rtl/>
        </w:rPr>
        <w:t xml:space="preserve"> עקב העומס </w:t>
      </w:r>
      <w:r w:rsidRPr="00211D07">
        <w:rPr>
          <w:rFonts w:hint="cs"/>
          <w:sz w:val="18"/>
          <w:szCs w:val="18"/>
          <w:rtl/>
        </w:rPr>
        <w:t xml:space="preserve">והמחסור בכוח אדם </w:t>
      </w:r>
      <w:r w:rsidRPr="00211D07">
        <w:rPr>
          <w:sz w:val="18"/>
          <w:szCs w:val="18"/>
          <w:rtl/>
        </w:rPr>
        <w:t>לא מ</w:t>
      </w:r>
      <w:r w:rsidRPr="00211D07">
        <w:rPr>
          <w:rFonts w:hint="cs"/>
          <w:sz w:val="18"/>
          <w:szCs w:val="18"/>
          <w:rtl/>
        </w:rPr>
        <w:t>תקיים</w:t>
      </w:r>
      <w:r w:rsidRPr="00211D07">
        <w:rPr>
          <w:sz w:val="18"/>
          <w:szCs w:val="18"/>
          <w:rtl/>
        </w:rPr>
        <w:t xml:space="preserve"> איתור יזום ("שיחור") אחר מכורים </w:t>
      </w:r>
      <w:r w:rsidRPr="00211D07">
        <w:rPr>
          <w:rFonts w:hint="eastAsia"/>
          <w:sz w:val="18"/>
          <w:szCs w:val="18"/>
          <w:rtl/>
        </w:rPr>
        <w:t>נוספים</w:t>
      </w:r>
      <w:r w:rsidRPr="00211D07">
        <w:rPr>
          <w:rFonts w:hint="cs"/>
          <w:sz w:val="18"/>
          <w:szCs w:val="18"/>
          <w:rtl/>
        </w:rPr>
        <w:t xml:space="preserve"> </w:t>
      </w:r>
      <w:r w:rsidRPr="00211D07">
        <w:rPr>
          <w:sz w:val="18"/>
          <w:szCs w:val="18"/>
          <w:rtl/>
        </w:rPr>
        <w:t>בעיר.</w:t>
      </w:r>
      <w:r w:rsidRPr="00211D07">
        <w:rPr>
          <w:rFonts w:hint="cs"/>
          <w:sz w:val="18"/>
          <w:szCs w:val="18"/>
          <w:rtl/>
        </w:rPr>
        <w:t xml:space="preserve"> </w:t>
      </w:r>
    </w:p>
    <w:p w:rsidR="009B6D36" w:rsidRPr="00211D07" w:rsidP="00211D07">
      <w:pPr>
        <w:spacing w:line="240" w:lineRule="exact"/>
        <w:ind w:left="340" w:right="2268"/>
        <w:jc w:val="both"/>
        <w:rPr>
          <w:rFonts w:ascii="Tahoma" w:hAnsi="Tahoma" w:cs="Tahoma"/>
          <w:sz w:val="18"/>
          <w:szCs w:val="18"/>
        </w:rPr>
      </w:pPr>
      <w:r w:rsidRPr="0095721D">
        <w:rPr>
          <w:rStyle w:val="Heading7Char"/>
          <w:rFonts w:ascii="Tahoma" w:hAnsi="Tahoma" w:cs="Tahoma" w:hint="cs"/>
          <w:sz w:val="17"/>
          <w:szCs w:val="17"/>
          <w:rtl/>
        </w:rPr>
        <w:t>נתיבות</w:t>
      </w:r>
      <w:r w:rsidRPr="0095721D">
        <w:rPr>
          <w:rStyle w:val="Heading7Char"/>
          <w:rFonts w:ascii="Tahoma" w:hAnsi="Tahoma" w:cs="Tahoma" w:hint="cs"/>
          <w:b w:val="0"/>
          <w:bCs w:val="0"/>
          <w:sz w:val="17"/>
          <w:szCs w:val="17"/>
          <w:rtl/>
        </w:rPr>
        <w:t>:</w:t>
      </w:r>
      <w:r w:rsidRPr="00211D07">
        <w:rPr>
          <w:rFonts w:ascii="Tahoma" w:hAnsi="Tahoma" w:cs="Tahoma" w:hint="cs"/>
          <w:b/>
          <w:bCs/>
          <w:sz w:val="18"/>
          <w:szCs w:val="18"/>
          <w:rtl/>
        </w:rPr>
        <w:t xml:space="preserve"> </w:t>
      </w:r>
      <w:r w:rsidRPr="00211D07">
        <w:rPr>
          <w:rFonts w:ascii="Tahoma" w:hAnsi="Tahoma" w:cs="Tahoma"/>
          <w:sz w:val="18"/>
          <w:szCs w:val="18"/>
          <w:rtl/>
        </w:rPr>
        <w:t xml:space="preserve">העיר מסווגת באשכול חברתי-כלכלי </w:t>
      </w:r>
      <w:r w:rsidRPr="00211D07">
        <w:rPr>
          <w:rFonts w:ascii="Tahoma" w:hAnsi="Tahoma" w:cs="Tahoma" w:hint="cs"/>
          <w:sz w:val="18"/>
          <w:szCs w:val="18"/>
          <w:rtl/>
        </w:rPr>
        <w:t>3. במועד הביקורת היה לה תקן לעו"ס בהיקף של 0.75 משרה לטיפול במבוגרים. בשנת 2016 היו בה 81 תושבים עם נזקקות שהיא התמכרות.</w:t>
      </w:r>
      <w:r w:rsidRPr="00211D07">
        <w:rPr>
          <w:rFonts w:ascii="Tahoma" w:hAnsi="Tahoma" w:cs="Tahoma"/>
          <w:sz w:val="18"/>
          <w:szCs w:val="18"/>
          <w:rtl/>
        </w:rPr>
        <w:t xml:space="preserve"> </w:t>
      </w:r>
      <w:r w:rsidRPr="00211D07">
        <w:rPr>
          <w:rFonts w:ascii="Tahoma" w:hAnsi="Tahoma" w:cs="Tahoma" w:hint="cs"/>
          <w:sz w:val="18"/>
          <w:szCs w:val="18"/>
          <w:rtl/>
        </w:rPr>
        <w:t xml:space="preserve">במרץ 2018 הציע </w:t>
      </w:r>
      <w:r w:rsidRPr="00211D07">
        <w:rPr>
          <w:rFonts w:ascii="Tahoma" w:hAnsi="Tahoma" w:cs="Tahoma"/>
          <w:sz w:val="18"/>
          <w:szCs w:val="18"/>
          <w:rtl/>
        </w:rPr>
        <w:t>השירות להתמכרויות</w:t>
      </w:r>
      <w:r w:rsidRPr="00211D07">
        <w:rPr>
          <w:rFonts w:ascii="Tahoma" w:hAnsi="Tahoma" w:cs="Tahoma" w:hint="cs"/>
          <w:sz w:val="18"/>
          <w:szCs w:val="18"/>
          <w:rtl/>
        </w:rPr>
        <w:t xml:space="preserve"> לעירייה לממן עיבוי של היחידה לטיפול במבוגרים או הקמה של מסגרת חדשה בעבורם</w:t>
      </w:r>
      <w:r>
        <w:rPr>
          <w:rFonts w:ascii="Tahoma" w:hAnsi="Tahoma" w:cs="Tahoma"/>
          <w:sz w:val="18"/>
          <w:szCs w:val="18"/>
          <w:vertAlign w:val="superscript"/>
          <w:rtl/>
        </w:rPr>
        <w:footnoteReference w:id="55"/>
      </w:r>
      <w:r w:rsidRPr="00211D07">
        <w:rPr>
          <w:rFonts w:ascii="Tahoma" w:hAnsi="Tahoma" w:cs="Tahoma" w:hint="cs"/>
          <w:sz w:val="18"/>
          <w:szCs w:val="18"/>
          <w:rtl/>
        </w:rPr>
        <w:t xml:space="preserve">. העירייה דחתה את ההצעה עקב "הקשיים </w:t>
      </w:r>
      <w:r w:rsidRPr="0095721D">
        <w:rPr>
          <w:rFonts w:ascii="Tahoma" w:hAnsi="Tahoma" w:cs="Tahoma" w:hint="cs"/>
          <w:spacing w:val="-4"/>
          <w:sz w:val="18"/>
          <w:szCs w:val="18"/>
          <w:rtl/>
        </w:rPr>
        <w:t>הכספיים של הרשות"</w:t>
      </w:r>
      <w:r>
        <w:rPr>
          <w:rFonts w:ascii="Tahoma" w:hAnsi="Tahoma" w:cs="Tahoma"/>
          <w:spacing w:val="-4"/>
          <w:sz w:val="18"/>
          <w:szCs w:val="18"/>
          <w:vertAlign w:val="superscript"/>
          <w:rtl/>
        </w:rPr>
        <w:footnoteReference w:id="56"/>
      </w:r>
      <w:r w:rsidRPr="0095721D">
        <w:rPr>
          <w:rFonts w:ascii="Tahoma" w:hAnsi="Tahoma" w:cs="Tahoma" w:hint="cs"/>
          <w:spacing w:val="-4"/>
          <w:sz w:val="18"/>
          <w:szCs w:val="18"/>
          <w:rtl/>
        </w:rPr>
        <w:t>. מנהלת המחלקה לשירותים חברתיים בעיריית נתיבות</w:t>
      </w:r>
      <w:r w:rsidRPr="00211D07">
        <w:rPr>
          <w:rFonts w:ascii="Tahoma" w:hAnsi="Tahoma" w:cs="Tahoma" w:hint="cs"/>
          <w:sz w:val="18"/>
          <w:szCs w:val="18"/>
          <w:rtl/>
        </w:rPr>
        <w:t xml:space="preserve"> ציינה כי היחידה הקיימת היא עמוסה</w:t>
      </w:r>
      <w:r>
        <w:rPr>
          <w:rStyle w:val="FootnoteReference0"/>
          <w:rFonts w:ascii="Tahoma" w:hAnsi="Tahoma" w:cs="Tahoma"/>
          <w:sz w:val="18"/>
          <w:szCs w:val="18"/>
          <w:rtl/>
        </w:rPr>
        <w:footnoteReference w:id="57"/>
      </w:r>
      <w:r w:rsidRPr="00211D07">
        <w:rPr>
          <w:rFonts w:ascii="Tahoma" w:hAnsi="Tahoma" w:cs="Tahoma" w:hint="cs"/>
          <w:sz w:val="18"/>
          <w:szCs w:val="18"/>
          <w:rtl/>
        </w:rPr>
        <w:t>, ויש מכורים שרובם אינם מופנים לקבלת טיפול ביחידות אזוריות שממתינים לטיפול.</w:t>
      </w:r>
    </w:p>
    <w:p w:rsidR="009B6D36" w:rsidRPr="00211D07" w:rsidP="00211D07">
      <w:pPr>
        <w:spacing w:line="240" w:lineRule="exact"/>
        <w:ind w:left="340" w:right="2268"/>
        <w:jc w:val="both"/>
        <w:rPr>
          <w:rFonts w:ascii="Tahoma" w:hAnsi="Tahoma" w:cs="Tahoma"/>
          <w:sz w:val="18"/>
          <w:szCs w:val="18"/>
          <w:rtl/>
        </w:rPr>
      </w:pPr>
      <w:r w:rsidRPr="00211D07">
        <w:rPr>
          <w:rFonts w:ascii="Tahoma" w:hAnsi="Tahoma" w:cs="Tahoma" w:hint="cs"/>
          <w:sz w:val="18"/>
          <w:szCs w:val="18"/>
          <w:rtl/>
        </w:rPr>
        <w:t xml:space="preserve">ראש </w:t>
      </w:r>
      <w:r w:rsidRPr="00211D07">
        <w:rPr>
          <w:rFonts w:ascii="Tahoma" w:hAnsi="Tahoma" w:cs="Tahoma"/>
          <w:sz w:val="18"/>
          <w:szCs w:val="18"/>
          <w:rtl/>
        </w:rPr>
        <w:t>עיריית נ</w:t>
      </w:r>
      <w:r w:rsidRPr="00211D07">
        <w:rPr>
          <w:rFonts w:ascii="Tahoma" w:hAnsi="Tahoma" w:cs="Tahoma" w:hint="cs"/>
          <w:sz w:val="18"/>
          <w:szCs w:val="18"/>
          <w:rtl/>
        </w:rPr>
        <w:t>תיבות</w:t>
      </w:r>
      <w:r w:rsidRPr="00211D07">
        <w:rPr>
          <w:rFonts w:ascii="Tahoma" w:hAnsi="Tahoma" w:cs="Tahoma"/>
          <w:sz w:val="18"/>
          <w:szCs w:val="18"/>
          <w:rtl/>
        </w:rPr>
        <w:t xml:space="preserve"> </w:t>
      </w:r>
      <w:r w:rsidRPr="00211D07">
        <w:rPr>
          <w:rFonts w:ascii="Tahoma" w:hAnsi="Tahoma" w:cs="Tahoma" w:hint="cs"/>
          <w:sz w:val="18"/>
          <w:szCs w:val="18"/>
          <w:rtl/>
        </w:rPr>
        <w:t>ציין בתשובתו מ</w:t>
      </w:r>
      <w:r w:rsidRPr="00211D07">
        <w:rPr>
          <w:rFonts w:ascii="Tahoma" w:hAnsi="Tahoma" w:cs="Tahoma"/>
          <w:sz w:val="18"/>
          <w:szCs w:val="18"/>
          <w:rtl/>
        </w:rPr>
        <w:t>נובמבר 2018, כי</w:t>
      </w:r>
      <w:r w:rsidRPr="00211D07">
        <w:rPr>
          <w:rFonts w:ascii="Tahoma" w:hAnsi="Tahoma" w:cs="Tahoma" w:hint="cs"/>
          <w:sz w:val="18"/>
          <w:szCs w:val="18"/>
          <w:rtl/>
        </w:rPr>
        <w:t xml:space="preserve"> "בהעדר תקציב למימון 25% מההוצאות הכרוכות בעיבוי היחידה" החליט שלא להיענות להצעה לעיבוי היחידה לטיפול במבוגרים ו"תחת זאת" להיענות להצעה להקים מסגרת חדשה לטיפול בצעירים מאחר ש"מדובר בשירות נדרש </w:t>
      </w:r>
      <w:r w:rsidRPr="00211D07">
        <w:rPr>
          <w:rFonts w:ascii="Tahoma" w:hAnsi="Tahoma" w:cs="Tahoma" w:hint="cs"/>
          <w:sz w:val="18"/>
          <w:szCs w:val="18"/>
          <w:rtl/>
        </w:rPr>
        <w:t xml:space="preserve">וחדש ש[בו] העירייה לא הציעה עד כה דרכי טיפול בהיקף הנדרש". עוד ציין ראש העיר כי שיטת התקצוב הקיימת שבה פעולות הרווחה ממומנות בהיקף של 75% על ידי הממשלה בעוד הרשות המקומית נדרשת לממן 25% מעלותן - שם את ראש הרשות "בין הפטיש לסדן... בין חובתו להעניק שירותי רווחה בהתאם למלוא היקף [ה]צרכים... ובין חובתו... לא לחרוג ממסגרות התקציב וליצור גירעון" במצב זה "הוא "נדרש לערוך סדרי עדיפויות של מצוקות בהתאם למגבלות התקציב שעומד לרשות העירייה". </w:t>
      </w:r>
    </w:p>
    <w:p w:rsidR="009B6D36" w:rsidRPr="00211D07" w:rsidP="00211D07">
      <w:pPr>
        <w:spacing w:line="240" w:lineRule="exact"/>
        <w:ind w:left="340" w:right="2268"/>
        <w:jc w:val="both"/>
        <w:rPr>
          <w:rFonts w:ascii="Tahoma" w:hAnsi="Tahoma" w:cs="Tahoma"/>
          <w:sz w:val="18"/>
          <w:szCs w:val="18"/>
        </w:rPr>
      </w:pPr>
      <w:r w:rsidRPr="0095721D">
        <w:rPr>
          <w:rStyle w:val="Heading7Char"/>
          <w:rFonts w:ascii="Tahoma" w:hAnsi="Tahoma" w:cs="Tahoma" w:hint="cs"/>
          <w:sz w:val="17"/>
          <w:szCs w:val="17"/>
          <w:rtl/>
        </w:rPr>
        <w:t>נס ציונה:</w:t>
      </w:r>
      <w:r w:rsidRPr="00211D07">
        <w:rPr>
          <w:rFonts w:ascii="Tahoma" w:hAnsi="Tahoma" w:cs="Tahoma" w:hint="cs"/>
          <w:sz w:val="18"/>
          <w:szCs w:val="18"/>
          <w:rtl/>
        </w:rPr>
        <w:t xml:space="preserve"> העיר מסווגת באשכול חברתי-כלכלי 8. במועד הביקורת לא היו בה מסגרות לטיפול במכורים מבוגרים בקהילה. בשנת 2016 התגוררו בה 47 תושבים עם נזקקות שהיא התמכרות. באפריל 2018 הציע </w:t>
      </w:r>
      <w:r w:rsidRPr="00211D07">
        <w:rPr>
          <w:rFonts w:ascii="Tahoma" w:hAnsi="Tahoma" w:cs="Tahoma"/>
          <w:sz w:val="18"/>
          <w:szCs w:val="18"/>
          <w:rtl/>
        </w:rPr>
        <w:t xml:space="preserve">השירות </w:t>
      </w:r>
      <w:r w:rsidRPr="0095721D">
        <w:rPr>
          <w:rFonts w:ascii="Tahoma" w:hAnsi="Tahoma" w:cs="Tahoma"/>
          <w:spacing w:val="-4"/>
          <w:sz w:val="18"/>
          <w:szCs w:val="18"/>
          <w:rtl/>
        </w:rPr>
        <w:t>להתמכרויות</w:t>
      </w:r>
      <w:r w:rsidRPr="0095721D">
        <w:rPr>
          <w:rFonts w:ascii="Tahoma" w:hAnsi="Tahoma" w:cs="Tahoma" w:hint="cs"/>
          <w:spacing w:val="-4"/>
          <w:sz w:val="18"/>
          <w:szCs w:val="18"/>
          <w:rtl/>
        </w:rPr>
        <w:t xml:space="preserve"> לעירייה לממן הקמה של מסגרת </w:t>
      </w:r>
      <w:r w:rsidRPr="0095721D">
        <w:rPr>
          <w:rFonts w:ascii="Tahoma" w:hAnsi="Tahoma" w:cs="Tahoma"/>
          <w:spacing w:val="-4"/>
          <w:sz w:val="18"/>
          <w:szCs w:val="18"/>
          <w:rtl/>
        </w:rPr>
        <w:t xml:space="preserve">חדשה </w:t>
      </w:r>
      <w:r w:rsidRPr="0095721D">
        <w:rPr>
          <w:rFonts w:ascii="Tahoma" w:hAnsi="Tahoma" w:cs="Tahoma" w:hint="cs"/>
          <w:spacing w:val="-4"/>
          <w:sz w:val="18"/>
          <w:szCs w:val="18"/>
          <w:rtl/>
        </w:rPr>
        <w:t>למבוגרים</w:t>
      </w:r>
      <w:r>
        <w:rPr>
          <w:rFonts w:ascii="Tahoma" w:hAnsi="Tahoma" w:cs="Tahoma"/>
          <w:spacing w:val="-4"/>
          <w:sz w:val="18"/>
          <w:szCs w:val="18"/>
          <w:vertAlign w:val="superscript"/>
          <w:rtl/>
        </w:rPr>
        <w:footnoteReference w:id="58"/>
      </w:r>
      <w:r w:rsidRPr="0095721D">
        <w:rPr>
          <w:rFonts w:ascii="Tahoma" w:hAnsi="Tahoma" w:cs="Tahoma" w:hint="cs"/>
          <w:spacing w:val="-4"/>
          <w:sz w:val="18"/>
          <w:szCs w:val="18"/>
          <w:rtl/>
        </w:rPr>
        <w:t xml:space="preserve">. </w:t>
      </w:r>
      <w:r w:rsidRPr="0095721D">
        <w:rPr>
          <w:rFonts w:ascii="Tahoma" w:hAnsi="Tahoma" w:cs="Tahoma"/>
          <w:spacing w:val="-4"/>
          <w:sz w:val="18"/>
          <w:szCs w:val="18"/>
          <w:rtl/>
        </w:rPr>
        <w:t>במאי 2018</w:t>
      </w:r>
      <w:r w:rsidRPr="00211D07">
        <w:rPr>
          <w:rFonts w:ascii="Tahoma" w:hAnsi="Tahoma" w:cs="Tahoma"/>
          <w:sz w:val="18"/>
          <w:szCs w:val="18"/>
          <w:rtl/>
        </w:rPr>
        <w:t xml:space="preserve"> דיווחה מרכזת השירות במחוז מרכז כי </w:t>
      </w:r>
      <w:r w:rsidRPr="00211D07">
        <w:rPr>
          <w:rFonts w:ascii="Tahoma" w:hAnsi="Tahoma" w:cs="Tahoma" w:hint="cs"/>
          <w:sz w:val="18"/>
          <w:szCs w:val="18"/>
          <w:rtl/>
        </w:rPr>
        <w:t>לעיריית נס ציונה "אין יכולת" להיענות להצעה</w:t>
      </w:r>
      <w:r w:rsidRPr="00211D07">
        <w:rPr>
          <w:rFonts w:ascii="Tahoma" w:hAnsi="Tahoma" w:cs="Tahoma"/>
          <w:sz w:val="18"/>
          <w:szCs w:val="18"/>
          <w:rtl/>
        </w:rPr>
        <w:t>.</w:t>
      </w:r>
      <w:r w:rsidRPr="00211D07">
        <w:rPr>
          <w:rFonts w:ascii="Tahoma" w:hAnsi="Tahoma" w:cs="Tahoma" w:hint="cs"/>
          <w:sz w:val="18"/>
          <w:szCs w:val="18"/>
          <w:rtl/>
        </w:rPr>
        <w:t xml:space="preserve"> מנהלת המחלקה לשירותים חברתיים בעיריית נס ציונה ציינה כי דחיית ההצעה נבעה מהקושי לגייס כוח אדם בעיתוי שבו הועלתה ההצעה - לקראת חופשת הקיץ והחילופים הצפויים בראשות העירייה. מנהלת המחלקה ציינה כי להערכתה כל מכור תושב נס ציונה שמבקש לקבל טיפול מקבל אותו ביחידות אזוריות סמוכות. עוד ציינה כי בעיר לא מתקיים איתור יזום של מכורים.</w:t>
      </w:r>
    </w:p>
    <w:p w:rsidR="009B6D36" w:rsidRPr="00211D07" w:rsidP="00211D07">
      <w:pPr>
        <w:spacing w:line="240" w:lineRule="exact"/>
        <w:ind w:left="340" w:right="2268"/>
        <w:jc w:val="both"/>
        <w:rPr>
          <w:rFonts w:ascii="Tahoma" w:hAnsi="Tahoma" w:cs="Tahoma"/>
          <w:sz w:val="18"/>
          <w:szCs w:val="18"/>
          <w:rtl/>
        </w:rPr>
      </w:pPr>
      <w:r w:rsidRPr="00211D07">
        <w:rPr>
          <w:rFonts w:ascii="Tahoma" w:hAnsi="Tahoma" w:cs="Tahoma"/>
          <w:sz w:val="18"/>
          <w:szCs w:val="18"/>
          <w:rtl/>
        </w:rPr>
        <w:t>בתשוב</w:t>
      </w:r>
      <w:r w:rsidRPr="00211D07">
        <w:rPr>
          <w:rFonts w:ascii="Tahoma" w:hAnsi="Tahoma" w:cs="Tahoma" w:hint="cs"/>
          <w:sz w:val="18"/>
          <w:szCs w:val="18"/>
          <w:rtl/>
        </w:rPr>
        <w:t>ת</w:t>
      </w:r>
      <w:r w:rsidRPr="00211D07">
        <w:rPr>
          <w:rFonts w:ascii="Tahoma" w:hAnsi="Tahoma" w:cs="Tahoma"/>
          <w:sz w:val="18"/>
          <w:szCs w:val="18"/>
          <w:rtl/>
        </w:rPr>
        <w:t xml:space="preserve">ה </w:t>
      </w:r>
      <w:r w:rsidRPr="00211D07">
        <w:rPr>
          <w:rFonts w:ascii="Tahoma" w:hAnsi="Tahoma" w:cs="Tahoma" w:hint="cs"/>
          <w:sz w:val="18"/>
          <w:szCs w:val="18"/>
          <w:rtl/>
        </w:rPr>
        <w:t>מנובמ</w:t>
      </w:r>
      <w:r w:rsidRPr="00211D07">
        <w:rPr>
          <w:rFonts w:ascii="Tahoma" w:hAnsi="Tahoma" w:cs="Tahoma"/>
          <w:sz w:val="18"/>
          <w:szCs w:val="18"/>
          <w:rtl/>
        </w:rPr>
        <w:t>בר 2018 ציי</w:t>
      </w:r>
      <w:r w:rsidRPr="00211D07">
        <w:rPr>
          <w:rFonts w:ascii="Tahoma" w:hAnsi="Tahoma" w:cs="Tahoma" w:hint="cs"/>
          <w:sz w:val="18"/>
          <w:szCs w:val="18"/>
          <w:rtl/>
        </w:rPr>
        <w:t>נה</w:t>
      </w:r>
      <w:r w:rsidRPr="00211D07">
        <w:rPr>
          <w:rFonts w:ascii="Tahoma" w:hAnsi="Tahoma" w:cs="Tahoma"/>
          <w:sz w:val="18"/>
          <w:szCs w:val="18"/>
          <w:rtl/>
        </w:rPr>
        <w:t xml:space="preserve"> </w:t>
      </w:r>
      <w:r w:rsidRPr="00211D07">
        <w:rPr>
          <w:rFonts w:ascii="Tahoma" w:hAnsi="Tahoma" w:cs="Tahoma" w:hint="cs"/>
          <w:sz w:val="18"/>
          <w:szCs w:val="18"/>
          <w:rtl/>
        </w:rPr>
        <w:t xml:space="preserve">עיריית נס ציונה כי בכוונתה לבחון הקמת יחידה מקומית לטיפול בהתמכרויות במהלך 2019 ולגייס כוח אדם לצורך זה. </w:t>
      </w:r>
    </w:p>
    <w:p w:rsidR="009B6D36" w:rsidRPr="00211D07" w:rsidP="0095721D">
      <w:pPr>
        <w:spacing w:after="240" w:line="240" w:lineRule="exact"/>
        <w:ind w:left="340" w:right="2268"/>
        <w:jc w:val="both"/>
        <w:rPr>
          <w:rFonts w:ascii="Tahoma" w:hAnsi="Tahoma" w:cs="Tahoma"/>
          <w:b/>
          <w:bCs/>
          <w:sz w:val="18"/>
          <w:szCs w:val="18"/>
          <w:rtl/>
        </w:rPr>
      </w:pPr>
      <w:r w:rsidRPr="00211D07">
        <w:rPr>
          <w:rFonts w:ascii="Tahoma" w:hAnsi="Tahoma" w:cs="Tahoma"/>
          <w:sz w:val="18"/>
          <w:szCs w:val="18"/>
          <w:rtl/>
        </w:rPr>
        <w:t>הרשות המקומית אחראית לט</w:t>
      </w:r>
      <w:r w:rsidRPr="00211D07">
        <w:rPr>
          <w:rFonts w:ascii="Tahoma" w:hAnsi="Tahoma" w:cs="Tahoma" w:hint="cs"/>
          <w:sz w:val="18"/>
          <w:szCs w:val="18"/>
          <w:rtl/>
        </w:rPr>
        <w:t>י</w:t>
      </w:r>
      <w:r w:rsidRPr="00211D07">
        <w:rPr>
          <w:rFonts w:ascii="Tahoma" w:hAnsi="Tahoma" w:cs="Tahoma"/>
          <w:sz w:val="18"/>
          <w:szCs w:val="18"/>
          <w:rtl/>
        </w:rPr>
        <w:t>פ</w:t>
      </w:r>
      <w:r w:rsidRPr="00211D07">
        <w:rPr>
          <w:rFonts w:ascii="Tahoma" w:hAnsi="Tahoma" w:cs="Tahoma" w:hint="cs"/>
          <w:sz w:val="18"/>
          <w:szCs w:val="18"/>
          <w:rtl/>
        </w:rPr>
        <w:t>ו</w:t>
      </w:r>
      <w:r w:rsidRPr="00211D07">
        <w:rPr>
          <w:rFonts w:ascii="Tahoma" w:hAnsi="Tahoma" w:cs="Tahoma"/>
          <w:sz w:val="18"/>
          <w:szCs w:val="18"/>
          <w:rtl/>
        </w:rPr>
        <w:t xml:space="preserve">ל בנזקקים </w:t>
      </w:r>
      <w:r w:rsidRPr="00211D07">
        <w:rPr>
          <w:rFonts w:ascii="Tahoma" w:hAnsi="Tahoma" w:cs="Tahoma" w:hint="cs"/>
          <w:sz w:val="18"/>
          <w:szCs w:val="18"/>
          <w:rtl/>
        </w:rPr>
        <w:t xml:space="preserve">שגרים </w:t>
      </w:r>
      <w:r w:rsidRPr="00211D07">
        <w:rPr>
          <w:rFonts w:ascii="Tahoma" w:hAnsi="Tahoma" w:cs="Tahoma"/>
          <w:sz w:val="18"/>
          <w:szCs w:val="18"/>
          <w:rtl/>
        </w:rPr>
        <w:t>בתחומיה</w:t>
      </w:r>
      <w:r w:rsidRPr="00211D07">
        <w:rPr>
          <w:rFonts w:ascii="Tahoma" w:hAnsi="Tahoma" w:cs="Tahoma" w:hint="cs"/>
          <w:sz w:val="18"/>
          <w:szCs w:val="18"/>
          <w:rtl/>
        </w:rPr>
        <w:t>. ברשויות שאין בהן יחידות לטיפול במכורים הם אמורים לקבל שירות ביחידות אזוריות. יצוין כי בנוגע לשירות שניתן ב</w:t>
      </w:r>
      <w:r w:rsidRPr="00211D07">
        <w:rPr>
          <w:rFonts w:ascii="Tahoma" w:hAnsi="Tahoma" w:cs="Tahoma"/>
          <w:sz w:val="18"/>
          <w:szCs w:val="18"/>
          <w:rtl/>
        </w:rPr>
        <w:t>יחיד</w:t>
      </w:r>
      <w:r w:rsidRPr="00211D07">
        <w:rPr>
          <w:rFonts w:ascii="Tahoma" w:hAnsi="Tahoma" w:cs="Tahoma" w:hint="cs"/>
          <w:sz w:val="18"/>
          <w:szCs w:val="18"/>
          <w:rtl/>
        </w:rPr>
        <w:t>ות</w:t>
      </w:r>
      <w:r w:rsidRPr="00211D07">
        <w:rPr>
          <w:rFonts w:ascii="Tahoma" w:hAnsi="Tahoma" w:cs="Tahoma"/>
          <w:sz w:val="18"/>
          <w:szCs w:val="18"/>
          <w:rtl/>
        </w:rPr>
        <w:t xml:space="preserve"> </w:t>
      </w:r>
      <w:r w:rsidRPr="00211D07">
        <w:rPr>
          <w:rFonts w:ascii="Tahoma" w:hAnsi="Tahoma" w:cs="Tahoma" w:hint="cs"/>
          <w:sz w:val="18"/>
          <w:szCs w:val="18"/>
          <w:rtl/>
        </w:rPr>
        <w:t>ה</w:t>
      </w:r>
      <w:r w:rsidRPr="00211D07">
        <w:rPr>
          <w:rFonts w:ascii="Tahoma" w:hAnsi="Tahoma" w:cs="Tahoma"/>
          <w:sz w:val="18"/>
          <w:szCs w:val="18"/>
          <w:rtl/>
        </w:rPr>
        <w:t>אזורי</w:t>
      </w:r>
      <w:r w:rsidRPr="00211D07">
        <w:rPr>
          <w:rFonts w:ascii="Tahoma" w:hAnsi="Tahoma" w:cs="Tahoma" w:hint="cs"/>
          <w:sz w:val="18"/>
          <w:szCs w:val="18"/>
          <w:rtl/>
        </w:rPr>
        <w:t>ו</w:t>
      </w:r>
      <w:r w:rsidRPr="00211D07">
        <w:rPr>
          <w:rFonts w:ascii="Tahoma" w:hAnsi="Tahoma" w:cs="Tahoma"/>
          <w:sz w:val="18"/>
          <w:szCs w:val="18"/>
          <w:rtl/>
        </w:rPr>
        <w:t>ת</w:t>
      </w:r>
      <w:r w:rsidRPr="00211D07">
        <w:rPr>
          <w:rFonts w:ascii="Tahoma" w:hAnsi="Tahoma" w:cs="Tahoma" w:hint="cs"/>
          <w:sz w:val="18"/>
          <w:szCs w:val="18"/>
          <w:rtl/>
        </w:rPr>
        <w:t xml:space="preserve"> אמר </w:t>
      </w:r>
      <w:r w:rsidRPr="00211D07">
        <w:rPr>
          <w:rFonts w:ascii="Tahoma" w:hAnsi="Tahoma" w:cs="Tahoma"/>
          <w:sz w:val="18"/>
          <w:szCs w:val="18"/>
          <w:rtl/>
        </w:rPr>
        <w:t>מנהל השירות להתמכרויות</w:t>
      </w:r>
      <w:r w:rsidRPr="00211D07">
        <w:rPr>
          <w:rFonts w:ascii="Tahoma" w:hAnsi="Tahoma" w:cs="Tahoma" w:hint="cs"/>
          <w:sz w:val="18"/>
          <w:szCs w:val="18"/>
          <w:rtl/>
        </w:rPr>
        <w:t xml:space="preserve"> לנציגי משרד מבקר המדינה,</w:t>
      </w:r>
      <w:r w:rsidRPr="00211D07">
        <w:rPr>
          <w:rFonts w:ascii="Tahoma" w:hAnsi="Tahoma" w:cs="Tahoma"/>
          <w:sz w:val="18"/>
          <w:szCs w:val="18"/>
          <w:rtl/>
        </w:rPr>
        <w:t xml:space="preserve"> </w:t>
      </w:r>
      <w:r w:rsidRPr="00211D07">
        <w:rPr>
          <w:rFonts w:ascii="Tahoma" w:hAnsi="Tahoma" w:cs="Tahoma" w:hint="cs"/>
          <w:sz w:val="18"/>
          <w:szCs w:val="18"/>
          <w:rtl/>
        </w:rPr>
        <w:t xml:space="preserve">כי </w:t>
      </w:r>
      <w:r w:rsidRPr="00211D07">
        <w:rPr>
          <w:rFonts w:ascii="Tahoma" w:hAnsi="Tahoma" w:cs="Tahoma"/>
          <w:sz w:val="18"/>
          <w:szCs w:val="18"/>
          <w:rtl/>
        </w:rPr>
        <w:t>מודל זה א</w:t>
      </w:r>
      <w:r w:rsidRPr="00211D07">
        <w:rPr>
          <w:rFonts w:ascii="Tahoma" w:hAnsi="Tahoma" w:cs="Tahoma" w:hint="cs"/>
          <w:sz w:val="18"/>
          <w:szCs w:val="18"/>
          <w:rtl/>
        </w:rPr>
        <w:t>ינו</w:t>
      </w:r>
      <w:r w:rsidRPr="00211D07">
        <w:rPr>
          <w:rFonts w:ascii="Tahoma" w:hAnsi="Tahoma" w:cs="Tahoma"/>
          <w:sz w:val="18"/>
          <w:szCs w:val="18"/>
          <w:rtl/>
        </w:rPr>
        <w:t xml:space="preserve"> </w:t>
      </w:r>
      <w:r w:rsidRPr="00211D07">
        <w:rPr>
          <w:rFonts w:ascii="Tahoma" w:hAnsi="Tahoma" w:cs="Tahoma" w:hint="cs"/>
          <w:sz w:val="18"/>
          <w:szCs w:val="18"/>
          <w:rtl/>
        </w:rPr>
        <w:t>פועל באופן מיטבי</w:t>
      </w:r>
      <w:r w:rsidRPr="00211D07">
        <w:rPr>
          <w:rFonts w:ascii="Tahoma" w:hAnsi="Tahoma" w:cs="Tahoma"/>
          <w:sz w:val="18"/>
          <w:szCs w:val="18"/>
          <w:rtl/>
        </w:rPr>
        <w:t xml:space="preserve"> כיוון ש</w:t>
      </w:r>
      <w:r w:rsidRPr="00211D07">
        <w:rPr>
          <w:rFonts w:ascii="Tahoma" w:hAnsi="Tahoma" w:cs="Tahoma" w:hint="cs"/>
          <w:sz w:val="18"/>
          <w:szCs w:val="18"/>
          <w:rtl/>
        </w:rPr>
        <w:t>ה</w:t>
      </w:r>
      <w:r w:rsidRPr="00211D07">
        <w:rPr>
          <w:rFonts w:ascii="Tahoma" w:hAnsi="Tahoma" w:cs="Tahoma"/>
          <w:sz w:val="18"/>
          <w:szCs w:val="18"/>
          <w:rtl/>
        </w:rPr>
        <w:t xml:space="preserve">יחידות </w:t>
      </w:r>
      <w:r w:rsidRPr="00211D07">
        <w:rPr>
          <w:rFonts w:ascii="Tahoma" w:hAnsi="Tahoma" w:cs="Tahoma" w:hint="cs"/>
          <w:sz w:val="18"/>
          <w:szCs w:val="18"/>
          <w:rtl/>
        </w:rPr>
        <w:t>האזוריות</w:t>
      </w:r>
      <w:r w:rsidRPr="00211D07">
        <w:rPr>
          <w:rFonts w:ascii="Tahoma" w:hAnsi="Tahoma" w:cs="Tahoma"/>
          <w:sz w:val="18"/>
          <w:szCs w:val="18"/>
          <w:rtl/>
        </w:rPr>
        <w:t xml:space="preserve"> נותנות </w:t>
      </w:r>
      <w:r w:rsidRPr="00211D07">
        <w:rPr>
          <w:rFonts w:ascii="Tahoma" w:hAnsi="Tahoma" w:cs="Tahoma" w:hint="cs"/>
          <w:sz w:val="18"/>
          <w:szCs w:val="18"/>
          <w:rtl/>
        </w:rPr>
        <w:t>זכות קדימה</w:t>
      </w:r>
      <w:r w:rsidRPr="00211D07">
        <w:rPr>
          <w:rFonts w:ascii="Tahoma" w:hAnsi="Tahoma" w:cs="Tahoma"/>
          <w:sz w:val="18"/>
          <w:szCs w:val="18"/>
          <w:rtl/>
        </w:rPr>
        <w:t xml:space="preserve"> לתושביהן על פני תושבי רשויות אחרות </w:t>
      </w:r>
      <w:r w:rsidRPr="00211D07">
        <w:rPr>
          <w:rFonts w:ascii="Tahoma" w:hAnsi="Tahoma" w:cs="Tahoma" w:hint="cs"/>
          <w:sz w:val="18"/>
          <w:szCs w:val="18"/>
          <w:rtl/>
        </w:rPr>
        <w:t>שפונים אליהן לקבלת טיפול. כמו כן,</w:t>
      </w:r>
      <w:r w:rsidRPr="00211D07">
        <w:rPr>
          <w:rFonts w:ascii="Tahoma" w:hAnsi="Tahoma" w:cs="Tahoma"/>
          <w:sz w:val="18"/>
          <w:szCs w:val="18"/>
          <w:rtl/>
        </w:rPr>
        <w:t xml:space="preserve"> מכורים </w:t>
      </w:r>
      <w:r w:rsidRPr="00211D07">
        <w:rPr>
          <w:rFonts w:ascii="Tahoma" w:hAnsi="Tahoma" w:cs="Tahoma" w:hint="cs"/>
          <w:sz w:val="18"/>
          <w:szCs w:val="18"/>
          <w:rtl/>
        </w:rPr>
        <w:t xml:space="preserve">שאינם תושבי הרשות המקומית </w:t>
      </w:r>
      <w:r w:rsidRPr="00211D07">
        <w:rPr>
          <w:rFonts w:ascii="Tahoma" w:hAnsi="Tahoma" w:cs="Tahoma"/>
          <w:sz w:val="18"/>
          <w:szCs w:val="18"/>
          <w:rtl/>
        </w:rPr>
        <w:t xml:space="preserve">מתקשים להגיע באופן רצוף למסגרת טיפולית </w:t>
      </w:r>
      <w:r w:rsidRPr="00211D07">
        <w:rPr>
          <w:rFonts w:ascii="Tahoma" w:hAnsi="Tahoma" w:cs="Tahoma" w:hint="cs"/>
          <w:sz w:val="18"/>
          <w:szCs w:val="18"/>
          <w:rtl/>
        </w:rPr>
        <w:t>שאינה</w:t>
      </w:r>
      <w:r w:rsidRPr="00211D07">
        <w:rPr>
          <w:rFonts w:ascii="Tahoma" w:hAnsi="Tahoma" w:cs="Tahoma"/>
          <w:sz w:val="18"/>
          <w:szCs w:val="18"/>
          <w:rtl/>
        </w:rPr>
        <w:t xml:space="preserve"> נמצאת ב</w:t>
      </w:r>
      <w:r w:rsidRPr="00211D07">
        <w:rPr>
          <w:rFonts w:ascii="Tahoma" w:hAnsi="Tahoma" w:cs="Tahoma" w:hint="cs"/>
          <w:sz w:val="18"/>
          <w:szCs w:val="18"/>
          <w:rtl/>
        </w:rPr>
        <w:t>מקום</w:t>
      </w:r>
      <w:r w:rsidRPr="00211D07">
        <w:rPr>
          <w:rFonts w:ascii="Tahoma" w:hAnsi="Tahoma" w:cs="Tahoma"/>
          <w:sz w:val="18"/>
          <w:szCs w:val="18"/>
          <w:rtl/>
        </w:rPr>
        <w:t xml:space="preserve"> מגוריהם. </w:t>
      </w:r>
    </w:p>
    <w:p w:rsidR="009B6D36" w:rsidRPr="00211D07" w:rsidP="0095721D">
      <w:pPr>
        <w:pStyle w:val="RESHET"/>
        <w:ind w:left="567"/>
        <w:rPr>
          <w:rtl/>
        </w:rPr>
      </w:pPr>
      <w:r w:rsidRPr="00211D07">
        <w:rPr>
          <w:rFonts w:hint="cs"/>
          <w:rtl/>
        </w:rPr>
        <w:t>יוצא אפוא שיש רשויות שבפועל רשומים אצלן תושבים עם נזקקות שהיא התמכרות שסירבו לפתח מסגרות לטיפול במכורים על אף שמשרד הרווחה מצא אותן מתאימות לפי הקריטריונים וגם היה מוכן לתקצב אותן ב-75% מעלות השירות, חלקן עקב מחסור במקור תקציבי להשלמת 25% הנוספים הנדרשים להפעלת השירות. אי-</w:t>
      </w:r>
      <w:r w:rsidRPr="00211D07">
        <w:rPr>
          <w:rtl/>
        </w:rPr>
        <w:t>פ</w:t>
      </w:r>
      <w:r w:rsidRPr="00211D07">
        <w:rPr>
          <w:rFonts w:hint="cs"/>
          <w:rtl/>
        </w:rPr>
        <w:t>י</w:t>
      </w:r>
      <w:r w:rsidRPr="00211D07">
        <w:rPr>
          <w:rtl/>
        </w:rPr>
        <w:t>ת</w:t>
      </w:r>
      <w:r w:rsidRPr="00211D07">
        <w:rPr>
          <w:rFonts w:hint="cs"/>
          <w:rtl/>
        </w:rPr>
        <w:t>ו</w:t>
      </w:r>
      <w:r w:rsidRPr="00211D07">
        <w:rPr>
          <w:rtl/>
        </w:rPr>
        <w:t>ח מסגרות לטיפול במכורים</w:t>
      </w:r>
      <w:r w:rsidRPr="00211D07">
        <w:rPr>
          <w:rFonts w:hint="cs"/>
          <w:rtl/>
        </w:rPr>
        <w:t xml:space="preserve"> עלול להביא לידי פגיעה במכורים ובמשפחותיהם הגרים בתחומן של אותן רשויות.</w:t>
      </w:r>
    </w:p>
    <w:p w:rsidR="009B6D36" w:rsidRPr="00211D07" w:rsidP="00211D07">
      <w:pPr>
        <w:spacing w:line="240" w:lineRule="exact"/>
        <w:ind w:right="2268"/>
        <w:jc w:val="both"/>
        <w:rPr>
          <w:rFonts w:ascii="Tahoma" w:hAnsi="Tahoma" w:cs="Tahoma"/>
          <w:sz w:val="18"/>
          <w:szCs w:val="18"/>
          <w:rtl/>
        </w:rPr>
      </w:pPr>
    </w:p>
    <w:p w:rsidR="009B6D36" w:rsidRPr="00562C7D" w:rsidP="00211D07">
      <w:pPr>
        <w:pStyle w:val="KOT5"/>
        <w:rPr>
          <w:rtl/>
        </w:rPr>
      </w:pPr>
      <w:r w:rsidRPr="00562C7D">
        <w:rPr>
          <w:rtl/>
        </w:rPr>
        <w:t xml:space="preserve">טיפול לקוי של </w:t>
      </w:r>
      <w:r w:rsidRPr="00A25146">
        <w:rPr>
          <w:rtl/>
        </w:rPr>
        <w:t>השירות להתמכרויות</w:t>
      </w:r>
      <w:r w:rsidRPr="00562C7D">
        <w:rPr>
          <w:rtl/>
        </w:rPr>
        <w:t xml:space="preserve"> בשיקום תעסוקתי</w:t>
      </w:r>
    </w:p>
    <w:p w:rsidR="009B6D36" w:rsidRPr="00211D07" w:rsidP="00211D07">
      <w:pPr>
        <w:spacing w:line="240" w:lineRule="exact"/>
        <w:ind w:right="2268"/>
        <w:jc w:val="both"/>
        <w:rPr>
          <w:rFonts w:ascii="Tahoma" w:eastAsia="Calibri" w:hAnsi="Tahoma" w:cs="Tahoma"/>
          <w:sz w:val="18"/>
          <w:szCs w:val="18"/>
          <w:rtl/>
        </w:rPr>
      </w:pPr>
      <w:r w:rsidRPr="00211D07">
        <w:rPr>
          <w:rFonts w:ascii="Tahoma" w:eastAsia="Calibri" w:hAnsi="Tahoma" w:cs="Tahoma" w:hint="cs"/>
          <w:sz w:val="18"/>
          <w:szCs w:val="18"/>
          <w:rtl/>
        </w:rPr>
        <w:t xml:space="preserve">רבים מהמכורים שמטופלים בשירותי הרווחה אינם עובדים או שהם עובדים בעבודות חלקיות או מזדמנות. להלן בתרשים 2 תמונת מצב התעסוקה של המכורים הבוגרים שטופלו במסגרות שבמימון </w:t>
      </w:r>
      <w:r w:rsidRPr="00211D07">
        <w:rPr>
          <w:rFonts w:ascii="Tahoma" w:eastAsia="Calibri" w:hAnsi="Tahoma" w:cs="Tahoma"/>
          <w:sz w:val="18"/>
          <w:szCs w:val="18"/>
          <w:rtl/>
        </w:rPr>
        <w:t>השירות להתמכרויות</w:t>
      </w:r>
      <w:r w:rsidRPr="00211D07">
        <w:rPr>
          <w:rFonts w:ascii="Tahoma" w:eastAsia="Calibri" w:hAnsi="Tahoma" w:cs="Tahoma" w:hint="cs"/>
          <w:sz w:val="18"/>
          <w:szCs w:val="18"/>
          <w:rtl/>
        </w:rPr>
        <w:t xml:space="preserve"> בשנת 2017:</w:t>
      </w:r>
    </w:p>
    <w:p w:rsidR="009B6D36" w:rsidRPr="0095721D" w:rsidP="0095721D">
      <w:pPr>
        <w:pStyle w:val="tab-name"/>
        <w:rPr>
          <w:rFonts w:eastAsia="Calibri"/>
          <w:b/>
          <w:bCs/>
          <w:rtl/>
        </w:rPr>
      </w:pPr>
      <w:r w:rsidRPr="00211D07">
        <w:rPr>
          <w:rFonts w:eastAsia="Calibri" w:hint="eastAsia"/>
          <w:rtl/>
        </w:rPr>
        <w:t>תרשים</w:t>
      </w:r>
      <w:r w:rsidRPr="00211D07">
        <w:rPr>
          <w:rFonts w:eastAsia="Calibri"/>
          <w:rtl/>
        </w:rPr>
        <w:t xml:space="preserve"> </w:t>
      </w:r>
      <w:r w:rsidRPr="00211D07">
        <w:rPr>
          <w:rFonts w:eastAsia="Calibri" w:hint="cs"/>
          <w:rtl/>
        </w:rPr>
        <w:t>2</w:t>
      </w:r>
      <w:r w:rsidRPr="00211D07">
        <w:rPr>
          <w:rFonts w:eastAsia="Calibri"/>
          <w:rtl/>
        </w:rPr>
        <w:t xml:space="preserve">: </w:t>
      </w:r>
      <w:r w:rsidRPr="0095721D">
        <w:rPr>
          <w:rFonts w:eastAsia="Calibri"/>
          <w:b/>
          <w:bCs/>
          <w:rtl/>
        </w:rPr>
        <w:t>תמונת מצב התעסוקה של המכורים הבוגרים שטופלו במסגרות במימון השירות להתמכרויות</w:t>
      </w:r>
      <w:r w:rsidRPr="0095721D">
        <w:rPr>
          <w:rFonts w:eastAsia="Calibri" w:hint="cs"/>
          <w:b/>
          <w:bCs/>
          <w:rtl/>
        </w:rPr>
        <w:t>,</w:t>
      </w:r>
      <w:r w:rsidRPr="0095721D">
        <w:rPr>
          <w:rFonts w:eastAsia="Calibri"/>
          <w:b/>
          <w:bCs/>
          <w:rtl/>
        </w:rPr>
        <w:t xml:space="preserve"> 2017</w:t>
      </w:r>
    </w:p>
    <w:p w:rsidR="0095721D" w:rsidRPr="00211D07" w:rsidP="0095721D">
      <w:pPr>
        <w:spacing w:line="240" w:lineRule="atLeast"/>
        <w:ind w:right="2268"/>
        <w:jc w:val="center"/>
        <w:rPr>
          <w:rFonts w:ascii="Tahoma" w:eastAsia="Calibri" w:hAnsi="Tahoma" w:cs="Tahoma"/>
          <w:sz w:val="18"/>
          <w:szCs w:val="18"/>
          <w:rtl/>
        </w:rPr>
      </w:pPr>
      <w:r>
        <w:rPr>
          <w:rFonts w:ascii="Tahoma" w:eastAsia="Calibri" w:hAnsi="Tahoma" w:cs="Tahoma"/>
          <w:noProof/>
          <w:sz w:val="18"/>
          <w:szCs w:val="18"/>
          <w:rtl/>
        </w:rPr>
        <w:drawing>
          <wp:inline distT="0" distB="0" distL="0" distR="0">
            <wp:extent cx="2865120" cy="2340864"/>
            <wp:effectExtent l="0" t="0" r="0" b="2540"/>
            <wp:docPr id="5" name="Picture 5" descr="כ-35% לא עבדו כלל, כ-21% עבדו בעבודה חלקית או עבדו לסירוגין וכ-44% עבד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24093" name="28 - 223 - אינפו 2.jp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65120" cy="2340864"/>
                    </a:xfrm>
                    <a:prstGeom prst="rect">
                      <a:avLst/>
                    </a:prstGeom>
                  </pic:spPr>
                </pic:pic>
              </a:graphicData>
            </a:graphic>
          </wp:inline>
        </w:drawing>
      </w:r>
    </w:p>
    <w:p w:rsidR="009B6D36" w:rsidRPr="00211D07" w:rsidP="0095721D">
      <w:pPr>
        <w:pStyle w:val="text-source"/>
        <w:spacing w:after="0"/>
        <w:rPr>
          <w:rFonts w:eastAsia="Calibri"/>
          <w:rtl/>
        </w:rPr>
      </w:pPr>
      <w:r w:rsidRPr="00211D07">
        <w:rPr>
          <w:rFonts w:eastAsia="Calibri" w:hint="eastAsia"/>
          <w:rtl/>
        </w:rPr>
        <w:t>על</w:t>
      </w:r>
      <w:r w:rsidRPr="00211D07">
        <w:rPr>
          <w:rFonts w:eastAsia="Calibri"/>
          <w:rtl/>
        </w:rPr>
        <w:t xml:space="preserve"> </w:t>
      </w:r>
      <w:r w:rsidRPr="00211D07">
        <w:rPr>
          <w:rFonts w:eastAsia="Calibri" w:hint="eastAsia"/>
          <w:rtl/>
        </w:rPr>
        <w:t>פי</w:t>
      </w:r>
      <w:r w:rsidRPr="00211D07">
        <w:rPr>
          <w:rFonts w:eastAsia="Calibri"/>
          <w:rtl/>
        </w:rPr>
        <w:t xml:space="preserve"> </w:t>
      </w:r>
      <w:r w:rsidRPr="00211D07">
        <w:rPr>
          <w:rFonts w:eastAsia="Calibri" w:hint="eastAsia"/>
          <w:rtl/>
        </w:rPr>
        <w:t>נתוני</w:t>
      </w:r>
      <w:r w:rsidRPr="00211D07">
        <w:rPr>
          <w:rFonts w:eastAsia="Calibri" w:hint="cs"/>
          <w:rtl/>
        </w:rPr>
        <w:t xml:space="preserve"> משרד הרווחה, בעיבוד משרד מבקר המדינה.</w:t>
      </w:r>
    </w:p>
    <w:p w:rsidR="009B6D36" w:rsidRPr="0095721D" w:rsidP="0095721D">
      <w:pPr>
        <w:pStyle w:val="text-source"/>
        <w:spacing w:before="0"/>
        <w:ind w:left="397" w:hanging="397"/>
        <w:rPr>
          <w:rFonts w:eastAsia="Calibri"/>
          <w:rtl/>
        </w:rPr>
      </w:pPr>
      <w:r w:rsidRPr="0095721D">
        <w:rPr>
          <w:rFonts w:eastAsia="Calibri" w:hint="cs"/>
          <w:rtl/>
        </w:rPr>
        <w:t xml:space="preserve">* </w:t>
      </w:r>
      <w:r w:rsidR="0095721D">
        <w:rPr>
          <w:rFonts w:eastAsia="Calibri"/>
        </w:rPr>
        <w:tab/>
      </w:r>
      <w:r w:rsidRPr="0095721D">
        <w:rPr>
          <w:rFonts w:eastAsia="Calibri" w:hint="cs"/>
          <w:rtl/>
        </w:rPr>
        <w:t>התרשים אינו כולל את המכורים שטופלו ומצב התעסוקה שלהם לא היה ידוע, או שהם לא עבדו עקב הכשרה לימודית או עקב שילובם במסגרת חוץ ביתית.</w:t>
      </w:r>
    </w:p>
    <w:p w:rsidR="009B6D36" w:rsidRPr="00211D07" w:rsidP="00211D07">
      <w:pPr>
        <w:spacing w:line="240" w:lineRule="exact"/>
        <w:ind w:right="2268"/>
        <w:jc w:val="both"/>
        <w:rPr>
          <w:rFonts w:ascii="Tahoma" w:eastAsia="Calibri" w:hAnsi="Tahoma" w:cs="Tahoma"/>
          <w:sz w:val="18"/>
          <w:szCs w:val="18"/>
          <w:rtl/>
        </w:rPr>
      </w:pPr>
      <w:r w:rsidRPr="00211D07">
        <w:rPr>
          <w:rFonts w:ascii="Tahoma" w:hAnsi="Tahoma" w:cs="Tahoma" w:hint="cs"/>
          <w:sz w:val="18"/>
          <w:szCs w:val="18"/>
          <w:rtl/>
        </w:rPr>
        <w:t xml:space="preserve">מתרשים 2 עולה כי כ-56% </w:t>
      </w:r>
      <w:r w:rsidRPr="00211D07">
        <w:rPr>
          <w:rFonts w:ascii="Tahoma" w:hAnsi="Tahoma" w:cs="Tahoma"/>
          <w:sz w:val="18"/>
          <w:szCs w:val="18"/>
          <w:rtl/>
        </w:rPr>
        <w:t>מה</w:t>
      </w:r>
      <w:r w:rsidRPr="00211D07">
        <w:rPr>
          <w:rFonts w:ascii="Tahoma" w:hAnsi="Tahoma" w:cs="Tahoma" w:hint="cs"/>
          <w:sz w:val="18"/>
          <w:szCs w:val="18"/>
          <w:rtl/>
        </w:rPr>
        <w:t>מכורים</w:t>
      </w:r>
      <w:r w:rsidRPr="00211D07">
        <w:rPr>
          <w:rFonts w:ascii="Tahoma" w:hAnsi="Tahoma" w:cs="Tahoma"/>
          <w:sz w:val="18"/>
          <w:szCs w:val="18"/>
          <w:rtl/>
        </w:rPr>
        <w:t xml:space="preserve"> </w:t>
      </w:r>
      <w:r w:rsidRPr="00211D07">
        <w:rPr>
          <w:rFonts w:ascii="Tahoma" w:hAnsi="Tahoma" w:cs="Tahoma" w:hint="cs"/>
          <w:sz w:val="18"/>
          <w:szCs w:val="18"/>
          <w:rtl/>
        </w:rPr>
        <w:t xml:space="preserve">שטופלו במסגרות בשנת 2017 </w:t>
      </w:r>
      <w:r w:rsidRPr="00211D07">
        <w:rPr>
          <w:rFonts w:ascii="Tahoma" w:hAnsi="Tahoma" w:cs="Tahoma"/>
          <w:sz w:val="18"/>
          <w:szCs w:val="18"/>
          <w:rtl/>
        </w:rPr>
        <w:t xml:space="preserve">עבדו בעבודה חלקית </w:t>
      </w:r>
      <w:r w:rsidRPr="00211D07">
        <w:rPr>
          <w:rFonts w:ascii="Tahoma" w:hAnsi="Tahoma" w:cs="Tahoma" w:hint="cs"/>
          <w:sz w:val="18"/>
          <w:szCs w:val="18"/>
          <w:rtl/>
        </w:rPr>
        <w:t>א</w:t>
      </w:r>
      <w:r w:rsidRPr="00211D07">
        <w:rPr>
          <w:rFonts w:ascii="Tahoma" w:hAnsi="Tahoma" w:cs="Tahoma"/>
          <w:sz w:val="18"/>
          <w:szCs w:val="18"/>
          <w:rtl/>
        </w:rPr>
        <w:t>ו</w:t>
      </w:r>
      <w:r w:rsidRPr="00211D07">
        <w:rPr>
          <w:rFonts w:ascii="Tahoma" w:hAnsi="Tahoma" w:cs="Tahoma" w:hint="cs"/>
          <w:sz w:val="18"/>
          <w:szCs w:val="18"/>
          <w:rtl/>
        </w:rPr>
        <w:t xml:space="preserve"> </w:t>
      </w:r>
      <w:r w:rsidRPr="00211D07">
        <w:rPr>
          <w:rFonts w:ascii="Tahoma" w:hAnsi="Tahoma" w:cs="Tahoma"/>
          <w:sz w:val="18"/>
          <w:szCs w:val="18"/>
          <w:rtl/>
        </w:rPr>
        <w:t>לסירוגין</w:t>
      </w:r>
      <w:r w:rsidRPr="00211D07">
        <w:rPr>
          <w:rFonts w:ascii="Tahoma" w:hAnsi="Tahoma" w:cs="Tahoma" w:hint="cs"/>
          <w:sz w:val="18"/>
          <w:szCs w:val="18"/>
          <w:rtl/>
        </w:rPr>
        <w:t xml:space="preserve"> (להלן - עבודה חלקית) או לא עבדו כלל</w:t>
      </w:r>
      <w:r w:rsidRPr="00211D07">
        <w:rPr>
          <w:rFonts w:ascii="Tahoma" w:hAnsi="Tahoma" w:cs="Tahoma"/>
          <w:sz w:val="18"/>
          <w:szCs w:val="18"/>
          <w:rtl/>
        </w:rPr>
        <w:t xml:space="preserve">. שילוב </w:t>
      </w:r>
      <w:r w:rsidRPr="0095721D">
        <w:rPr>
          <w:rFonts w:ascii="Tahoma" w:hAnsi="Tahoma" w:cs="Tahoma"/>
          <w:sz w:val="18"/>
          <w:szCs w:val="18"/>
          <w:rtl/>
        </w:rPr>
        <w:t>תעסוק</w:t>
      </w:r>
      <w:r w:rsidRPr="0095721D">
        <w:rPr>
          <w:rFonts w:ascii="Tahoma" w:hAnsi="Tahoma" w:cs="Tahoma" w:hint="cs"/>
          <w:sz w:val="18"/>
          <w:szCs w:val="18"/>
          <w:rtl/>
        </w:rPr>
        <w:t>תי</w:t>
      </w:r>
      <w:r w:rsidRPr="0095721D">
        <w:rPr>
          <w:rFonts w:ascii="Tahoma" w:hAnsi="Tahoma" w:cs="Tahoma"/>
          <w:sz w:val="18"/>
          <w:szCs w:val="18"/>
          <w:rtl/>
        </w:rPr>
        <w:t xml:space="preserve"> של </w:t>
      </w:r>
      <w:r w:rsidRPr="0095721D">
        <w:rPr>
          <w:rFonts w:ascii="Tahoma" w:hAnsi="Tahoma" w:cs="Tahoma" w:hint="cs"/>
          <w:sz w:val="18"/>
          <w:szCs w:val="18"/>
          <w:rtl/>
        </w:rPr>
        <w:t xml:space="preserve">מכורים </w:t>
      </w:r>
      <w:r w:rsidRPr="0095721D">
        <w:rPr>
          <w:rFonts w:ascii="Tahoma" w:hAnsi="Tahoma" w:cs="Tahoma"/>
          <w:sz w:val="18"/>
          <w:szCs w:val="18"/>
          <w:rtl/>
        </w:rPr>
        <w:t>שאינ</w:t>
      </w:r>
      <w:r w:rsidRPr="0095721D">
        <w:rPr>
          <w:rFonts w:ascii="Tahoma" w:hAnsi="Tahoma" w:cs="Tahoma" w:hint="cs"/>
          <w:sz w:val="18"/>
          <w:szCs w:val="18"/>
          <w:rtl/>
        </w:rPr>
        <w:t>ם</w:t>
      </w:r>
      <w:r w:rsidRPr="0095721D">
        <w:rPr>
          <w:rFonts w:ascii="Tahoma" w:hAnsi="Tahoma" w:cs="Tahoma"/>
          <w:sz w:val="18"/>
          <w:szCs w:val="18"/>
          <w:rtl/>
        </w:rPr>
        <w:t xml:space="preserve"> עובד</w:t>
      </w:r>
      <w:r w:rsidRPr="0095721D">
        <w:rPr>
          <w:rFonts w:ascii="Tahoma" w:hAnsi="Tahoma" w:cs="Tahoma" w:hint="cs"/>
          <w:sz w:val="18"/>
          <w:szCs w:val="18"/>
          <w:rtl/>
        </w:rPr>
        <w:t>ים</w:t>
      </w:r>
      <w:r w:rsidRPr="0095721D">
        <w:rPr>
          <w:rFonts w:ascii="Tahoma" w:hAnsi="Tahoma" w:cs="Tahoma"/>
          <w:sz w:val="18"/>
          <w:szCs w:val="18"/>
          <w:rtl/>
        </w:rPr>
        <w:t xml:space="preserve"> </w:t>
      </w:r>
      <w:r w:rsidRPr="0095721D">
        <w:rPr>
          <w:rFonts w:ascii="Tahoma" w:hAnsi="Tahoma" w:cs="Tahoma" w:hint="cs"/>
          <w:sz w:val="18"/>
          <w:szCs w:val="18"/>
          <w:rtl/>
        </w:rPr>
        <w:t>ושיפור מצב התעסוקה של העובדים בעבודה חלקי</w:t>
      </w:r>
      <w:r w:rsidRPr="0095721D">
        <w:rPr>
          <w:rFonts w:ascii="Tahoma" w:hAnsi="Tahoma" w:cs="Tahoma" w:hint="cs"/>
          <w:spacing w:val="14"/>
          <w:sz w:val="18"/>
          <w:szCs w:val="18"/>
          <w:rtl/>
        </w:rPr>
        <w:t>ת</w:t>
      </w:r>
      <w:r>
        <w:rPr>
          <w:rFonts w:ascii="Tahoma" w:hAnsi="Tahoma" w:cs="Tahoma"/>
          <w:sz w:val="18"/>
          <w:szCs w:val="18"/>
          <w:vertAlign w:val="superscript"/>
          <w:rtl/>
        </w:rPr>
        <w:footnoteReference w:id="59"/>
      </w:r>
      <w:r w:rsidRPr="0095721D">
        <w:rPr>
          <w:rFonts w:ascii="Tahoma" w:hAnsi="Tahoma" w:cs="Tahoma" w:hint="cs"/>
          <w:sz w:val="18"/>
          <w:szCs w:val="18"/>
          <w:rtl/>
        </w:rPr>
        <w:t>, יכולים להביא לידי שיפור במצבם הכלכלי של המכורים ובני משפחותיהם</w:t>
      </w:r>
      <w:r>
        <w:rPr>
          <w:rFonts w:ascii="Tahoma" w:hAnsi="Tahoma" w:cs="Tahoma"/>
          <w:sz w:val="18"/>
          <w:szCs w:val="18"/>
          <w:vertAlign w:val="superscript"/>
          <w:rtl/>
        </w:rPr>
        <w:footnoteReference w:id="60"/>
      </w:r>
      <w:r w:rsidRPr="0095721D">
        <w:rPr>
          <w:rFonts w:ascii="Tahoma" w:hAnsi="Tahoma" w:cs="Tahoma" w:hint="cs"/>
          <w:sz w:val="18"/>
          <w:szCs w:val="18"/>
          <w:rtl/>
        </w:rPr>
        <w:t>.</w:t>
      </w:r>
      <w:r w:rsidRPr="0095721D">
        <w:rPr>
          <w:rFonts w:ascii="Tahoma" w:hAnsi="Tahoma" w:cs="Tahoma"/>
          <w:sz w:val="18"/>
          <w:szCs w:val="18"/>
          <w:rtl/>
        </w:rPr>
        <w:t xml:space="preserve"> </w:t>
      </w:r>
      <w:r w:rsidRPr="00211D07">
        <w:rPr>
          <w:rFonts w:ascii="Tahoma" w:hAnsi="Tahoma" w:cs="Tahoma" w:hint="cs"/>
          <w:sz w:val="18"/>
          <w:szCs w:val="18"/>
          <w:rtl/>
        </w:rPr>
        <w:t xml:space="preserve">כמו כן </w:t>
      </w:r>
      <w:r w:rsidRPr="00211D07">
        <w:rPr>
          <w:rFonts w:ascii="Tahoma" w:hAnsi="Tahoma" w:cs="Tahoma"/>
          <w:sz w:val="18"/>
          <w:szCs w:val="18"/>
          <w:rtl/>
        </w:rPr>
        <w:t>יש ב</w:t>
      </w:r>
      <w:r w:rsidRPr="00211D07">
        <w:rPr>
          <w:rFonts w:ascii="Tahoma" w:hAnsi="Tahoma" w:cs="Tahoma" w:hint="cs"/>
          <w:sz w:val="18"/>
          <w:szCs w:val="18"/>
          <w:rtl/>
        </w:rPr>
        <w:t>הם</w:t>
      </w:r>
      <w:r w:rsidRPr="00211D07">
        <w:rPr>
          <w:rFonts w:ascii="Tahoma" w:hAnsi="Tahoma" w:cs="Tahoma"/>
          <w:sz w:val="18"/>
          <w:szCs w:val="18"/>
          <w:rtl/>
        </w:rPr>
        <w:t xml:space="preserve"> כדי להעניק ל</w:t>
      </w:r>
      <w:r w:rsidRPr="00211D07">
        <w:rPr>
          <w:rFonts w:ascii="Tahoma" w:hAnsi="Tahoma" w:cs="Tahoma" w:hint="cs"/>
          <w:sz w:val="18"/>
          <w:szCs w:val="18"/>
          <w:rtl/>
        </w:rPr>
        <w:t>מכורים</w:t>
      </w:r>
      <w:r w:rsidRPr="00211D07">
        <w:rPr>
          <w:rFonts w:ascii="Tahoma" w:hAnsi="Tahoma" w:cs="Tahoma"/>
          <w:sz w:val="18"/>
          <w:szCs w:val="18"/>
          <w:rtl/>
        </w:rPr>
        <w:t xml:space="preserve"> תחושת ערך עצמי ואמונה ביכולותי</w:t>
      </w:r>
      <w:r w:rsidRPr="00211D07">
        <w:rPr>
          <w:rFonts w:ascii="Tahoma" w:hAnsi="Tahoma" w:cs="Tahoma" w:hint="cs"/>
          <w:sz w:val="18"/>
          <w:szCs w:val="18"/>
          <w:rtl/>
        </w:rPr>
        <w:t>הם, ולהגביר בכך את סיכויי ההצלחה של תהליך השיקום ואת שילובם בחיים הנורמטיביים ובחברה</w:t>
      </w:r>
      <w:r w:rsidRPr="00211D07">
        <w:rPr>
          <w:rFonts w:ascii="Tahoma" w:hAnsi="Tahoma" w:cs="Tahoma"/>
          <w:sz w:val="18"/>
          <w:szCs w:val="18"/>
          <w:rtl/>
        </w:rPr>
        <w:t>.</w:t>
      </w:r>
      <w:r w:rsidRPr="00211D07">
        <w:rPr>
          <w:rFonts w:ascii="Tahoma" w:hAnsi="Tahoma" w:cs="Tahoma" w:hint="cs"/>
          <w:sz w:val="18"/>
          <w:szCs w:val="18"/>
          <w:rtl/>
        </w:rPr>
        <w:t xml:space="preserve"> גם </w:t>
      </w:r>
      <w:r w:rsidRPr="00211D07">
        <w:rPr>
          <w:rFonts w:ascii="Tahoma" w:hAnsi="Tahoma" w:cs="Tahoma"/>
          <w:sz w:val="18"/>
          <w:szCs w:val="18"/>
          <w:rtl/>
        </w:rPr>
        <w:t>השירות להתמכרויות</w:t>
      </w:r>
      <w:r w:rsidRPr="00211D07">
        <w:rPr>
          <w:rFonts w:ascii="Tahoma" w:hAnsi="Tahoma" w:cs="Tahoma" w:hint="cs"/>
          <w:sz w:val="18"/>
          <w:szCs w:val="18"/>
          <w:rtl/>
        </w:rPr>
        <w:t xml:space="preserve"> קבע כי התעסוקה היא מרכיב מרכזי הכרחי בשיקום המכורים, וללא שיקום תעסוקתי </w:t>
      </w:r>
      <w:r w:rsidRPr="00211D07">
        <w:rPr>
          <w:rFonts w:ascii="Tahoma" w:hAnsi="Tahoma" w:cs="Tahoma" w:hint="cs"/>
          <w:sz w:val="18"/>
          <w:szCs w:val="18"/>
          <w:rtl/>
        </w:rPr>
        <w:t>תוכנית</w:t>
      </w:r>
      <w:r w:rsidRPr="00211D07">
        <w:rPr>
          <w:rFonts w:ascii="Tahoma" w:hAnsi="Tahoma" w:cs="Tahoma" w:hint="cs"/>
          <w:sz w:val="18"/>
          <w:szCs w:val="18"/>
          <w:rtl/>
        </w:rPr>
        <w:t xml:space="preserve"> הטיפול בהם "אינה שלמה".</w:t>
      </w:r>
      <w:r w:rsidRPr="00211D07">
        <w:rPr>
          <w:rFonts w:ascii="Tahoma" w:eastAsia="Calibri" w:hAnsi="Tahoma" w:cs="Tahoma" w:hint="cs"/>
          <w:sz w:val="18"/>
          <w:szCs w:val="18"/>
          <w:rtl/>
        </w:rPr>
        <w:t xml:space="preserve"> עם זאת אוכלוסיית המכורים היא אוכלוסייה ייחודית שיש </w:t>
      </w:r>
      <w:r w:rsidRPr="00211D07">
        <w:rPr>
          <w:rFonts w:ascii="Tahoma" w:eastAsia="Calibri" w:hAnsi="Tahoma" w:cs="Tahoma" w:hint="cs"/>
          <w:sz w:val="18"/>
          <w:szCs w:val="18"/>
          <w:rtl/>
        </w:rPr>
        <w:t xml:space="preserve">לה חסמים תעסוקתיים רבים ולכן נדרשת בעבורם </w:t>
      </w:r>
      <w:r w:rsidRPr="00211D07">
        <w:rPr>
          <w:rFonts w:ascii="Tahoma" w:eastAsia="Calibri" w:hAnsi="Tahoma" w:cs="Tahoma" w:hint="cs"/>
          <w:sz w:val="18"/>
          <w:szCs w:val="18"/>
          <w:rtl/>
        </w:rPr>
        <w:t>תוכנית</w:t>
      </w:r>
      <w:r w:rsidRPr="00211D07">
        <w:rPr>
          <w:rFonts w:ascii="Tahoma" w:eastAsia="Calibri" w:hAnsi="Tahoma" w:cs="Tahoma" w:hint="cs"/>
          <w:sz w:val="18"/>
          <w:szCs w:val="18"/>
          <w:rtl/>
        </w:rPr>
        <w:t xml:space="preserve"> ייחודית. לפי השירות להתמכרויות היו בעבר ניסיונו</w:t>
      </w:r>
      <w:r w:rsidRPr="00211D07">
        <w:rPr>
          <w:rFonts w:ascii="Tahoma" w:eastAsia="Calibri" w:hAnsi="Tahoma" w:cs="Tahoma" w:hint="eastAsia"/>
          <w:sz w:val="18"/>
          <w:szCs w:val="18"/>
          <w:rtl/>
        </w:rPr>
        <w:t>ת</w:t>
      </w:r>
      <w:r w:rsidRPr="00211D07">
        <w:rPr>
          <w:rFonts w:ascii="Tahoma" w:eastAsia="Calibri" w:hAnsi="Tahoma" w:cs="Tahoma" w:hint="cs"/>
          <w:sz w:val="18"/>
          <w:szCs w:val="18"/>
          <w:rtl/>
        </w:rPr>
        <w:t xml:space="preserve"> לשלב את המכורים בפרויקטים שנועדו לאוכלוסיי</w:t>
      </w:r>
      <w:r w:rsidRPr="00211D07">
        <w:rPr>
          <w:rFonts w:ascii="Tahoma" w:eastAsia="Calibri" w:hAnsi="Tahoma" w:cs="Tahoma" w:hint="eastAsia"/>
          <w:sz w:val="18"/>
          <w:szCs w:val="18"/>
          <w:rtl/>
        </w:rPr>
        <w:t>ה</w:t>
      </w:r>
      <w:r w:rsidRPr="00211D07">
        <w:rPr>
          <w:rFonts w:ascii="Tahoma" w:eastAsia="Calibri" w:hAnsi="Tahoma" w:cs="Tahoma" w:hint="cs"/>
          <w:sz w:val="18"/>
          <w:szCs w:val="18"/>
          <w:rtl/>
        </w:rPr>
        <w:t xml:space="preserve"> נורמטיבית במרכזי אבחון ושיקום בקהילה שהופעלו על ידי גורמים שונים, אך בודדים צלחו אותן אם בכלל.</w:t>
      </w:r>
    </w:p>
    <w:p w:rsidR="009B6D36" w:rsidRPr="00211D07" w:rsidP="00211D07">
      <w:pPr>
        <w:spacing w:line="240" w:lineRule="exact"/>
        <w:ind w:right="2268"/>
        <w:jc w:val="both"/>
        <w:rPr>
          <w:rFonts w:ascii="Tahoma" w:eastAsia="Times New Roman" w:hAnsi="Tahoma" w:cs="Tahoma"/>
          <w:sz w:val="18"/>
          <w:szCs w:val="18"/>
          <w:rtl/>
        </w:rPr>
      </w:pPr>
      <w:r w:rsidRPr="00211D07">
        <w:rPr>
          <w:rFonts w:ascii="Tahoma" w:hAnsi="Tahoma" w:cs="Tahoma" w:hint="cs"/>
          <w:sz w:val="18"/>
          <w:szCs w:val="18"/>
          <w:rtl/>
        </w:rPr>
        <w:t xml:space="preserve">לפי השירות להתמכרויות, עו"ס התמכרויות נדרש לבצע "פעילות אקטיבית בכדי לקדם את שילובו של האדם במסגרות טיפול משלימות המתאימות לצרכיו" וביניהן מסגרות תעסוקה. השירות מממן שירותי שיקום תעסוקתי למכורים באמצעות היחידות לטיפול בהתמכרויות ובמרכזי תעסוקה שיקומיים למכורים (להלן - מרכזי תעסוקה). בתקופת הביקורת פעלו מרכזי תעסוקה בעשר רשויות מקומיות. </w:t>
      </w:r>
      <w:r w:rsidRPr="00211D07">
        <w:rPr>
          <w:rFonts w:ascii="Tahoma" w:eastAsia="Times New Roman" w:hAnsi="Tahoma" w:cs="Tahoma" w:hint="cs"/>
          <w:sz w:val="18"/>
          <w:szCs w:val="18"/>
          <w:rtl/>
        </w:rPr>
        <w:t>לפי הבדיקה שערך משרד מבקר המדינה טיפלו מרכזי התעסוקה בשנים 2010 - 2017 בכ-850 מכורים. מרכזי התעסוקה אמורים לפעול לפי מודל שנקבע ב</w:t>
      </w:r>
      <w:r w:rsidRPr="00211D07">
        <w:rPr>
          <w:rFonts w:ascii="Tahoma" w:eastAsia="Times New Roman" w:hAnsi="Tahoma" w:cs="Tahoma"/>
          <w:sz w:val="18"/>
          <w:szCs w:val="18"/>
          <w:rtl/>
        </w:rPr>
        <w:t>אוגוסט 2016</w:t>
      </w:r>
      <w:r w:rsidRPr="00211D07">
        <w:rPr>
          <w:rFonts w:ascii="Tahoma" w:eastAsia="Times New Roman" w:hAnsi="Tahoma" w:cs="Tahoma" w:hint="cs"/>
          <w:sz w:val="18"/>
          <w:szCs w:val="18"/>
          <w:rtl/>
        </w:rPr>
        <w:t xml:space="preserve"> להפעלת מרכזי תעסוקה (להלן - מודל התעסוקה). </w:t>
      </w:r>
    </w:p>
    <w:p w:rsidR="009B6D36" w:rsidRPr="00211D07" w:rsidP="0095721D">
      <w:pPr>
        <w:spacing w:after="240" w:line="240" w:lineRule="exact"/>
        <w:ind w:right="2268"/>
        <w:jc w:val="both"/>
        <w:rPr>
          <w:rFonts w:ascii="Tahoma" w:hAnsi="Tahoma" w:cs="Tahoma"/>
          <w:sz w:val="18"/>
          <w:szCs w:val="18"/>
          <w:rtl/>
        </w:rPr>
      </w:pPr>
      <w:r w:rsidRPr="00211D07">
        <w:rPr>
          <w:rFonts w:ascii="Tahoma" w:hAnsi="Tahoma" w:cs="Tahoma" w:hint="cs"/>
          <w:sz w:val="18"/>
          <w:szCs w:val="18"/>
          <w:rtl/>
        </w:rPr>
        <w:t xml:space="preserve">הקצאה יעילה של כספי ציבור לתוכנית לשיקום תעסוקתי מחייבת גם איסוף נתונים נוספים מלבד הנתון העובדתי של "עובד/לא עובד" שאוסף השירות להתמכרויות. למשל: מדדים על אודות שיעורי השמה בתעסוקה, רמת השכר, כמה זמן עבד המושם בעבודתו, אחוזי משרה וכיו"ב (להלן - מדדי תעסוקה). נתונים אלו מאפשרים לבחון את האפקטיביות של </w:t>
      </w:r>
      <w:r w:rsidRPr="00211D07">
        <w:rPr>
          <w:rFonts w:ascii="Tahoma" w:hAnsi="Tahoma" w:cs="Tahoma" w:hint="cs"/>
          <w:sz w:val="18"/>
          <w:szCs w:val="18"/>
          <w:rtl/>
        </w:rPr>
        <w:t>תוכניות</w:t>
      </w:r>
      <w:r w:rsidRPr="00211D07">
        <w:rPr>
          <w:rFonts w:ascii="Tahoma" w:hAnsi="Tahoma" w:cs="Tahoma" w:hint="cs"/>
          <w:sz w:val="18"/>
          <w:szCs w:val="18"/>
          <w:rtl/>
        </w:rPr>
        <w:t xml:space="preserve"> השיקום התעסוקתי ולהתאים אותן לאוכלוסיית המכורים. רבות מהתוכניות של משרד הרווחה וגופים נוספים מלוות במחקר הבוחן את האפקטיביות שלהן. כך למשל, בתחום הטיפול באוכלוסיות עם שיעורי תעסוקה נמוכים בדק שירות התעסוקה במחקר מלווה את </w:t>
      </w:r>
      <w:r w:rsidRPr="00211D07">
        <w:rPr>
          <w:rFonts w:ascii="Tahoma" w:hAnsi="Tahoma" w:cs="Tahoma" w:hint="cs"/>
          <w:sz w:val="18"/>
          <w:szCs w:val="18"/>
          <w:rtl/>
        </w:rPr>
        <w:t>תוכנית</w:t>
      </w:r>
      <w:r w:rsidRPr="00211D07">
        <w:rPr>
          <w:rFonts w:ascii="Tahoma" w:hAnsi="Tahoma" w:cs="Tahoma" w:hint="cs"/>
          <w:sz w:val="18"/>
          <w:szCs w:val="18"/>
          <w:rtl/>
        </w:rPr>
        <w:t xml:space="preserve"> "מעגלי תעסוקה" שהחל להפעיל בשנת 2014</w:t>
      </w:r>
      <w:r>
        <w:rPr>
          <w:rFonts w:ascii="Tahoma" w:hAnsi="Tahoma" w:cs="Tahoma"/>
          <w:sz w:val="18"/>
          <w:szCs w:val="18"/>
          <w:vertAlign w:val="superscript"/>
          <w:rtl/>
        </w:rPr>
        <w:footnoteReference w:id="61"/>
      </w:r>
      <w:r w:rsidRPr="00211D07">
        <w:rPr>
          <w:rFonts w:ascii="Tahoma" w:hAnsi="Tahoma" w:cs="Tahoma" w:hint="cs"/>
          <w:sz w:val="18"/>
          <w:szCs w:val="18"/>
          <w:rtl/>
        </w:rPr>
        <w:t>. במחקר המלווה נבחנו מדדים אישיים וקבוצתיים של משתתפים בתוכנית והושוו למדדים של קבוצת ביקורת</w:t>
      </w:r>
      <w:r>
        <w:rPr>
          <w:rFonts w:ascii="Tahoma" w:hAnsi="Tahoma" w:cs="Tahoma"/>
          <w:sz w:val="18"/>
          <w:szCs w:val="18"/>
          <w:vertAlign w:val="superscript"/>
          <w:rtl/>
        </w:rPr>
        <w:footnoteReference w:id="62"/>
      </w:r>
      <w:r w:rsidRPr="00211D07">
        <w:rPr>
          <w:rFonts w:ascii="Tahoma" w:hAnsi="Tahoma" w:cs="Tahoma" w:hint="cs"/>
          <w:sz w:val="18"/>
          <w:szCs w:val="18"/>
          <w:rtl/>
        </w:rPr>
        <w:t xml:space="preserve"> ושל </w:t>
      </w:r>
      <w:r w:rsidRPr="00211D07">
        <w:rPr>
          <w:rFonts w:ascii="Tahoma" w:hAnsi="Tahoma" w:cs="Tahoma" w:hint="cs"/>
          <w:sz w:val="18"/>
          <w:szCs w:val="18"/>
          <w:rtl/>
        </w:rPr>
        <w:t>תוכניות</w:t>
      </w:r>
      <w:r w:rsidRPr="00211D07">
        <w:rPr>
          <w:rFonts w:ascii="Tahoma" w:hAnsi="Tahoma" w:cs="Tahoma" w:hint="cs"/>
          <w:sz w:val="18"/>
          <w:szCs w:val="18"/>
          <w:rtl/>
        </w:rPr>
        <w:t xml:space="preserve"> דומות לטיפול במקבלי הבטחת הכנסה שהופעלו בעבר בישראל או בעולם.</w:t>
      </w:r>
    </w:p>
    <w:p w:rsidR="009B6D36" w:rsidRPr="00211D07" w:rsidP="00335CD4">
      <w:pPr>
        <w:pStyle w:val="RESHET"/>
        <w:rPr>
          <w:rtl/>
        </w:rPr>
      </w:pPr>
      <w:r w:rsidRPr="00211D07">
        <w:rPr>
          <w:rFonts w:hint="cs"/>
          <w:rtl/>
        </w:rPr>
        <w:t xml:space="preserve">בביקורת עלה כי </w:t>
      </w:r>
      <w:r w:rsidRPr="00211D07">
        <w:rPr>
          <w:rtl/>
        </w:rPr>
        <w:t>השירות להתמכרויות</w:t>
      </w:r>
      <w:r w:rsidRPr="00211D07">
        <w:rPr>
          <w:rFonts w:hint="cs"/>
          <w:rtl/>
        </w:rPr>
        <w:t xml:space="preserve"> אמנם הנחה במודל התעסוקה את </w:t>
      </w:r>
      <w:r w:rsidRPr="00211D07">
        <w:rPr>
          <w:rFonts w:hint="cs"/>
          <w:rtl/>
        </w:rPr>
        <w:t>העו"סים</w:t>
      </w:r>
      <w:r w:rsidRPr="00211D07">
        <w:rPr>
          <w:rFonts w:hint="cs"/>
          <w:rtl/>
        </w:rPr>
        <w:t xml:space="preserve"> במרכזי התעסוקה לאסוף את מדדי התעסוקה - ואולם במועד סיום הביקורת באוגוסט 2018, כשנתיים לאחר שהשירות להתמכרויות פרסם את מודל התעסוקה, אין בידיו מדדי תעסוקה למכורים שטופלו במרכזי התעסוקה, ולכן לא ניתן לבחון את האפקטיביות של </w:t>
      </w:r>
      <w:r w:rsidRPr="00211D07">
        <w:rPr>
          <w:rFonts w:hint="cs"/>
          <w:rtl/>
        </w:rPr>
        <w:t>תוכניות</w:t>
      </w:r>
      <w:r w:rsidRPr="00211D07">
        <w:rPr>
          <w:rFonts w:hint="cs"/>
          <w:rtl/>
        </w:rPr>
        <w:t xml:space="preserve"> אלו. יתרה מזאת, רוב המכורים אינם משולבים במרכזי תעסוקה </w:t>
      </w:r>
      <w:r w:rsidRPr="00211D07">
        <w:rPr>
          <w:rtl/>
        </w:rPr>
        <w:t>ועו"ס התמכרויות המטפל בהם אמור לקדם את שילובם במסגרות תעסוקה</w:t>
      </w:r>
      <w:r w:rsidRPr="00211D07">
        <w:rPr>
          <w:rFonts w:hint="cs"/>
          <w:rtl/>
        </w:rPr>
        <w:t>. גם בנוגע למכורים אלה אין נתונים על אודות איכות התעסוקה שלהם מלבד הנתון העובדתי אם הם עובדים או לא, כאמור בתרשים לעיל.</w:t>
      </w:r>
      <w:r w:rsidRPr="00290C9B" w:rsidR="00290C9B">
        <w:rPr>
          <w:noProof/>
          <w:szCs w:val="17"/>
          <w:rtl/>
        </w:rPr>
        <w:t xml:space="preserve"> </w:t>
      </w:r>
      <w:r w:rsidRPr="0012789B" w:rsidR="00290C9B">
        <w:rPr>
          <w:noProof/>
          <w:szCs w:val="17"/>
          <w:rtl/>
          <w:lang w:eastAsia="en-US"/>
        </w:rPr>
        <mc:AlternateContent>
          <mc:Choice Requires="wps">
            <w:drawing>
              <wp:anchor distT="0" distB="0" distL="114300" distR="114300" simplePos="0" relativeHeight="251668480" behindDoc="1" locked="0" layoutInCell="1" allowOverlap="1">
                <wp:simplePos x="0" y="0"/>
                <wp:positionH relativeFrom="margin">
                  <wp:posOffset>-431800</wp:posOffset>
                </wp:positionH>
                <wp:positionV relativeFrom="margin">
                  <wp:align>top</wp:align>
                </wp:positionV>
                <wp:extent cx="1620000" cy="4140000"/>
                <wp:effectExtent l="0" t="0" r="0" b="0"/>
                <wp:wrapNone/>
                <wp:docPr id="27"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290C9B" w:rsidRPr="00373C5D" w:rsidP="00290C9B">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30450543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749055"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290C9B" w:rsidRPr="00881D99" w:rsidP="00290C9B">
                            <w:pPr>
                              <w:spacing w:after="0" w:line="240" w:lineRule="auto"/>
                              <w:rPr>
                                <w:color w:val="0B5294"/>
                                <w:spacing w:val="-4"/>
                                <w:sz w:val="24"/>
                                <w:szCs w:val="24"/>
                                <w:rtl/>
                                <w:cs/>
                              </w:rPr>
                            </w:pPr>
                            <w:r w:rsidRPr="00335CD4">
                              <w:rPr>
                                <w:rFonts w:cs="Tahoma" w:hint="eastAsia"/>
                                <w:color w:val="0B5294"/>
                                <w:spacing w:val="-4"/>
                                <w:sz w:val="24"/>
                                <w:szCs w:val="24"/>
                                <w:rtl/>
                              </w:rPr>
                              <w:t>לשירות</w:t>
                            </w:r>
                            <w:r w:rsidRPr="00335CD4">
                              <w:rPr>
                                <w:rFonts w:cs="Tahoma"/>
                                <w:color w:val="0B5294"/>
                                <w:spacing w:val="-4"/>
                                <w:sz w:val="24"/>
                                <w:szCs w:val="24"/>
                                <w:rtl/>
                              </w:rPr>
                              <w:t xml:space="preserve"> </w:t>
                            </w:r>
                            <w:r w:rsidRPr="00335CD4">
                              <w:rPr>
                                <w:rFonts w:cs="Tahoma" w:hint="eastAsia"/>
                                <w:color w:val="0B5294"/>
                                <w:spacing w:val="-4"/>
                                <w:sz w:val="24"/>
                                <w:szCs w:val="24"/>
                                <w:rtl/>
                              </w:rPr>
                              <w:t>להתמכרויות</w:t>
                            </w:r>
                            <w:r w:rsidRPr="00335CD4">
                              <w:rPr>
                                <w:rFonts w:cs="Tahoma"/>
                                <w:color w:val="0B5294"/>
                                <w:spacing w:val="-4"/>
                                <w:sz w:val="24"/>
                                <w:szCs w:val="24"/>
                                <w:rtl/>
                              </w:rPr>
                              <w:t xml:space="preserve"> </w:t>
                            </w:r>
                            <w:r w:rsidRPr="00335CD4">
                              <w:rPr>
                                <w:rFonts w:cs="Tahoma" w:hint="eastAsia"/>
                                <w:color w:val="0B5294"/>
                                <w:spacing w:val="-4"/>
                                <w:sz w:val="24"/>
                                <w:szCs w:val="24"/>
                                <w:rtl/>
                              </w:rPr>
                              <w:t>אין</w:t>
                            </w:r>
                            <w:r w:rsidRPr="00335CD4">
                              <w:rPr>
                                <w:rFonts w:cs="Tahoma"/>
                                <w:color w:val="0B5294"/>
                                <w:spacing w:val="-4"/>
                                <w:sz w:val="24"/>
                                <w:szCs w:val="24"/>
                                <w:rtl/>
                              </w:rPr>
                              <w:t xml:space="preserve"> </w:t>
                            </w:r>
                            <w:r w:rsidRPr="00335CD4">
                              <w:rPr>
                                <w:rFonts w:cs="Tahoma" w:hint="eastAsia"/>
                                <w:color w:val="0B5294"/>
                                <w:spacing w:val="-4"/>
                                <w:sz w:val="24"/>
                                <w:szCs w:val="24"/>
                                <w:rtl/>
                              </w:rPr>
                              <w:t>נתונים</w:t>
                            </w:r>
                            <w:r w:rsidRPr="00335CD4">
                              <w:rPr>
                                <w:rFonts w:cs="Tahoma"/>
                                <w:color w:val="0B5294"/>
                                <w:spacing w:val="-4"/>
                                <w:sz w:val="24"/>
                                <w:szCs w:val="24"/>
                                <w:rtl/>
                              </w:rPr>
                              <w:t xml:space="preserve"> </w:t>
                            </w:r>
                            <w:r w:rsidRPr="00335CD4">
                              <w:rPr>
                                <w:rFonts w:cs="Tahoma" w:hint="eastAsia"/>
                                <w:color w:val="0B5294"/>
                                <w:spacing w:val="-4"/>
                                <w:sz w:val="24"/>
                                <w:szCs w:val="24"/>
                                <w:rtl/>
                              </w:rPr>
                              <w:t>על</w:t>
                            </w:r>
                            <w:r w:rsidRPr="00335CD4">
                              <w:rPr>
                                <w:rFonts w:cs="Tahoma"/>
                                <w:color w:val="0B5294"/>
                                <w:spacing w:val="-4"/>
                                <w:sz w:val="24"/>
                                <w:szCs w:val="24"/>
                                <w:rtl/>
                              </w:rPr>
                              <w:t xml:space="preserve"> </w:t>
                            </w:r>
                            <w:r w:rsidRPr="00335CD4">
                              <w:rPr>
                                <w:rFonts w:cs="Tahoma" w:hint="eastAsia"/>
                                <w:color w:val="0B5294"/>
                                <w:spacing w:val="-4"/>
                                <w:sz w:val="24"/>
                                <w:szCs w:val="24"/>
                                <w:rtl/>
                              </w:rPr>
                              <w:t>אודות</w:t>
                            </w:r>
                            <w:r w:rsidRPr="00335CD4">
                              <w:rPr>
                                <w:rFonts w:cs="Tahoma"/>
                                <w:color w:val="0B5294"/>
                                <w:spacing w:val="-4"/>
                                <w:sz w:val="24"/>
                                <w:szCs w:val="24"/>
                                <w:rtl/>
                              </w:rPr>
                              <w:t xml:space="preserve"> </w:t>
                            </w:r>
                            <w:r w:rsidRPr="00335CD4">
                              <w:rPr>
                                <w:rFonts w:cs="Tahoma" w:hint="eastAsia"/>
                                <w:color w:val="0B5294"/>
                                <w:spacing w:val="-4"/>
                                <w:sz w:val="24"/>
                                <w:szCs w:val="24"/>
                                <w:rtl/>
                              </w:rPr>
                              <w:t>איכות</w:t>
                            </w:r>
                            <w:r w:rsidRPr="00335CD4">
                              <w:rPr>
                                <w:rFonts w:cs="Tahoma"/>
                                <w:color w:val="0B5294"/>
                                <w:spacing w:val="-4"/>
                                <w:sz w:val="24"/>
                                <w:szCs w:val="24"/>
                                <w:rtl/>
                              </w:rPr>
                              <w:t xml:space="preserve"> </w:t>
                            </w:r>
                            <w:r w:rsidRPr="00335CD4">
                              <w:rPr>
                                <w:rFonts w:cs="Tahoma" w:hint="eastAsia"/>
                                <w:color w:val="0B5294"/>
                                <w:spacing w:val="-4"/>
                                <w:sz w:val="24"/>
                                <w:szCs w:val="24"/>
                                <w:rtl/>
                              </w:rPr>
                              <w:t>התעסוקה</w:t>
                            </w:r>
                            <w:r w:rsidRPr="00335CD4">
                              <w:rPr>
                                <w:rFonts w:cs="Tahoma"/>
                                <w:color w:val="0B5294"/>
                                <w:spacing w:val="-4"/>
                                <w:sz w:val="24"/>
                                <w:szCs w:val="24"/>
                                <w:rtl/>
                              </w:rPr>
                              <w:t xml:space="preserve"> </w:t>
                            </w:r>
                            <w:r w:rsidRPr="00335CD4">
                              <w:rPr>
                                <w:rFonts w:cs="Tahoma" w:hint="eastAsia"/>
                                <w:color w:val="0B5294"/>
                                <w:spacing w:val="-4"/>
                                <w:sz w:val="24"/>
                                <w:szCs w:val="24"/>
                                <w:rtl/>
                              </w:rPr>
                              <w:t>של</w:t>
                            </w:r>
                            <w:r w:rsidRPr="00335CD4">
                              <w:rPr>
                                <w:rFonts w:cs="Tahoma"/>
                                <w:color w:val="0B5294"/>
                                <w:spacing w:val="-4"/>
                                <w:sz w:val="24"/>
                                <w:szCs w:val="24"/>
                                <w:rtl/>
                              </w:rPr>
                              <w:t xml:space="preserve"> </w:t>
                            </w:r>
                            <w:r w:rsidRPr="00335CD4">
                              <w:rPr>
                                <w:rFonts w:cs="Tahoma" w:hint="eastAsia"/>
                                <w:color w:val="0B5294"/>
                                <w:spacing w:val="-4"/>
                                <w:sz w:val="24"/>
                                <w:szCs w:val="24"/>
                                <w:rtl/>
                              </w:rPr>
                              <w:t>המכורים</w:t>
                            </w:r>
                            <w:r w:rsidRPr="00335CD4">
                              <w:rPr>
                                <w:rFonts w:cs="Tahoma"/>
                                <w:color w:val="0B5294"/>
                                <w:spacing w:val="-4"/>
                                <w:sz w:val="24"/>
                                <w:szCs w:val="24"/>
                                <w:rtl/>
                              </w:rPr>
                              <w:t xml:space="preserve"> </w:t>
                            </w:r>
                            <w:r w:rsidRPr="00335CD4">
                              <w:rPr>
                                <w:rFonts w:cs="Tahoma" w:hint="eastAsia"/>
                                <w:color w:val="0B5294"/>
                                <w:spacing w:val="-4"/>
                                <w:sz w:val="24"/>
                                <w:szCs w:val="24"/>
                                <w:rtl/>
                              </w:rPr>
                              <w:t>שטופלו</w:t>
                            </w:r>
                            <w:r w:rsidRPr="00335CD4">
                              <w:rPr>
                                <w:rFonts w:cs="Tahoma"/>
                                <w:color w:val="0B5294"/>
                                <w:spacing w:val="-4"/>
                                <w:sz w:val="24"/>
                                <w:szCs w:val="24"/>
                                <w:rtl/>
                              </w:rPr>
                              <w:t xml:space="preserve"> </w:t>
                            </w:r>
                            <w:r w:rsidRPr="00335CD4">
                              <w:rPr>
                                <w:rFonts w:cs="Tahoma" w:hint="eastAsia"/>
                                <w:color w:val="0B5294"/>
                                <w:spacing w:val="-4"/>
                                <w:sz w:val="24"/>
                                <w:szCs w:val="24"/>
                                <w:rtl/>
                              </w:rPr>
                              <w:t>במסגרות</w:t>
                            </w:r>
                            <w:r w:rsidRPr="00335CD4">
                              <w:rPr>
                                <w:rFonts w:cs="Tahoma"/>
                                <w:color w:val="0B5294"/>
                                <w:spacing w:val="-4"/>
                                <w:sz w:val="24"/>
                                <w:szCs w:val="24"/>
                                <w:rtl/>
                              </w:rPr>
                              <w:t xml:space="preserve"> </w:t>
                            </w:r>
                            <w:r w:rsidRPr="00335CD4">
                              <w:rPr>
                                <w:rFonts w:cs="Tahoma" w:hint="eastAsia"/>
                                <w:color w:val="0B5294"/>
                                <w:spacing w:val="-4"/>
                                <w:sz w:val="24"/>
                                <w:szCs w:val="24"/>
                                <w:rtl/>
                              </w:rPr>
                              <w:t>שבאחריותו</w:t>
                            </w:r>
                          </w:p>
                          <w:p w:rsidR="00290C9B" w:rsidRPr="00373C5D" w:rsidP="00290C9B">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66246085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417521"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5"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6976" filled="f" stroked="f">
                <v:textbox>
                  <w:txbxContent>
                    <w:p w:rsidR="00290C9B" w:rsidRPr="00373C5D" w:rsidP="00290C9B">
                      <w:pPr>
                        <w:spacing w:line="240" w:lineRule="atLeast"/>
                        <w:rPr>
                          <w:rFonts w:cs="Tahoma"/>
                          <w:b/>
                          <w:bCs/>
                          <w:color w:val="0B5294"/>
                          <w:sz w:val="48"/>
                          <w:szCs w:val="48"/>
                          <w:rtl/>
                        </w:rPr>
                      </w:pPr>
                      <w:drawing>
                        <wp:inline distT="0" distB="0" distL="0" distR="0">
                          <wp:extent cx="311150" cy="256800"/>
                          <wp:effectExtent l="0" t="0" r="0" b="0"/>
                          <wp:docPr id="2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879881"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290C9B" w:rsidRPr="00881D99" w:rsidP="00290C9B">
                      <w:pPr>
                        <w:spacing w:after="0" w:line="240" w:lineRule="auto"/>
                        <w:rPr>
                          <w:color w:val="0B5294"/>
                          <w:spacing w:val="-4"/>
                          <w:sz w:val="24"/>
                          <w:szCs w:val="24"/>
                          <w:rtl/>
                          <w:cs/>
                        </w:rPr>
                      </w:pPr>
                      <w:r w:rsidRPr="00335CD4">
                        <w:rPr>
                          <w:rFonts w:cs="Tahoma" w:hint="eastAsia"/>
                          <w:color w:val="0B5294"/>
                          <w:spacing w:val="-4"/>
                          <w:sz w:val="24"/>
                          <w:szCs w:val="24"/>
                          <w:rtl/>
                        </w:rPr>
                        <w:t>לשירות</w:t>
                      </w:r>
                      <w:r w:rsidRPr="00335CD4">
                        <w:rPr>
                          <w:rFonts w:cs="Tahoma"/>
                          <w:color w:val="0B5294"/>
                          <w:spacing w:val="-4"/>
                          <w:sz w:val="24"/>
                          <w:szCs w:val="24"/>
                          <w:rtl/>
                        </w:rPr>
                        <w:t xml:space="preserve"> </w:t>
                      </w:r>
                      <w:r w:rsidRPr="00335CD4">
                        <w:rPr>
                          <w:rFonts w:cs="Tahoma" w:hint="eastAsia"/>
                          <w:color w:val="0B5294"/>
                          <w:spacing w:val="-4"/>
                          <w:sz w:val="24"/>
                          <w:szCs w:val="24"/>
                          <w:rtl/>
                        </w:rPr>
                        <w:t>להתמכרויות</w:t>
                      </w:r>
                      <w:r w:rsidRPr="00335CD4">
                        <w:rPr>
                          <w:rFonts w:cs="Tahoma"/>
                          <w:color w:val="0B5294"/>
                          <w:spacing w:val="-4"/>
                          <w:sz w:val="24"/>
                          <w:szCs w:val="24"/>
                          <w:rtl/>
                        </w:rPr>
                        <w:t xml:space="preserve"> </w:t>
                      </w:r>
                      <w:r w:rsidRPr="00335CD4">
                        <w:rPr>
                          <w:rFonts w:cs="Tahoma" w:hint="eastAsia"/>
                          <w:color w:val="0B5294"/>
                          <w:spacing w:val="-4"/>
                          <w:sz w:val="24"/>
                          <w:szCs w:val="24"/>
                          <w:rtl/>
                        </w:rPr>
                        <w:t>אין</w:t>
                      </w:r>
                      <w:r w:rsidRPr="00335CD4">
                        <w:rPr>
                          <w:rFonts w:cs="Tahoma"/>
                          <w:color w:val="0B5294"/>
                          <w:spacing w:val="-4"/>
                          <w:sz w:val="24"/>
                          <w:szCs w:val="24"/>
                          <w:rtl/>
                        </w:rPr>
                        <w:t xml:space="preserve"> </w:t>
                      </w:r>
                      <w:r w:rsidRPr="00335CD4">
                        <w:rPr>
                          <w:rFonts w:cs="Tahoma" w:hint="eastAsia"/>
                          <w:color w:val="0B5294"/>
                          <w:spacing w:val="-4"/>
                          <w:sz w:val="24"/>
                          <w:szCs w:val="24"/>
                          <w:rtl/>
                        </w:rPr>
                        <w:t>נתונים</w:t>
                      </w:r>
                      <w:r w:rsidRPr="00335CD4">
                        <w:rPr>
                          <w:rFonts w:cs="Tahoma"/>
                          <w:color w:val="0B5294"/>
                          <w:spacing w:val="-4"/>
                          <w:sz w:val="24"/>
                          <w:szCs w:val="24"/>
                          <w:rtl/>
                        </w:rPr>
                        <w:t xml:space="preserve"> </w:t>
                      </w:r>
                      <w:r w:rsidRPr="00335CD4">
                        <w:rPr>
                          <w:rFonts w:cs="Tahoma" w:hint="eastAsia"/>
                          <w:color w:val="0B5294"/>
                          <w:spacing w:val="-4"/>
                          <w:sz w:val="24"/>
                          <w:szCs w:val="24"/>
                          <w:rtl/>
                        </w:rPr>
                        <w:t>על</w:t>
                      </w:r>
                      <w:r w:rsidRPr="00335CD4">
                        <w:rPr>
                          <w:rFonts w:cs="Tahoma"/>
                          <w:color w:val="0B5294"/>
                          <w:spacing w:val="-4"/>
                          <w:sz w:val="24"/>
                          <w:szCs w:val="24"/>
                          <w:rtl/>
                        </w:rPr>
                        <w:t xml:space="preserve"> </w:t>
                      </w:r>
                      <w:r w:rsidRPr="00335CD4">
                        <w:rPr>
                          <w:rFonts w:cs="Tahoma" w:hint="eastAsia"/>
                          <w:color w:val="0B5294"/>
                          <w:spacing w:val="-4"/>
                          <w:sz w:val="24"/>
                          <w:szCs w:val="24"/>
                          <w:rtl/>
                        </w:rPr>
                        <w:t>אודות</w:t>
                      </w:r>
                      <w:r w:rsidRPr="00335CD4">
                        <w:rPr>
                          <w:rFonts w:cs="Tahoma"/>
                          <w:color w:val="0B5294"/>
                          <w:spacing w:val="-4"/>
                          <w:sz w:val="24"/>
                          <w:szCs w:val="24"/>
                          <w:rtl/>
                        </w:rPr>
                        <w:t xml:space="preserve"> </w:t>
                      </w:r>
                      <w:r w:rsidRPr="00335CD4">
                        <w:rPr>
                          <w:rFonts w:cs="Tahoma" w:hint="eastAsia"/>
                          <w:color w:val="0B5294"/>
                          <w:spacing w:val="-4"/>
                          <w:sz w:val="24"/>
                          <w:szCs w:val="24"/>
                          <w:rtl/>
                        </w:rPr>
                        <w:t>איכות</w:t>
                      </w:r>
                      <w:r w:rsidRPr="00335CD4">
                        <w:rPr>
                          <w:rFonts w:cs="Tahoma"/>
                          <w:color w:val="0B5294"/>
                          <w:spacing w:val="-4"/>
                          <w:sz w:val="24"/>
                          <w:szCs w:val="24"/>
                          <w:rtl/>
                        </w:rPr>
                        <w:t xml:space="preserve"> </w:t>
                      </w:r>
                      <w:r w:rsidRPr="00335CD4">
                        <w:rPr>
                          <w:rFonts w:cs="Tahoma" w:hint="eastAsia"/>
                          <w:color w:val="0B5294"/>
                          <w:spacing w:val="-4"/>
                          <w:sz w:val="24"/>
                          <w:szCs w:val="24"/>
                          <w:rtl/>
                        </w:rPr>
                        <w:t>התעסוקה</w:t>
                      </w:r>
                      <w:r w:rsidRPr="00335CD4">
                        <w:rPr>
                          <w:rFonts w:cs="Tahoma"/>
                          <w:color w:val="0B5294"/>
                          <w:spacing w:val="-4"/>
                          <w:sz w:val="24"/>
                          <w:szCs w:val="24"/>
                          <w:rtl/>
                        </w:rPr>
                        <w:t xml:space="preserve"> </w:t>
                      </w:r>
                      <w:r w:rsidRPr="00335CD4">
                        <w:rPr>
                          <w:rFonts w:cs="Tahoma" w:hint="eastAsia"/>
                          <w:color w:val="0B5294"/>
                          <w:spacing w:val="-4"/>
                          <w:sz w:val="24"/>
                          <w:szCs w:val="24"/>
                          <w:rtl/>
                        </w:rPr>
                        <w:t>של</w:t>
                      </w:r>
                      <w:r w:rsidRPr="00335CD4">
                        <w:rPr>
                          <w:rFonts w:cs="Tahoma"/>
                          <w:color w:val="0B5294"/>
                          <w:spacing w:val="-4"/>
                          <w:sz w:val="24"/>
                          <w:szCs w:val="24"/>
                          <w:rtl/>
                        </w:rPr>
                        <w:t xml:space="preserve"> </w:t>
                      </w:r>
                      <w:r w:rsidRPr="00335CD4">
                        <w:rPr>
                          <w:rFonts w:cs="Tahoma" w:hint="eastAsia"/>
                          <w:color w:val="0B5294"/>
                          <w:spacing w:val="-4"/>
                          <w:sz w:val="24"/>
                          <w:szCs w:val="24"/>
                          <w:rtl/>
                        </w:rPr>
                        <w:t>המכורים</w:t>
                      </w:r>
                      <w:r w:rsidRPr="00335CD4">
                        <w:rPr>
                          <w:rFonts w:cs="Tahoma"/>
                          <w:color w:val="0B5294"/>
                          <w:spacing w:val="-4"/>
                          <w:sz w:val="24"/>
                          <w:szCs w:val="24"/>
                          <w:rtl/>
                        </w:rPr>
                        <w:t xml:space="preserve"> </w:t>
                      </w:r>
                      <w:r w:rsidRPr="00335CD4">
                        <w:rPr>
                          <w:rFonts w:cs="Tahoma" w:hint="eastAsia"/>
                          <w:color w:val="0B5294"/>
                          <w:spacing w:val="-4"/>
                          <w:sz w:val="24"/>
                          <w:szCs w:val="24"/>
                          <w:rtl/>
                        </w:rPr>
                        <w:t>שטופלו</w:t>
                      </w:r>
                      <w:r w:rsidRPr="00335CD4">
                        <w:rPr>
                          <w:rFonts w:cs="Tahoma"/>
                          <w:color w:val="0B5294"/>
                          <w:spacing w:val="-4"/>
                          <w:sz w:val="24"/>
                          <w:szCs w:val="24"/>
                          <w:rtl/>
                        </w:rPr>
                        <w:t xml:space="preserve"> </w:t>
                      </w:r>
                      <w:r w:rsidRPr="00335CD4">
                        <w:rPr>
                          <w:rFonts w:cs="Tahoma" w:hint="eastAsia"/>
                          <w:color w:val="0B5294"/>
                          <w:spacing w:val="-4"/>
                          <w:sz w:val="24"/>
                          <w:szCs w:val="24"/>
                          <w:rtl/>
                        </w:rPr>
                        <w:t>במסגרות</w:t>
                      </w:r>
                      <w:r w:rsidRPr="00335CD4">
                        <w:rPr>
                          <w:rFonts w:cs="Tahoma"/>
                          <w:color w:val="0B5294"/>
                          <w:spacing w:val="-4"/>
                          <w:sz w:val="24"/>
                          <w:szCs w:val="24"/>
                          <w:rtl/>
                        </w:rPr>
                        <w:t xml:space="preserve"> </w:t>
                      </w:r>
                      <w:r w:rsidRPr="00335CD4">
                        <w:rPr>
                          <w:rFonts w:cs="Tahoma" w:hint="eastAsia"/>
                          <w:color w:val="0B5294"/>
                          <w:spacing w:val="-4"/>
                          <w:sz w:val="24"/>
                          <w:szCs w:val="24"/>
                          <w:rtl/>
                        </w:rPr>
                        <w:t>שבאחריותו</w:t>
                      </w:r>
                    </w:p>
                    <w:p w:rsidR="00290C9B" w:rsidRPr="00373C5D" w:rsidP="00290C9B">
                      <w:pPr>
                        <w:spacing w:before="120" w:after="0" w:line="240" w:lineRule="atLeast"/>
                        <w:rPr>
                          <w:rFonts w:cs="Tahoma"/>
                          <w:b/>
                          <w:bCs/>
                          <w:color w:val="0B5294"/>
                          <w:sz w:val="48"/>
                          <w:szCs w:val="48"/>
                          <w:rtl/>
                        </w:rPr>
                      </w:pPr>
                      <w:drawing>
                        <wp:inline distT="0" distB="0" distL="0" distR="0">
                          <wp:extent cx="288000" cy="31337"/>
                          <wp:effectExtent l="0" t="0" r="0" b="6985"/>
                          <wp:docPr id="2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462848"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9B6D36" w:rsidRPr="00211D07" w:rsidP="0095721D">
      <w:pPr>
        <w:spacing w:before="180" w:after="240" w:line="240" w:lineRule="exact"/>
        <w:ind w:right="2268"/>
        <w:jc w:val="both"/>
        <w:rPr>
          <w:rFonts w:ascii="Tahoma" w:hAnsi="Tahoma" w:cs="Tahoma"/>
          <w:sz w:val="18"/>
          <w:szCs w:val="18"/>
          <w:rtl/>
        </w:rPr>
      </w:pPr>
      <w:r w:rsidRPr="00211D07">
        <w:rPr>
          <w:rFonts w:ascii="Tahoma" w:hAnsi="Tahoma" w:cs="Tahoma"/>
          <w:sz w:val="18"/>
          <w:szCs w:val="18"/>
          <w:rtl/>
        </w:rPr>
        <w:t>בתשובתו ציין משרד הרווחה כי</w:t>
      </w:r>
      <w:r w:rsidRPr="00211D07">
        <w:rPr>
          <w:rFonts w:ascii="Tahoma" w:hAnsi="Tahoma" w:cs="Tahoma" w:hint="cs"/>
          <w:sz w:val="18"/>
          <w:szCs w:val="18"/>
          <w:rtl/>
        </w:rPr>
        <w:t xml:space="preserve"> השירות להתמכרויות ינחה את מרכזי התעסוקה "לאסוף נתונים ומדדים [על] אודות איכות ההשמה".</w:t>
      </w:r>
    </w:p>
    <w:p w:rsidR="009B6D36" w:rsidRPr="00211D07" w:rsidP="0095721D">
      <w:pPr>
        <w:pStyle w:val="RESHET"/>
        <w:rPr>
          <w:rtl/>
        </w:rPr>
      </w:pPr>
      <w:r w:rsidRPr="00211D07">
        <w:rPr>
          <w:rFonts w:hint="cs"/>
          <w:rtl/>
        </w:rPr>
        <w:t xml:space="preserve">משרד מבקר המדינה מעיר למשרד הרווחה כי אין די בכך, שכן </w:t>
      </w:r>
      <w:r w:rsidRPr="00211D07">
        <w:rPr>
          <w:rtl/>
        </w:rPr>
        <w:t>רוב המכורים אינם משולבים במרכזי תעסוקה</w:t>
      </w:r>
      <w:r w:rsidRPr="00211D07">
        <w:rPr>
          <w:rFonts w:hint="cs"/>
          <w:rtl/>
        </w:rPr>
        <w:t>,</w:t>
      </w:r>
      <w:r w:rsidRPr="00211D07">
        <w:rPr>
          <w:rtl/>
        </w:rPr>
        <w:t xml:space="preserve"> </w:t>
      </w:r>
      <w:r w:rsidRPr="00211D07">
        <w:rPr>
          <w:rFonts w:hint="cs"/>
          <w:rtl/>
        </w:rPr>
        <w:t>ו</w:t>
      </w:r>
      <w:r w:rsidRPr="00211D07">
        <w:rPr>
          <w:rtl/>
        </w:rPr>
        <w:t>עו"ס התמכרויות המטפל בהם אמור לקדם את שילוב</w:t>
      </w:r>
      <w:r w:rsidRPr="00211D07">
        <w:rPr>
          <w:rFonts w:hint="cs"/>
          <w:rtl/>
        </w:rPr>
        <w:t>ם</w:t>
      </w:r>
      <w:r w:rsidRPr="00211D07">
        <w:rPr>
          <w:rtl/>
        </w:rPr>
        <w:t xml:space="preserve"> במסגרות תעסוקה</w:t>
      </w:r>
      <w:r w:rsidRPr="00211D07">
        <w:rPr>
          <w:rFonts w:hint="cs"/>
          <w:rtl/>
        </w:rPr>
        <w:t>. לפיכך על השירות</w:t>
      </w:r>
      <w:r w:rsidRPr="00211D07">
        <w:rPr>
          <w:rtl/>
        </w:rPr>
        <w:t xml:space="preserve"> </w:t>
      </w:r>
      <w:r w:rsidRPr="00211D07">
        <w:rPr>
          <w:rFonts w:hint="cs"/>
          <w:rtl/>
        </w:rPr>
        <w:t xml:space="preserve">להתמכרויות לאסוף מידע שוטף על מדדי התעסוקה ואיכות ההשמה של המכורים כדי לבחון את האפקטיביות של </w:t>
      </w:r>
      <w:r w:rsidRPr="00211D07">
        <w:rPr>
          <w:rFonts w:hint="cs"/>
          <w:rtl/>
        </w:rPr>
        <w:t>תוכניות</w:t>
      </w:r>
      <w:r w:rsidRPr="00211D07">
        <w:rPr>
          <w:rFonts w:hint="cs"/>
          <w:rtl/>
        </w:rPr>
        <w:t xml:space="preserve"> התעסוקה למכורים הן במרכזי התעסוקה והן באמצעות עו"ס התמכרויות. זאת כדי שתופק התועלת המיטבית מהקצאת כספי ציבור לתוכניות לשיקום תעסוקתי.</w:t>
      </w:r>
    </w:p>
    <w:p w:rsidR="009B6D36" w:rsidRPr="00211D07" w:rsidP="00211D07">
      <w:pPr>
        <w:spacing w:line="240" w:lineRule="exact"/>
        <w:ind w:right="2268"/>
        <w:jc w:val="both"/>
        <w:rPr>
          <w:rFonts w:ascii="Tahoma" w:hAnsi="Tahoma" w:cs="Tahoma"/>
          <w:sz w:val="18"/>
          <w:szCs w:val="18"/>
        </w:rPr>
      </w:pPr>
    </w:p>
    <w:p w:rsidR="009B6D36" w:rsidRPr="00211D07" w:rsidP="00211D07">
      <w:pPr>
        <w:spacing w:line="240" w:lineRule="exact"/>
        <w:ind w:right="2268"/>
        <w:jc w:val="both"/>
        <w:rPr>
          <w:rFonts w:ascii="Tahoma" w:hAnsi="Tahoma" w:cs="Tahoma"/>
          <w:sz w:val="18"/>
          <w:szCs w:val="18"/>
          <w:rtl/>
        </w:rPr>
      </w:pPr>
    </w:p>
    <w:p w:rsidR="009B6D36" w:rsidRPr="00E93732" w:rsidP="00211D07">
      <w:pPr>
        <w:pStyle w:val="KOT4"/>
        <w:rPr>
          <w:rtl/>
        </w:rPr>
      </w:pPr>
      <w:r w:rsidRPr="00E93732">
        <w:rPr>
          <w:rFonts w:hint="cs"/>
          <w:rtl/>
        </w:rPr>
        <w:t xml:space="preserve">טיפול במכורים </w:t>
      </w:r>
      <w:r>
        <w:rPr>
          <w:rFonts w:hint="cs"/>
          <w:rtl/>
        </w:rPr>
        <w:t>עם תחלואה כפולה</w:t>
      </w:r>
    </w:p>
    <w:p w:rsidR="009B6D36" w:rsidRPr="00211D07" w:rsidP="00211D07">
      <w:pPr>
        <w:spacing w:line="240" w:lineRule="exact"/>
        <w:ind w:right="2268"/>
        <w:jc w:val="both"/>
        <w:rPr>
          <w:rFonts w:ascii="Tahoma" w:hAnsi="Tahoma" w:cs="Tahoma"/>
          <w:sz w:val="18"/>
          <w:szCs w:val="18"/>
          <w:rtl/>
        </w:rPr>
      </w:pPr>
      <w:r w:rsidRPr="00211D07">
        <w:rPr>
          <w:rFonts w:ascii="Tahoma" w:hAnsi="Tahoma" w:cs="Tahoma" w:hint="eastAsia"/>
          <w:sz w:val="18"/>
          <w:szCs w:val="18"/>
          <w:rtl/>
        </w:rPr>
        <w:t>על</w:t>
      </w:r>
      <w:r w:rsidRPr="00211D07">
        <w:rPr>
          <w:rFonts w:ascii="Tahoma" w:hAnsi="Tahoma" w:cs="Tahoma"/>
          <w:sz w:val="18"/>
          <w:szCs w:val="18"/>
          <w:rtl/>
        </w:rPr>
        <w:t xml:space="preserve"> פי הגדרת משרד הבריאות </w:t>
      </w:r>
      <w:r w:rsidRPr="00211D07">
        <w:rPr>
          <w:rFonts w:ascii="Tahoma" w:hAnsi="Tahoma" w:cs="Tahoma" w:hint="eastAsia"/>
          <w:sz w:val="18"/>
          <w:szCs w:val="18"/>
          <w:rtl/>
        </w:rPr>
        <w:t>מי</w:t>
      </w:r>
      <w:r w:rsidRPr="00211D07">
        <w:rPr>
          <w:rFonts w:ascii="Tahoma" w:hAnsi="Tahoma" w:cs="Tahoma"/>
          <w:sz w:val="18"/>
          <w:szCs w:val="18"/>
          <w:rtl/>
        </w:rPr>
        <w:t xml:space="preserve"> </w:t>
      </w:r>
      <w:r w:rsidRPr="00211D07">
        <w:rPr>
          <w:rFonts w:ascii="Tahoma" w:hAnsi="Tahoma" w:cs="Tahoma" w:hint="eastAsia"/>
          <w:sz w:val="18"/>
          <w:szCs w:val="18"/>
          <w:rtl/>
        </w:rPr>
        <w:t>שסובל</w:t>
      </w:r>
      <w:r w:rsidRPr="00211D07">
        <w:rPr>
          <w:rFonts w:ascii="Tahoma" w:hAnsi="Tahoma" w:cs="Tahoma"/>
          <w:sz w:val="18"/>
          <w:szCs w:val="18"/>
          <w:rtl/>
        </w:rPr>
        <w:t xml:space="preserve"> </w:t>
      </w:r>
      <w:r w:rsidRPr="00211D07">
        <w:rPr>
          <w:rFonts w:ascii="Tahoma" w:hAnsi="Tahoma" w:cs="Tahoma" w:hint="eastAsia"/>
          <w:sz w:val="18"/>
          <w:szCs w:val="18"/>
          <w:rtl/>
        </w:rPr>
        <w:t>מ</w:t>
      </w:r>
      <w:r w:rsidRPr="00211D07">
        <w:rPr>
          <w:rFonts w:ascii="Tahoma" w:hAnsi="Tahoma" w:cs="Tahoma"/>
          <w:sz w:val="18"/>
          <w:szCs w:val="18"/>
          <w:rtl/>
        </w:rPr>
        <w:t xml:space="preserve">בעיית התמכרות לחומרים או </w:t>
      </w:r>
      <w:r w:rsidRPr="0095721D">
        <w:rPr>
          <w:rFonts w:ascii="Tahoma" w:hAnsi="Tahoma" w:cs="Tahoma" w:hint="cs"/>
          <w:spacing w:val="-4"/>
          <w:sz w:val="18"/>
          <w:szCs w:val="18"/>
          <w:rtl/>
        </w:rPr>
        <w:t>מ</w:t>
      </w:r>
      <w:r w:rsidRPr="0095721D">
        <w:rPr>
          <w:rFonts w:ascii="Tahoma" w:hAnsi="Tahoma" w:cs="Tahoma"/>
          <w:spacing w:val="-4"/>
          <w:sz w:val="18"/>
          <w:szCs w:val="18"/>
          <w:rtl/>
        </w:rPr>
        <w:t xml:space="preserve">התמכרות התנהגותית </w:t>
      </w:r>
      <w:r w:rsidRPr="0095721D">
        <w:rPr>
          <w:rFonts w:ascii="Tahoma" w:hAnsi="Tahoma" w:cs="Tahoma" w:hint="eastAsia"/>
          <w:spacing w:val="-4"/>
          <w:sz w:val="18"/>
          <w:szCs w:val="18"/>
          <w:u w:val="single"/>
          <w:rtl/>
        </w:rPr>
        <w:t>וגם</w:t>
      </w:r>
      <w:r w:rsidRPr="0095721D">
        <w:rPr>
          <w:rFonts w:ascii="Tahoma" w:hAnsi="Tahoma" w:cs="Tahoma"/>
          <w:spacing w:val="-4"/>
          <w:sz w:val="18"/>
          <w:szCs w:val="18"/>
          <w:rtl/>
        </w:rPr>
        <w:t xml:space="preserve"> מהפרעה נפשית </w:t>
      </w:r>
      <w:r w:rsidRPr="0095721D">
        <w:rPr>
          <w:rFonts w:ascii="Tahoma" w:hAnsi="Tahoma" w:cs="Tahoma" w:hint="eastAsia"/>
          <w:spacing w:val="-4"/>
          <w:sz w:val="18"/>
          <w:szCs w:val="18"/>
          <w:rtl/>
        </w:rPr>
        <w:t>לוקה</w:t>
      </w:r>
      <w:r w:rsidRPr="0095721D">
        <w:rPr>
          <w:rFonts w:ascii="Tahoma" w:hAnsi="Tahoma" w:cs="Tahoma"/>
          <w:spacing w:val="-4"/>
          <w:sz w:val="18"/>
          <w:szCs w:val="18"/>
          <w:rtl/>
        </w:rPr>
        <w:t xml:space="preserve"> </w:t>
      </w:r>
      <w:r w:rsidRPr="0095721D">
        <w:rPr>
          <w:rFonts w:ascii="Tahoma" w:hAnsi="Tahoma" w:cs="Tahoma" w:hint="eastAsia"/>
          <w:spacing w:val="-4"/>
          <w:sz w:val="18"/>
          <w:szCs w:val="18"/>
          <w:rtl/>
        </w:rPr>
        <w:t>ב</w:t>
      </w:r>
      <w:r w:rsidRPr="0095721D">
        <w:rPr>
          <w:rFonts w:ascii="Tahoma" w:hAnsi="Tahoma" w:cs="Tahoma"/>
          <w:spacing w:val="-4"/>
          <w:sz w:val="18"/>
          <w:szCs w:val="18"/>
          <w:rtl/>
        </w:rPr>
        <w:t>"תחלואה כפולה"</w:t>
      </w:r>
      <w:r>
        <w:rPr>
          <w:rStyle w:val="FootnoteReference0"/>
          <w:rFonts w:ascii="Tahoma" w:hAnsi="Tahoma" w:cs="Tahoma"/>
          <w:spacing w:val="-4"/>
          <w:sz w:val="18"/>
          <w:szCs w:val="18"/>
          <w:rtl/>
        </w:rPr>
        <w:footnoteReference w:id="63"/>
      </w:r>
      <w:r w:rsidRPr="0095721D">
        <w:rPr>
          <w:rFonts w:ascii="Tahoma" w:hAnsi="Tahoma" w:cs="Tahoma" w:hint="cs"/>
          <w:spacing w:val="-4"/>
          <w:sz w:val="18"/>
          <w:szCs w:val="18"/>
          <w:rtl/>
        </w:rPr>
        <w:t xml:space="preserve">. </w:t>
      </w:r>
      <w:r w:rsidRPr="0095721D">
        <w:rPr>
          <w:rFonts w:ascii="Tahoma" w:hAnsi="Tahoma" w:cs="Tahoma"/>
          <w:spacing w:val="-4"/>
          <w:sz w:val="18"/>
          <w:szCs w:val="18"/>
          <w:rtl/>
        </w:rPr>
        <w:t xml:space="preserve">מחקר </w:t>
      </w:r>
      <w:r w:rsidRPr="0095721D">
        <w:rPr>
          <w:rFonts w:ascii="Tahoma" w:hAnsi="Tahoma" w:cs="Tahoma" w:hint="cs"/>
          <w:spacing w:val="-4"/>
          <w:sz w:val="18"/>
          <w:szCs w:val="18"/>
          <w:rtl/>
        </w:rPr>
        <w:t>מגלה</w:t>
      </w:r>
      <w:r w:rsidRPr="00211D07">
        <w:rPr>
          <w:rFonts w:ascii="Tahoma" w:hAnsi="Tahoma" w:cs="Tahoma"/>
          <w:sz w:val="18"/>
          <w:szCs w:val="18"/>
          <w:rtl/>
        </w:rPr>
        <w:t xml:space="preserve"> </w:t>
      </w:r>
      <w:r w:rsidRPr="00211D07">
        <w:rPr>
          <w:rFonts w:ascii="Tahoma" w:hAnsi="Tahoma" w:cs="Tahoma" w:hint="cs"/>
          <w:sz w:val="18"/>
          <w:szCs w:val="18"/>
          <w:rtl/>
        </w:rPr>
        <w:t>כי</w:t>
      </w:r>
      <w:r w:rsidRPr="00211D07">
        <w:rPr>
          <w:rFonts w:ascii="Tahoma" w:hAnsi="Tahoma" w:cs="Tahoma"/>
          <w:sz w:val="18"/>
          <w:szCs w:val="18"/>
          <w:rtl/>
        </w:rPr>
        <w:t xml:space="preserve"> 47% </w:t>
      </w:r>
      <w:r w:rsidRPr="00211D07">
        <w:rPr>
          <w:rFonts w:ascii="Tahoma" w:hAnsi="Tahoma" w:cs="Tahoma" w:hint="cs"/>
          <w:sz w:val="18"/>
          <w:szCs w:val="18"/>
          <w:rtl/>
        </w:rPr>
        <w:t>מחולי</w:t>
      </w:r>
      <w:r w:rsidRPr="00211D07">
        <w:rPr>
          <w:rFonts w:ascii="Tahoma" w:hAnsi="Tahoma" w:cs="Tahoma"/>
          <w:sz w:val="18"/>
          <w:szCs w:val="18"/>
          <w:rtl/>
        </w:rPr>
        <w:t xml:space="preserve"> </w:t>
      </w:r>
      <w:r w:rsidRPr="00211D07">
        <w:rPr>
          <w:rFonts w:ascii="Tahoma" w:hAnsi="Tahoma" w:cs="Tahoma" w:hint="cs"/>
          <w:sz w:val="18"/>
          <w:szCs w:val="18"/>
          <w:rtl/>
        </w:rPr>
        <w:t>הסכיזופרניה</w:t>
      </w:r>
      <w:r w:rsidRPr="00211D07">
        <w:rPr>
          <w:rFonts w:ascii="Tahoma" w:hAnsi="Tahoma" w:cs="Tahoma"/>
          <w:sz w:val="18"/>
          <w:szCs w:val="18"/>
          <w:rtl/>
        </w:rPr>
        <w:t xml:space="preserve"> </w:t>
      </w:r>
      <w:r w:rsidRPr="00211D07">
        <w:rPr>
          <w:rFonts w:ascii="Tahoma" w:hAnsi="Tahoma" w:cs="Tahoma" w:hint="cs"/>
          <w:sz w:val="18"/>
          <w:szCs w:val="18"/>
          <w:rtl/>
        </w:rPr>
        <w:t>ו</w:t>
      </w:r>
      <w:r w:rsidRPr="00211D07">
        <w:rPr>
          <w:rFonts w:ascii="Tahoma" w:hAnsi="Tahoma" w:cs="Tahoma"/>
          <w:sz w:val="18"/>
          <w:szCs w:val="18"/>
          <w:rtl/>
        </w:rPr>
        <w:t xml:space="preserve">-56% </w:t>
      </w:r>
      <w:r w:rsidRPr="00211D07">
        <w:rPr>
          <w:rFonts w:ascii="Tahoma" w:hAnsi="Tahoma" w:cs="Tahoma" w:hint="cs"/>
          <w:sz w:val="18"/>
          <w:szCs w:val="18"/>
          <w:rtl/>
        </w:rPr>
        <w:t>מהחולים</w:t>
      </w:r>
      <w:r w:rsidRPr="00211D07">
        <w:rPr>
          <w:rFonts w:ascii="Tahoma" w:hAnsi="Tahoma" w:cs="Tahoma"/>
          <w:sz w:val="18"/>
          <w:szCs w:val="18"/>
          <w:rtl/>
        </w:rPr>
        <w:t xml:space="preserve"> </w:t>
      </w:r>
      <w:r w:rsidRPr="00211D07">
        <w:rPr>
          <w:rFonts w:ascii="Tahoma" w:hAnsi="Tahoma" w:cs="Tahoma" w:hint="cs"/>
          <w:sz w:val="18"/>
          <w:szCs w:val="18"/>
          <w:rtl/>
        </w:rPr>
        <w:t>בהפרעה</w:t>
      </w:r>
      <w:r w:rsidRPr="00211D07">
        <w:rPr>
          <w:rFonts w:ascii="Tahoma" w:hAnsi="Tahoma" w:cs="Tahoma"/>
          <w:sz w:val="18"/>
          <w:szCs w:val="18"/>
          <w:rtl/>
        </w:rPr>
        <w:t xml:space="preserve"> </w:t>
      </w:r>
      <w:r w:rsidRPr="00211D07">
        <w:rPr>
          <w:rFonts w:ascii="Tahoma" w:hAnsi="Tahoma" w:cs="Tahoma" w:hint="cs"/>
          <w:sz w:val="18"/>
          <w:szCs w:val="18"/>
          <w:rtl/>
        </w:rPr>
        <w:t>דו</w:t>
      </w:r>
      <w:r w:rsidRPr="00211D07">
        <w:rPr>
          <w:rFonts w:ascii="Tahoma" w:hAnsi="Tahoma" w:cs="Tahoma"/>
          <w:sz w:val="18"/>
          <w:szCs w:val="18"/>
          <w:rtl/>
        </w:rPr>
        <w:t>-קוטבית (מאניה</w:t>
      </w:r>
      <w:r w:rsidRPr="00211D07">
        <w:rPr>
          <w:rFonts w:ascii="Tahoma" w:hAnsi="Tahoma" w:cs="Tahoma" w:hint="cs"/>
          <w:sz w:val="18"/>
          <w:szCs w:val="18"/>
          <w:rtl/>
        </w:rPr>
        <w:t>-</w:t>
      </w:r>
      <w:r w:rsidRPr="00211D07">
        <w:rPr>
          <w:rFonts w:ascii="Tahoma" w:hAnsi="Tahoma" w:cs="Tahoma" w:hint="cs"/>
          <w:sz w:val="18"/>
          <w:szCs w:val="18"/>
          <w:rtl/>
        </w:rPr>
        <w:t>דיפרסיה</w:t>
      </w:r>
      <w:r w:rsidRPr="00211D07">
        <w:rPr>
          <w:rFonts w:ascii="Tahoma" w:hAnsi="Tahoma" w:cs="Tahoma"/>
          <w:sz w:val="18"/>
          <w:szCs w:val="18"/>
          <w:rtl/>
        </w:rPr>
        <w:t xml:space="preserve">) </w:t>
      </w:r>
      <w:r w:rsidRPr="00211D07">
        <w:rPr>
          <w:rFonts w:ascii="Tahoma" w:hAnsi="Tahoma" w:cs="Tahoma" w:hint="eastAsia"/>
          <w:sz w:val="18"/>
          <w:szCs w:val="18"/>
          <w:rtl/>
        </w:rPr>
        <w:t>עלולים</w:t>
      </w:r>
      <w:r w:rsidRPr="00211D07">
        <w:rPr>
          <w:rFonts w:ascii="Tahoma" w:hAnsi="Tahoma" w:cs="Tahoma" w:hint="cs"/>
          <w:sz w:val="18"/>
          <w:szCs w:val="18"/>
          <w:rtl/>
        </w:rPr>
        <w:t xml:space="preserve"> להתמכר</w:t>
      </w:r>
      <w:r w:rsidRPr="00211D07">
        <w:rPr>
          <w:rFonts w:ascii="Tahoma" w:hAnsi="Tahoma" w:cs="Tahoma"/>
          <w:sz w:val="18"/>
          <w:szCs w:val="18"/>
          <w:rtl/>
        </w:rPr>
        <w:t xml:space="preserve"> </w:t>
      </w:r>
      <w:r w:rsidRPr="00211D07">
        <w:rPr>
          <w:rFonts w:ascii="Tahoma" w:hAnsi="Tahoma" w:cs="Tahoma" w:hint="cs"/>
          <w:sz w:val="18"/>
          <w:szCs w:val="18"/>
          <w:rtl/>
        </w:rPr>
        <w:t>לסמים</w:t>
      </w:r>
      <w:r w:rsidRPr="00211D07">
        <w:rPr>
          <w:rFonts w:ascii="Tahoma" w:hAnsi="Tahoma" w:cs="Tahoma"/>
          <w:sz w:val="18"/>
          <w:szCs w:val="18"/>
          <w:rtl/>
        </w:rPr>
        <w:t xml:space="preserve"> </w:t>
      </w:r>
      <w:r w:rsidRPr="00211D07">
        <w:rPr>
          <w:rFonts w:ascii="Tahoma" w:hAnsi="Tahoma" w:cs="Tahoma" w:hint="cs"/>
          <w:sz w:val="18"/>
          <w:szCs w:val="18"/>
          <w:rtl/>
        </w:rPr>
        <w:t>או</w:t>
      </w:r>
      <w:r w:rsidRPr="00211D07">
        <w:rPr>
          <w:rFonts w:ascii="Tahoma" w:hAnsi="Tahoma" w:cs="Tahoma"/>
          <w:sz w:val="18"/>
          <w:szCs w:val="18"/>
          <w:rtl/>
        </w:rPr>
        <w:t xml:space="preserve"> </w:t>
      </w:r>
      <w:r w:rsidRPr="00211D07">
        <w:rPr>
          <w:rFonts w:ascii="Tahoma" w:hAnsi="Tahoma" w:cs="Tahoma" w:hint="cs"/>
          <w:sz w:val="18"/>
          <w:szCs w:val="18"/>
          <w:rtl/>
        </w:rPr>
        <w:t>לאלכוהול</w:t>
      </w:r>
      <w:r>
        <w:rPr>
          <w:rFonts w:ascii="Tahoma" w:hAnsi="Tahoma" w:cs="Tahoma"/>
          <w:sz w:val="18"/>
          <w:szCs w:val="18"/>
          <w:vertAlign w:val="superscript"/>
          <w:rtl/>
        </w:rPr>
        <w:footnoteReference w:id="64"/>
      </w:r>
      <w:r w:rsidRPr="00211D07">
        <w:rPr>
          <w:rFonts w:ascii="Tahoma" w:hAnsi="Tahoma" w:cs="Tahoma"/>
          <w:sz w:val="18"/>
          <w:szCs w:val="18"/>
          <w:rtl/>
        </w:rPr>
        <w:t>.</w:t>
      </w:r>
      <w:r w:rsidRPr="00211D07">
        <w:rPr>
          <w:rFonts w:ascii="Tahoma" w:hAnsi="Tahoma" w:cs="Tahoma" w:hint="cs"/>
          <w:sz w:val="18"/>
          <w:szCs w:val="18"/>
          <w:rtl/>
        </w:rPr>
        <w:t xml:space="preserve"> לפי המחלקה להתמכרויות</w:t>
      </w:r>
      <w:r w:rsidRPr="00211D07">
        <w:rPr>
          <w:rFonts w:ascii="Tahoma" w:hAnsi="Tahoma" w:cs="Tahoma"/>
          <w:sz w:val="18"/>
          <w:szCs w:val="18"/>
          <w:rtl/>
        </w:rPr>
        <w:t xml:space="preserve"> </w:t>
      </w:r>
      <w:r w:rsidRPr="00211D07">
        <w:rPr>
          <w:rFonts w:ascii="Tahoma" w:hAnsi="Tahoma" w:cs="Tahoma" w:hint="cs"/>
          <w:sz w:val="18"/>
          <w:szCs w:val="18"/>
          <w:rtl/>
        </w:rPr>
        <w:t>"</w:t>
      </w:r>
      <w:r w:rsidRPr="00211D07">
        <w:rPr>
          <w:rFonts w:ascii="Tahoma" w:hAnsi="Tahoma" w:cs="Tahoma"/>
          <w:sz w:val="18"/>
          <w:szCs w:val="18"/>
          <w:rtl/>
        </w:rPr>
        <w:t xml:space="preserve">אוכלוסייה זו הינה בעלת מאפיינים ייחודים לה, ושיטות אבחון וטיפול המאפיינים אותה. בפועל ישנם חולים אשר </w:t>
      </w:r>
      <w:r w:rsidRPr="00211D07">
        <w:rPr>
          <w:rFonts w:ascii="Tahoma" w:hAnsi="Tahoma" w:cs="Tahoma" w:hint="cs"/>
          <w:sz w:val="18"/>
          <w:szCs w:val="18"/>
          <w:rtl/>
        </w:rPr>
        <w:t>'</w:t>
      </w:r>
      <w:r w:rsidRPr="00211D07">
        <w:rPr>
          <w:rFonts w:ascii="Tahoma" w:hAnsi="Tahoma" w:cs="Tahoma"/>
          <w:sz w:val="18"/>
          <w:szCs w:val="18"/>
          <w:rtl/>
        </w:rPr>
        <w:t>נופלים בין הכיסאות</w:t>
      </w:r>
      <w:r w:rsidRPr="00211D07">
        <w:rPr>
          <w:rFonts w:ascii="Tahoma" w:hAnsi="Tahoma" w:cs="Tahoma" w:hint="cs"/>
          <w:sz w:val="18"/>
          <w:szCs w:val="18"/>
          <w:rtl/>
        </w:rPr>
        <w:t>'</w:t>
      </w:r>
      <w:r w:rsidRPr="00211D07">
        <w:rPr>
          <w:rFonts w:ascii="Tahoma" w:hAnsi="Tahoma" w:cs="Tahoma"/>
          <w:sz w:val="18"/>
          <w:szCs w:val="18"/>
          <w:rtl/>
        </w:rPr>
        <w:t xml:space="preserve"> ולא מקבלים</w:t>
      </w:r>
      <w:r w:rsidRPr="00211D07">
        <w:rPr>
          <w:rFonts w:ascii="Tahoma" w:hAnsi="Tahoma" w:cs="Tahoma" w:hint="cs"/>
          <w:sz w:val="18"/>
          <w:szCs w:val="18"/>
          <w:rtl/>
        </w:rPr>
        <w:t xml:space="preserve"> </w:t>
      </w:r>
      <w:r w:rsidRPr="00211D07">
        <w:rPr>
          <w:rFonts w:ascii="Tahoma" w:hAnsi="Tahoma" w:cs="Tahoma"/>
          <w:sz w:val="18"/>
          <w:szCs w:val="18"/>
          <w:rtl/>
        </w:rPr>
        <w:t>מענה טיפולי, קליני ושיקומי הולם ומופנים משירות זה לאחר</w:t>
      </w:r>
      <w:r w:rsidRPr="00211D07">
        <w:rPr>
          <w:rFonts w:ascii="Tahoma" w:hAnsi="Tahoma" w:cs="Tahoma" w:hint="cs"/>
          <w:sz w:val="18"/>
          <w:szCs w:val="18"/>
          <w:rtl/>
        </w:rPr>
        <w:t>"</w:t>
      </w:r>
      <w:r>
        <w:rPr>
          <w:rFonts w:ascii="Tahoma" w:hAnsi="Tahoma" w:cs="Tahoma"/>
          <w:sz w:val="18"/>
          <w:szCs w:val="18"/>
          <w:vertAlign w:val="superscript"/>
          <w:rtl/>
        </w:rPr>
        <w:footnoteReference w:id="65"/>
      </w:r>
      <w:r w:rsidRPr="00211D07">
        <w:rPr>
          <w:rFonts w:ascii="Tahoma" w:hAnsi="Tahoma" w:cs="Tahoma"/>
          <w:sz w:val="18"/>
          <w:szCs w:val="18"/>
          <w:rtl/>
        </w:rPr>
        <w:t>.</w:t>
      </w:r>
    </w:p>
    <w:p w:rsidR="009B6D36" w:rsidRPr="00211D07" w:rsidP="00211D07">
      <w:pPr>
        <w:spacing w:line="240" w:lineRule="exact"/>
        <w:ind w:right="2268"/>
        <w:jc w:val="both"/>
        <w:rPr>
          <w:rFonts w:ascii="Tahoma" w:hAnsi="Tahoma" w:cs="Tahoma"/>
          <w:sz w:val="18"/>
          <w:szCs w:val="18"/>
          <w:rtl/>
        </w:rPr>
      </w:pPr>
      <w:r w:rsidRPr="00211D07">
        <w:rPr>
          <w:rFonts w:ascii="Tahoma" w:hAnsi="Tahoma" w:cs="Tahoma" w:hint="cs"/>
          <w:sz w:val="18"/>
          <w:szCs w:val="18"/>
          <w:rtl/>
        </w:rPr>
        <w:t xml:space="preserve">עד יולי 2015 היה משרד הבריאות אחראי לאספקת סל השירותים כולו בתחום בריאות הנפש. ביולי 2015 נכנס לתוקף </w:t>
      </w:r>
      <w:r w:rsidRPr="00211D07">
        <w:rPr>
          <w:rFonts w:ascii="Tahoma" w:hAnsi="Tahoma" w:cs="Tahoma"/>
          <w:sz w:val="18"/>
          <w:szCs w:val="18"/>
          <w:rtl/>
        </w:rPr>
        <w:t xml:space="preserve">צו ביטוח בריאות ממלכתי </w:t>
      </w:r>
      <w:r w:rsidRPr="00211D07">
        <w:rPr>
          <w:rFonts w:ascii="Tahoma" w:hAnsi="Tahoma" w:cs="Tahoma" w:hint="cs"/>
          <w:sz w:val="18"/>
          <w:szCs w:val="18"/>
          <w:rtl/>
        </w:rPr>
        <w:t>(</w:t>
      </w:r>
      <w:r w:rsidRPr="00211D07">
        <w:rPr>
          <w:rFonts w:ascii="Tahoma" w:hAnsi="Tahoma" w:cs="Tahoma"/>
          <w:sz w:val="18"/>
          <w:szCs w:val="18"/>
          <w:rtl/>
        </w:rPr>
        <w:t>שינוי התוספ</w:t>
      </w:r>
      <w:r w:rsidRPr="00211D07">
        <w:rPr>
          <w:rFonts w:ascii="Tahoma" w:hAnsi="Tahoma" w:cs="Tahoma" w:hint="cs"/>
          <w:sz w:val="18"/>
          <w:szCs w:val="18"/>
          <w:rtl/>
        </w:rPr>
        <w:t>ו</w:t>
      </w:r>
      <w:r w:rsidRPr="00211D07">
        <w:rPr>
          <w:rFonts w:ascii="Tahoma" w:hAnsi="Tahoma" w:cs="Tahoma"/>
          <w:sz w:val="18"/>
          <w:szCs w:val="18"/>
          <w:rtl/>
        </w:rPr>
        <w:t>ת השנייה והשלישית לחוק</w:t>
      </w:r>
      <w:r w:rsidRPr="00211D07">
        <w:rPr>
          <w:rFonts w:ascii="Tahoma" w:hAnsi="Tahoma" w:cs="Tahoma" w:hint="cs"/>
          <w:sz w:val="18"/>
          <w:szCs w:val="18"/>
          <w:rtl/>
        </w:rPr>
        <w:t>)</w:t>
      </w:r>
      <w:r w:rsidRPr="00211D07">
        <w:rPr>
          <w:rFonts w:ascii="Tahoma" w:hAnsi="Tahoma" w:cs="Tahoma"/>
          <w:sz w:val="18"/>
          <w:szCs w:val="18"/>
          <w:rtl/>
        </w:rPr>
        <w:t>, התשע"ב</w:t>
      </w:r>
      <w:r w:rsidRPr="00211D07">
        <w:rPr>
          <w:rFonts w:ascii="Tahoma" w:hAnsi="Tahoma" w:cs="Tahoma" w:hint="cs"/>
          <w:sz w:val="18"/>
          <w:szCs w:val="18"/>
          <w:rtl/>
        </w:rPr>
        <w:t>-</w:t>
      </w:r>
      <w:r w:rsidRPr="00211D07">
        <w:rPr>
          <w:rFonts w:ascii="Tahoma" w:hAnsi="Tahoma" w:cs="Tahoma"/>
          <w:sz w:val="18"/>
          <w:szCs w:val="18"/>
          <w:rtl/>
        </w:rPr>
        <w:t>2</w:t>
      </w:r>
      <w:r w:rsidRPr="00211D07">
        <w:rPr>
          <w:rFonts w:ascii="Tahoma" w:hAnsi="Tahoma" w:cs="Tahoma" w:hint="cs"/>
          <w:sz w:val="18"/>
          <w:szCs w:val="18"/>
          <w:rtl/>
        </w:rPr>
        <w:t>0</w:t>
      </w:r>
      <w:r w:rsidRPr="00211D07">
        <w:rPr>
          <w:rFonts w:ascii="Tahoma" w:hAnsi="Tahoma" w:cs="Tahoma"/>
          <w:sz w:val="18"/>
          <w:szCs w:val="18"/>
          <w:rtl/>
        </w:rPr>
        <w:t>1</w:t>
      </w:r>
      <w:r w:rsidRPr="00211D07">
        <w:rPr>
          <w:rFonts w:ascii="Tahoma" w:hAnsi="Tahoma" w:cs="Tahoma" w:hint="cs"/>
          <w:sz w:val="18"/>
          <w:szCs w:val="18"/>
          <w:rtl/>
        </w:rPr>
        <w:t>2 (להלן - הצו), ומכוחו הועברה האחריות לסיפוק סל בריאות הנפש ממשרד הבריאות לקופות החולים. מאותה עת בהתאם ל</w:t>
      </w:r>
      <w:r w:rsidRPr="00211D07">
        <w:rPr>
          <w:rFonts w:ascii="Tahoma" w:hAnsi="Tahoma" w:cs="Tahoma"/>
          <w:sz w:val="18"/>
          <w:szCs w:val="18"/>
          <w:rtl/>
        </w:rPr>
        <w:t>חוק ביטוח בריאות ממלכתי, התשנ"ד-1994</w:t>
      </w:r>
      <w:r w:rsidRPr="00211D07">
        <w:rPr>
          <w:rFonts w:ascii="Tahoma" w:hAnsi="Tahoma" w:cs="Tahoma" w:hint="cs"/>
          <w:sz w:val="18"/>
          <w:szCs w:val="18"/>
          <w:rtl/>
        </w:rPr>
        <w:t xml:space="preserve"> (להלן - חוק בריאות ממלכתי), אחראי משרד הבריאות לספק, בין היתר, "סל שירותי בריאות הנפש לגמילה" הכולל בעיקר את הליך הגמילה הגופנית באשפוזיות שבמימון משרד הבריאות ואת התחנות לטיפול תרופתי מתמשך הפרוסות ברחבי הארץ. קופות החולים אחראיות לסיפוק סל השירותים בתחום בריאות הנפש (להלן - </w:t>
      </w:r>
      <w:r w:rsidRPr="00211D07">
        <w:rPr>
          <w:rFonts w:ascii="Tahoma" w:hAnsi="Tahoma" w:cs="Tahoma" w:hint="cs"/>
          <w:sz w:val="18"/>
          <w:szCs w:val="18"/>
          <w:rtl/>
        </w:rPr>
        <w:t xml:space="preserve">סל בריאות הנפש) הכולל בין היתר "שירותי אבחון, הערכה, ייעוץ וטיפול </w:t>
      </w:r>
      <w:r w:rsidRPr="00211D07">
        <w:rPr>
          <w:rFonts w:ascii="Tahoma" w:hAnsi="Tahoma" w:cs="Tahoma" w:hint="cs"/>
          <w:sz w:val="18"/>
          <w:szCs w:val="18"/>
          <w:rtl/>
        </w:rPr>
        <w:t>פסיכותרפויטי</w:t>
      </w:r>
      <w:r w:rsidRPr="00211D07">
        <w:rPr>
          <w:rFonts w:ascii="Tahoma" w:hAnsi="Tahoma" w:cs="Tahoma" w:hint="cs"/>
          <w:sz w:val="18"/>
          <w:szCs w:val="18"/>
          <w:rtl/>
        </w:rPr>
        <w:t>". טיפולים אלו ניתנים במרפאות בריאות הנפש.</w:t>
      </w:r>
    </w:p>
    <w:p w:rsidR="009B6D36" w:rsidRPr="00211D07" w:rsidP="00211D07">
      <w:pPr>
        <w:spacing w:line="240" w:lineRule="exact"/>
        <w:ind w:right="2268"/>
        <w:jc w:val="both"/>
        <w:rPr>
          <w:rFonts w:ascii="Tahoma" w:hAnsi="Tahoma" w:cs="Tahoma"/>
          <w:sz w:val="18"/>
          <w:szCs w:val="18"/>
          <w:highlight w:val="yellow"/>
          <w:rtl/>
        </w:rPr>
      </w:pPr>
      <w:r w:rsidRPr="00211D07">
        <w:rPr>
          <w:rFonts w:ascii="Tahoma" w:hAnsi="Tahoma" w:cs="Tahoma" w:hint="cs"/>
          <w:sz w:val="18"/>
          <w:szCs w:val="18"/>
          <w:rtl/>
        </w:rPr>
        <w:t xml:space="preserve">הצו נחתם במאי 2012 ובסמוך לו חתמו משרדי הבריאות והאוצר ושירותי בריאות כללית (להלן - הכללית) על הסכם לעניין זה (להלן - ההסכם). ההסכם קובע במפורש כי "כל תושב ישראל יהיה זכאי לסל שירותים פסיכיאטריים בקופות החולים", </w:t>
      </w:r>
      <w:r w:rsidRPr="00211D07">
        <w:rPr>
          <w:rFonts w:ascii="Tahoma" w:hAnsi="Tahoma" w:cs="Tahoma"/>
          <w:sz w:val="18"/>
          <w:szCs w:val="18"/>
          <w:rtl/>
        </w:rPr>
        <w:t>ו</w:t>
      </w:r>
      <w:r w:rsidRPr="00211D07">
        <w:rPr>
          <w:rFonts w:ascii="Tahoma" w:hAnsi="Tahoma" w:cs="Tahoma" w:hint="cs"/>
          <w:sz w:val="18"/>
          <w:szCs w:val="18"/>
          <w:rtl/>
        </w:rPr>
        <w:t xml:space="preserve">הוא </w:t>
      </w:r>
      <w:r w:rsidRPr="00211D07">
        <w:rPr>
          <w:rFonts w:ascii="Tahoma" w:hAnsi="Tahoma" w:cs="Tahoma"/>
          <w:sz w:val="18"/>
          <w:szCs w:val="18"/>
          <w:rtl/>
        </w:rPr>
        <w:t xml:space="preserve">מחריג תחומים שלא יעברו לאחריות קופות החולים. בהסכם נקבע כי: "שירותי גמילה מסמים והתמכרויות [לא יועברו לאחריות קופות החולים], למעט במשברים נפשיים חריפים כגון פסיכוזה, דיכאון או התנהגות תוקפנית חדשה המחייבים אשפוז של מפגרים או </w:t>
      </w:r>
      <w:r w:rsidRPr="00211D07">
        <w:rPr>
          <w:rFonts w:ascii="Tahoma" w:hAnsi="Tahoma" w:cs="Tahoma"/>
          <w:sz w:val="18"/>
          <w:szCs w:val="18"/>
          <w:rtl/>
        </w:rPr>
        <w:t>נוטלי</w:t>
      </w:r>
      <w:r w:rsidRPr="00211D07">
        <w:rPr>
          <w:rFonts w:ascii="Tahoma" w:hAnsi="Tahoma" w:cs="Tahoma"/>
          <w:sz w:val="18"/>
          <w:szCs w:val="18"/>
          <w:rtl/>
        </w:rPr>
        <w:t xml:space="preserve"> סמים, שיהיו באחריות קופות החולים".</w:t>
      </w:r>
      <w:r w:rsidRPr="00211D07">
        <w:rPr>
          <w:rFonts w:ascii="Tahoma" w:hAnsi="Tahoma" w:cs="Tahoma" w:hint="cs"/>
          <w:sz w:val="18"/>
          <w:szCs w:val="18"/>
          <w:rtl/>
        </w:rPr>
        <w:t xml:space="preserve"> משרד הבריאות התחייב בהסכם "כי עד לסוף שנת 2018 לא ינחה את קופות החולים או בכלל בסטנדרטים נוספים בתחום בריאות הנפש, כפי שנקבע בסיכום הנוכחי, אלא אם [כן] נתנו הקופות הסכמתן לכך". </w:t>
      </w:r>
    </w:p>
    <w:p w:rsidR="009B6D36" w:rsidRPr="00211D07" w:rsidP="00211D07">
      <w:pPr>
        <w:spacing w:line="240" w:lineRule="exact"/>
        <w:ind w:right="2268"/>
        <w:jc w:val="both"/>
        <w:rPr>
          <w:rFonts w:ascii="Tahoma" w:hAnsi="Tahoma" w:cs="Tahoma"/>
          <w:sz w:val="18"/>
          <w:szCs w:val="18"/>
          <w:rtl/>
        </w:rPr>
      </w:pPr>
      <w:r w:rsidRPr="00211D07">
        <w:rPr>
          <w:rFonts w:ascii="Tahoma" w:hAnsi="Tahoma" w:cs="Tahoma" w:hint="cs"/>
          <w:sz w:val="18"/>
          <w:szCs w:val="18"/>
          <w:rtl/>
        </w:rPr>
        <w:t>שנה לאחר מכן - באוגוסט 2016 ובאפריל 2017 - קרוב לשנתיים מכניסת הצו לתוקף (בהתאמה), טענו נציגי</w:t>
      </w:r>
      <w:r w:rsidRPr="00211D07">
        <w:rPr>
          <w:rFonts w:ascii="Tahoma" w:hAnsi="Tahoma" w:cs="Tahoma"/>
          <w:sz w:val="18"/>
          <w:szCs w:val="18"/>
          <w:rtl/>
        </w:rPr>
        <w:t xml:space="preserve"> השירות לטיפול בהתמכרויות במשרד הרווחה</w:t>
      </w:r>
      <w:r w:rsidRPr="00211D07">
        <w:rPr>
          <w:rFonts w:ascii="Tahoma" w:hAnsi="Tahoma" w:cs="Tahoma" w:hint="cs"/>
          <w:sz w:val="18"/>
          <w:szCs w:val="18"/>
          <w:rtl/>
        </w:rPr>
        <w:t xml:space="preserve"> בפגישות עם נציגי האגף לבריאות הנפש במשרד הבריאות כי משתמשים לרעה ומכורים לחומרים נתקלים ב"קושי במימוש זכאות לאבחון ולטיפול בשירותי בריאות הנפש בקהילה", וחלק מהקושי במימוש הזכאות נובע מ"התנגדות שירותי בריאות הנפש בקופות החולים לטפל באוכלוסייה זו". פניות בעניין זה התקבלו בין היתר מהיחידות לטיפול בהתמכרויות בנצרת עילית ובבית שמש.</w:t>
      </w:r>
    </w:p>
    <w:p w:rsidR="009B6D36" w:rsidRPr="00211D07" w:rsidP="00211D07">
      <w:pPr>
        <w:spacing w:line="240" w:lineRule="exact"/>
        <w:ind w:right="2268"/>
        <w:jc w:val="both"/>
        <w:rPr>
          <w:rFonts w:ascii="Tahoma" w:hAnsi="Tahoma" w:cs="Tahoma"/>
          <w:sz w:val="18"/>
          <w:szCs w:val="18"/>
          <w:rtl/>
        </w:rPr>
      </w:pPr>
      <w:r w:rsidRPr="00211D07">
        <w:rPr>
          <w:rFonts w:ascii="Tahoma" w:hAnsi="Tahoma" w:cs="Tahoma"/>
          <w:sz w:val="18"/>
          <w:szCs w:val="18"/>
          <w:rtl/>
        </w:rPr>
        <w:t>משרד הבריאות ציין בתשובתו כי</w:t>
      </w:r>
      <w:r w:rsidRPr="00211D07">
        <w:rPr>
          <w:rFonts w:ascii="Tahoma" w:hAnsi="Tahoma" w:cs="Tahoma" w:hint="cs"/>
          <w:sz w:val="18"/>
          <w:szCs w:val="18"/>
          <w:rtl/>
        </w:rPr>
        <w:t xml:space="preserve"> בצו ובהסכם נקבע שהטיפול הנפשי במכורים "גם אם ברקע יש שימוש בסמים", הוא "באחריות מלאה" של קופות החולים. משרד הבריאות פרט בתשובתו צעדים שעשה כדי שהלוקים בתחלואה כפולה ימצו את זכויותיהם לטיפול נפשי בקופות החולים,</w:t>
      </w:r>
      <w:r w:rsidRPr="00211D07">
        <w:rPr>
          <w:rFonts w:ascii="Tahoma" w:hAnsi="Tahoma" w:cs="Tahoma"/>
          <w:sz w:val="18"/>
          <w:szCs w:val="18"/>
          <w:rtl/>
        </w:rPr>
        <w:t xml:space="preserve"> </w:t>
      </w:r>
      <w:r w:rsidRPr="00211D07">
        <w:rPr>
          <w:rFonts w:ascii="Tahoma" w:hAnsi="Tahoma" w:cs="Tahoma" w:hint="cs"/>
          <w:sz w:val="18"/>
          <w:szCs w:val="18"/>
          <w:rtl/>
        </w:rPr>
        <w:t>ו</w:t>
      </w:r>
      <w:r w:rsidRPr="00211D07">
        <w:rPr>
          <w:rFonts w:ascii="Tahoma" w:hAnsi="Tahoma" w:cs="Tahoma"/>
          <w:sz w:val="18"/>
          <w:szCs w:val="18"/>
          <w:rtl/>
        </w:rPr>
        <w:t>ציין כי "כיום הקופות פחות מערימות קשיים או כופרות באחריותן זו</w:t>
      </w:r>
      <w:r w:rsidRPr="00211D07">
        <w:rPr>
          <w:rFonts w:ascii="Tahoma" w:hAnsi="Tahoma" w:cs="Tahoma" w:hint="cs"/>
          <w:sz w:val="18"/>
          <w:szCs w:val="18"/>
          <w:rtl/>
        </w:rPr>
        <w:t>" והלוקים בתחלואה כפולה מקבלים טיפול נפשי במימון הקופות.</w:t>
      </w:r>
    </w:p>
    <w:p w:rsidR="009B6D36" w:rsidRPr="00211D07" w:rsidP="002E34D6">
      <w:pPr>
        <w:spacing w:after="240" w:line="240" w:lineRule="exact"/>
        <w:ind w:right="2268"/>
        <w:jc w:val="both"/>
        <w:rPr>
          <w:rFonts w:ascii="Tahoma" w:hAnsi="Tahoma" w:cs="Tahoma"/>
          <w:sz w:val="18"/>
          <w:szCs w:val="18"/>
          <w:rtl/>
        </w:rPr>
      </w:pPr>
      <w:r w:rsidRPr="00211D07">
        <w:rPr>
          <w:rFonts w:ascii="Tahoma" w:hAnsi="Tahoma" w:cs="Tahoma" w:hint="cs"/>
          <w:sz w:val="18"/>
          <w:szCs w:val="18"/>
          <w:rtl/>
        </w:rPr>
        <w:t>לעומת זאת ציינה הכללית בתשובתה כי בהסכם נקבע שהטיפול הנפשי במכורים "נותר באחריות המדינה ולא הועבר לאחריות קופות החולים, למעט כאשר ישנו משבר נפשי חריף... קרי פסיכוזה, דיכאון או התנהגות תוקפנית".</w:t>
      </w:r>
      <w:r w:rsidRPr="00211D07">
        <w:rPr>
          <w:rFonts w:ascii="Tahoma" w:hAnsi="Tahoma" w:cs="Tahoma"/>
          <w:sz w:val="18"/>
          <w:szCs w:val="18"/>
          <w:rtl/>
        </w:rPr>
        <w:t xml:space="preserve"> </w:t>
      </w:r>
      <w:r w:rsidRPr="00211D07">
        <w:rPr>
          <w:rFonts w:ascii="Tahoma" w:hAnsi="Tahoma" w:cs="Tahoma" w:hint="cs"/>
          <w:sz w:val="18"/>
          <w:szCs w:val="18"/>
          <w:rtl/>
        </w:rPr>
        <w:t xml:space="preserve">עוד ציינה הכללית כי הטיפול במכורים הלוקים בתחלואה כפולה "לא הוסדר </w:t>
      </w:r>
      <w:r w:rsidRPr="00211D07">
        <w:rPr>
          <w:rFonts w:ascii="Tahoma" w:hAnsi="Tahoma" w:cs="Tahoma" w:hint="eastAsia"/>
          <w:b/>
          <w:bCs/>
          <w:sz w:val="18"/>
          <w:szCs w:val="18"/>
          <w:rtl/>
        </w:rPr>
        <w:t>והאחריות</w:t>
      </w:r>
      <w:r w:rsidRPr="00211D07">
        <w:rPr>
          <w:rFonts w:ascii="Tahoma" w:hAnsi="Tahoma" w:cs="Tahoma"/>
          <w:b/>
          <w:bCs/>
          <w:sz w:val="18"/>
          <w:szCs w:val="18"/>
          <w:rtl/>
        </w:rPr>
        <w:t xml:space="preserve"> </w:t>
      </w:r>
      <w:r w:rsidRPr="00211D07">
        <w:rPr>
          <w:rFonts w:ascii="Tahoma" w:hAnsi="Tahoma" w:cs="Tahoma" w:hint="eastAsia"/>
          <w:b/>
          <w:bCs/>
          <w:sz w:val="18"/>
          <w:szCs w:val="18"/>
          <w:rtl/>
        </w:rPr>
        <w:t>היא</w:t>
      </w:r>
      <w:r w:rsidRPr="00211D07">
        <w:rPr>
          <w:rFonts w:ascii="Tahoma" w:hAnsi="Tahoma" w:cs="Tahoma"/>
          <w:b/>
          <w:bCs/>
          <w:sz w:val="18"/>
          <w:szCs w:val="18"/>
          <w:rtl/>
        </w:rPr>
        <w:t xml:space="preserve"> </w:t>
      </w:r>
      <w:r w:rsidRPr="00211D07">
        <w:rPr>
          <w:rFonts w:ascii="Tahoma" w:hAnsi="Tahoma" w:cs="Tahoma" w:hint="eastAsia"/>
          <w:b/>
          <w:bCs/>
          <w:sz w:val="18"/>
          <w:szCs w:val="18"/>
          <w:rtl/>
        </w:rPr>
        <w:t>על</w:t>
      </w:r>
      <w:r w:rsidRPr="00211D07">
        <w:rPr>
          <w:rFonts w:ascii="Tahoma" w:hAnsi="Tahoma" w:cs="Tahoma"/>
          <w:b/>
          <w:bCs/>
          <w:sz w:val="18"/>
          <w:szCs w:val="18"/>
          <w:rtl/>
        </w:rPr>
        <w:t xml:space="preserve"> </w:t>
      </w:r>
      <w:r w:rsidRPr="00211D07">
        <w:rPr>
          <w:rFonts w:ascii="Tahoma" w:hAnsi="Tahoma" w:cs="Tahoma" w:hint="eastAsia"/>
          <w:b/>
          <w:bCs/>
          <w:sz w:val="18"/>
          <w:szCs w:val="18"/>
          <w:rtl/>
        </w:rPr>
        <w:t>משרד</w:t>
      </w:r>
      <w:r w:rsidRPr="00211D07">
        <w:rPr>
          <w:rFonts w:ascii="Tahoma" w:hAnsi="Tahoma" w:cs="Tahoma"/>
          <w:b/>
          <w:bCs/>
          <w:sz w:val="18"/>
          <w:szCs w:val="18"/>
          <w:rtl/>
        </w:rPr>
        <w:t xml:space="preserve"> </w:t>
      </w:r>
      <w:r w:rsidRPr="00211D07">
        <w:rPr>
          <w:rFonts w:ascii="Tahoma" w:hAnsi="Tahoma" w:cs="Tahoma" w:hint="eastAsia"/>
          <w:b/>
          <w:bCs/>
          <w:sz w:val="18"/>
          <w:szCs w:val="18"/>
          <w:rtl/>
        </w:rPr>
        <w:t>הבריאות</w:t>
      </w:r>
      <w:r w:rsidRPr="00211D07">
        <w:rPr>
          <w:rFonts w:ascii="Tahoma" w:hAnsi="Tahoma" w:cs="Tahoma"/>
          <w:b/>
          <w:bCs/>
          <w:sz w:val="18"/>
          <w:szCs w:val="18"/>
          <w:rtl/>
        </w:rPr>
        <w:t>,</w:t>
      </w:r>
      <w:r w:rsidRPr="00211D07">
        <w:rPr>
          <w:rFonts w:ascii="Tahoma" w:hAnsi="Tahoma" w:cs="Tahoma" w:hint="cs"/>
          <w:sz w:val="18"/>
          <w:szCs w:val="18"/>
          <w:rtl/>
        </w:rPr>
        <w:t xml:space="preserve"> כיוון שעל פי ההסכם נקבע שהטיפול והסדרתו באחריותו" (הדגשה במקור). לאומית שירותי בריאות </w:t>
      </w:r>
      <w:r w:rsidR="002E34D6">
        <w:rPr>
          <w:rFonts w:ascii="Tahoma" w:hAnsi="Tahoma" w:cs="Tahoma" w:hint="cs"/>
          <w:sz w:val="18"/>
          <w:szCs w:val="18"/>
          <w:rtl/>
        </w:rPr>
        <w:t xml:space="preserve">(להלן - לאומית) </w:t>
      </w:r>
      <w:r w:rsidRPr="00211D07">
        <w:rPr>
          <w:rFonts w:ascii="Tahoma" w:hAnsi="Tahoma" w:cs="Tahoma" w:hint="cs"/>
          <w:sz w:val="18"/>
          <w:szCs w:val="18"/>
          <w:rtl/>
        </w:rPr>
        <w:t>ציינה בתשובתה מדצמבר 2018 כי עמדתה בעניין דומה לעמדת הכללית, והוסיפה כי עמדת משרד הבריאות לפיה הטיפול הנפשי במכורים הוא באחריות מלאה של קופות החולים, אינה מקובלת עליה, וכי מדובר בניסיון של משרד הבריאות להעביר לאחריות הקופות, ללא תיאום, ללא מימון וללא הסכמה, תחום כה משמעותי הדורש מקצוענות, מימון וידע.</w:t>
      </w:r>
    </w:p>
    <w:p w:rsidR="009B6D36" w:rsidRPr="00211D07" w:rsidP="00335CD4">
      <w:pPr>
        <w:pStyle w:val="RESHET"/>
        <w:rPr>
          <w:rtl/>
        </w:rPr>
      </w:pPr>
      <w:r w:rsidRPr="00211D07">
        <w:rPr>
          <w:rFonts w:hint="cs"/>
          <w:rtl/>
        </w:rPr>
        <w:t xml:space="preserve">מתשובות הכללית ולאומית מחד ומתשובת משרד הבריאות מאידך עולה החשש שעד מועד סיום הביקורת, שלוש שנים </w:t>
      </w:r>
      <w:r w:rsidRPr="00211D07">
        <w:rPr>
          <w:rtl/>
        </w:rPr>
        <w:t>לאחר כניסת הצו לתוקף</w:t>
      </w:r>
      <w:r w:rsidRPr="00211D07">
        <w:rPr>
          <w:rFonts w:hint="cs"/>
          <w:rtl/>
        </w:rPr>
        <w:t>, בפועל לא ניתן מענה בקהילה לבעיות הנפשיות של חלק מהלוקים בתחלואה כפולה. הדבר עלול להוביל רבים מהם להישאר מכורים או לחזור לשימוש בחומרים ממכרים גם אם הצליחו להיגמל מהם.</w:t>
      </w:r>
      <w:r w:rsidRPr="00290C9B" w:rsidR="00290C9B">
        <w:rPr>
          <w:noProof/>
          <w:szCs w:val="17"/>
          <w:rtl/>
        </w:rPr>
        <w:t xml:space="preserve"> </w:t>
      </w:r>
      <w:r w:rsidRPr="0012789B" w:rsidR="00290C9B">
        <w:rPr>
          <w:noProof/>
          <w:szCs w:val="17"/>
          <w:rtl/>
          <w:lang w:eastAsia="en-US"/>
        </w:rPr>
        <mc:AlternateContent>
          <mc:Choice Requires="wps">
            <w:drawing>
              <wp:anchor distT="0" distB="0" distL="114300" distR="114300" simplePos="0" relativeHeight="251666432" behindDoc="1" locked="0" layoutInCell="1" allowOverlap="1">
                <wp:simplePos x="0" y="0"/>
                <wp:positionH relativeFrom="margin">
                  <wp:posOffset>-431800</wp:posOffset>
                </wp:positionH>
                <wp:positionV relativeFrom="margin">
                  <wp:align>top</wp:align>
                </wp:positionV>
                <wp:extent cx="1620000" cy="4140000"/>
                <wp:effectExtent l="0" t="0" r="0" b="0"/>
                <wp:wrapNone/>
                <wp:docPr id="24"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290C9B" w:rsidRPr="00373C5D" w:rsidP="00290C9B">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35790755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462529"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290C9B" w:rsidRPr="00881D99" w:rsidP="00290C9B">
                            <w:pPr>
                              <w:spacing w:after="0" w:line="240" w:lineRule="auto"/>
                              <w:rPr>
                                <w:color w:val="0B5294"/>
                                <w:spacing w:val="-4"/>
                                <w:sz w:val="24"/>
                                <w:szCs w:val="24"/>
                                <w:rtl/>
                                <w:cs/>
                              </w:rPr>
                            </w:pPr>
                            <w:r w:rsidRPr="00335CD4">
                              <w:rPr>
                                <w:rFonts w:cs="Tahoma" w:hint="eastAsia"/>
                                <w:color w:val="0B5294"/>
                                <w:spacing w:val="-4"/>
                                <w:sz w:val="24"/>
                                <w:szCs w:val="24"/>
                                <w:rtl/>
                              </w:rPr>
                              <w:t>עולה</w:t>
                            </w:r>
                            <w:r w:rsidRPr="00335CD4">
                              <w:rPr>
                                <w:rFonts w:cs="Tahoma"/>
                                <w:color w:val="0B5294"/>
                                <w:spacing w:val="-4"/>
                                <w:sz w:val="24"/>
                                <w:szCs w:val="24"/>
                                <w:rtl/>
                              </w:rPr>
                              <w:t xml:space="preserve"> </w:t>
                            </w:r>
                            <w:r w:rsidRPr="00335CD4">
                              <w:rPr>
                                <w:rFonts w:cs="Tahoma" w:hint="eastAsia"/>
                                <w:color w:val="0B5294"/>
                                <w:spacing w:val="-4"/>
                                <w:sz w:val="24"/>
                                <w:szCs w:val="24"/>
                                <w:rtl/>
                              </w:rPr>
                              <w:t>חשש</w:t>
                            </w:r>
                            <w:r w:rsidRPr="00335CD4">
                              <w:rPr>
                                <w:rFonts w:cs="Tahoma"/>
                                <w:color w:val="0B5294"/>
                                <w:spacing w:val="-4"/>
                                <w:sz w:val="24"/>
                                <w:szCs w:val="24"/>
                                <w:rtl/>
                              </w:rPr>
                              <w:t xml:space="preserve"> </w:t>
                            </w:r>
                            <w:r w:rsidRPr="00335CD4">
                              <w:rPr>
                                <w:rFonts w:cs="Tahoma" w:hint="eastAsia"/>
                                <w:color w:val="0B5294"/>
                                <w:spacing w:val="-4"/>
                                <w:sz w:val="24"/>
                                <w:szCs w:val="24"/>
                                <w:rtl/>
                              </w:rPr>
                              <w:t>כי</w:t>
                            </w:r>
                            <w:r w:rsidRPr="00335CD4">
                              <w:rPr>
                                <w:rFonts w:cs="Tahoma"/>
                                <w:color w:val="0B5294"/>
                                <w:spacing w:val="-4"/>
                                <w:sz w:val="24"/>
                                <w:szCs w:val="24"/>
                                <w:rtl/>
                              </w:rPr>
                              <w:t xml:space="preserve"> </w:t>
                            </w:r>
                            <w:r w:rsidRPr="00335CD4">
                              <w:rPr>
                                <w:rFonts w:cs="Tahoma" w:hint="eastAsia"/>
                                <w:color w:val="0B5294"/>
                                <w:spacing w:val="-4"/>
                                <w:sz w:val="24"/>
                                <w:szCs w:val="24"/>
                                <w:rtl/>
                              </w:rPr>
                              <w:t>בפועל</w:t>
                            </w:r>
                            <w:r w:rsidRPr="00335CD4">
                              <w:rPr>
                                <w:rFonts w:cs="Tahoma"/>
                                <w:color w:val="0B5294"/>
                                <w:spacing w:val="-4"/>
                                <w:sz w:val="24"/>
                                <w:szCs w:val="24"/>
                                <w:rtl/>
                              </w:rPr>
                              <w:t xml:space="preserve"> </w:t>
                            </w:r>
                            <w:r w:rsidRPr="00335CD4">
                              <w:rPr>
                                <w:rFonts w:cs="Tahoma" w:hint="eastAsia"/>
                                <w:color w:val="0B5294"/>
                                <w:spacing w:val="-4"/>
                                <w:sz w:val="24"/>
                                <w:szCs w:val="24"/>
                                <w:rtl/>
                              </w:rPr>
                              <w:t>לא</w:t>
                            </w:r>
                            <w:r w:rsidRPr="00335CD4">
                              <w:rPr>
                                <w:rFonts w:cs="Tahoma"/>
                                <w:color w:val="0B5294"/>
                                <w:spacing w:val="-4"/>
                                <w:sz w:val="24"/>
                                <w:szCs w:val="24"/>
                                <w:rtl/>
                              </w:rPr>
                              <w:t xml:space="preserve"> </w:t>
                            </w:r>
                            <w:r w:rsidRPr="00335CD4">
                              <w:rPr>
                                <w:rFonts w:cs="Tahoma" w:hint="eastAsia"/>
                                <w:color w:val="0B5294"/>
                                <w:spacing w:val="-4"/>
                                <w:sz w:val="24"/>
                                <w:szCs w:val="24"/>
                                <w:rtl/>
                              </w:rPr>
                              <w:t>ניתן</w:t>
                            </w:r>
                            <w:r w:rsidRPr="00335CD4">
                              <w:rPr>
                                <w:rFonts w:cs="Tahoma"/>
                                <w:color w:val="0B5294"/>
                                <w:spacing w:val="-4"/>
                                <w:sz w:val="24"/>
                                <w:szCs w:val="24"/>
                                <w:rtl/>
                              </w:rPr>
                              <w:t xml:space="preserve"> </w:t>
                            </w:r>
                            <w:r w:rsidRPr="00335CD4">
                              <w:rPr>
                                <w:rFonts w:cs="Tahoma" w:hint="eastAsia"/>
                                <w:color w:val="0B5294"/>
                                <w:spacing w:val="-4"/>
                                <w:sz w:val="24"/>
                                <w:szCs w:val="24"/>
                                <w:rtl/>
                              </w:rPr>
                              <w:t>מענה</w:t>
                            </w:r>
                            <w:r w:rsidRPr="00335CD4">
                              <w:rPr>
                                <w:rFonts w:cs="Tahoma"/>
                                <w:color w:val="0B5294"/>
                                <w:spacing w:val="-4"/>
                                <w:sz w:val="24"/>
                                <w:szCs w:val="24"/>
                                <w:rtl/>
                              </w:rPr>
                              <w:t xml:space="preserve"> </w:t>
                            </w:r>
                            <w:r w:rsidRPr="00335CD4">
                              <w:rPr>
                                <w:rFonts w:cs="Tahoma" w:hint="eastAsia"/>
                                <w:color w:val="0B5294"/>
                                <w:spacing w:val="-4"/>
                                <w:sz w:val="24"/>
                                <w:szCs w:val="24"/>
                                <w:rtl/>
                              </w:rPr>
                              <w:t>בקהילה</w:t>
                            </w:r>
                            <w:r w:rsidRPr="00335CD4">
                              <w:rPr>
                                <w:rFonts w:cs="Tahoma"/>
                                <w:color w:val="0B5294"/>
                                <w:spacing w:val="-4"/>
                                <w:sz w:val="24"/>
                                <w:szCs w:val="24"/>
                                <w:rtl/>
                              </w:rPr>
                              <w:t xml:space="preserve"> </w:t>
                            </w:r>
                            <w:r w:rsidRPr="00335CD4">
                              <w:rPr>
                                <w:rFonts w:cs="Tahoma" w:hint="eastAsia"/>
                                <w:color w:val="0B5294"/>
                                <w:spacing w:val="-4"/>
                                <w:sz w:val="24"/>
                                <w:szCs w:val="24"/>
                                <w:rtl/>
                              </w:rPr>
                              <w:t>לבעיות</w:t>
                            </w:r>
                            <w:r w:rsidRPr="00335CD4">
                              <w:rPr>
                                <w:rFonts w:cs="Tahoma"/>
                                <w:color w:val="0B5294"/>
                                <w:spacing w:val="-4"/>
                                <w:sz w:val="24"/>
                                <w:szCs w:val="24"/>
                                <w:rtl/>
                              </w:rPr>
                              <w:t xml:space="preserve"> </w:t>
                            </w:r>
                            <w:r w:rsidRPr="00335CD4">
                              <w:rPr>
                                <w:rFonts w:cs="Tahoma" w:hint="eastAsia"/>
                                <w:color w:val="0B5294"/>
                                <w:spacing w:val="-4"/>
                                <w:sz w:val="24"/>
                                <w:szCs w:val="24"/>
                                <w:rtl/>
                              </w:rPr>
                              <w:t>הנפשיות</w:t>
                            </w:r>
                            <w:r w:rsidRPr="00335CD4">
                              <w:rPr>
                                <w:rFonts w:cs="Tahoma"/>
                                <w:color w:val="0B5294"/>
                                <w:spacing w:val="-4"/>
                                <w:sz w:val="24"/>
                                <w:szCs w:val="24"/>
                                <w:rtl/>
                              </w:rPr>
                              <w:t xml:space="preserve"> </w:t>
                            </w:r>
                            <w:r w:rsidRPr="00335CD4">
                              <w:rPr>
                                <w:rFonts w:cs="Tahoma" w:hint="eastAsia"/>
                                <w:color w:val="0B5294"/>
                                <w:spacing w:val="-4"/>
                                <w:sz w:val="24"/>
                                <w:szCs w:val="24"/>
                                <w:rtl/>
                              </w:rPr>
                              <w:t>של</w:t>
                            </w:r>
                            <w:r w:rsidRPr="00335CD4">
                              <w:rPr>
                                <w:rFonts w:cs="Tahoma"/>
                                <w:color w:val="0B5294"/>
                                <w:spacing w:val="-4"/>
                                <w:sz w:val="24"/>
                                <w:szCs w:val="24"/>
                                <w:rtl/>
                              </w:rPr>
                              <w:t xml:space="preserve"> </w:t>
                            </w:r>
                            <w:r w:rsidRPr="00335CD4">
                              <w:rPr>
                                <w:rFonts w:cs="Tahoma" w:hint="eastAsia"/>
                                <w:color w:val="0B5294"/>
                                <w:spacing w:val="-4"/>
                                <w:sz w:val="24"/>
                                <w:szCs w:val="24"/>
                                <w:rtl/>
                              </w:rPr>
                              <w:t>חלק</w:t>
                            </w:r>
                            <w:r w:rsidRPr="00335CD4">
                              <w:rPr>
                                <w:rFonts w:cs="Tahoma"/>
                                <w:color w:val="0B5294"/>
                                <w:spacing w:val="-4"/>
                                <w:sz w:val="24"/>
                                <w:szCs w:val="24"/>
                                <w:rtl/>
                              </w:rPr>
                              <w:t xml:space="preserve"> </w:t>
                            </w:r>
                            <w:r w:rsidRPr="00335CD4">
                              <w:rPr>
                                <w:rFonts w:cs="Tahoma" w:hint="eastAsia"/>
                                <w:color w:val="0B5294"/>
                                <w:spacing w:val="-4"/>
                                <w:sz w:val="24"/>
                                <w:szCs w:val="24"/>
                                <w:rtl/>
                              </w:rPr>
                              <w:t>מהלוקים</w:t>
                            </w:r>
                            <w:r w:rsidRPr="00335CD4">
                              <w:rPr>
                                <w:rFonts w:cs="Tahoma"/>
                                <w:color w:val="0B5294"/>
                                <w:spacing w:val="-4"/>
                                <w:sz w:val="24"/>
                                <w:szCs w:val="24"/>
                                <w:rtl/>
                              </w:rPr>
                              <w:t xml:space="preserve"> </w:t>
                            </w:r>
                            <w:r w:rsidRPr="00335CD4">
                              <w:rPr>
                                <w:rFonts w:cs="Tahoma" w:hint="eastAsia"/>
                                <w:color w:val="0B5294"/>
                                <w:spacing w:val="-4"/>
                                <w:sz w:val="24"/>
                                <w:szCs w:val="24"/>
                                <w:rtl/>
                              </w:rPr>
                              <w:t>בתחלואה</w:t>
                            </w:r>
                            <w:r w:rsidRPr="00335CD4">
                              <w:rPr>
                                <w:rFonts w:cs="Tahoma"/>
                                <w:color w:val="0B5294"/>
                                <w:spacing w:val="-4"/>
                                <w:sz w:val="24"/>
                                <w:szCs w:val="24"/>
                                <w:rtl/>
                              </w:rPr>
                              <w:t xml:space="preserve"> </w:t>
                            </w:r>
                            <w:r w:rsidRPr="00335CD4">
                              <w:rPr>
                                <w:rFonts w:cs="Tahoma" w:hint="eastAsia"/>
                                <w:color w:val="0B5294"/>
                                <w:spacing w:val="-4"/>
                                <w:sz w:val="24"/>
                                <w:szCs w:val="24"/>
                                <w:rtl/>
                              </w:rPr>
                              <w:t>כפולה</w:t>
                            </w:r>
                          </w:p>
                          <w:p w:rsidR="00290C9B" w:rsidRPr="00373C5D" w:rsidP="00290C9B">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31413834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842147"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6"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9024" filled="f" stroked="f">
                <v:textbox>
                  <w:txbxContent>
                    <w:p w:rsidR="00290C9B" w:rsidRPr="00373C5D" w:rsidP="00290C9B">
                      <w:pPr>
                        <w:spacing w:line="240" w:lineRule="atLeast"/>
                        <w:rPr>
                          <w:rFonts w:cs="Tahoma"/>
                          <w:b/>
                          <w:bCs/>
                          <w:color w:val="0B5294"/>
                          <w:sz w:val="48"/>
                          <w:szCs w:val="48"/>
                          <w:rtl/>
                        </w:rPr>
                      </w:pPr>
                      <w:drawing>
                        <wp:inline distT="0" distB="0" distL="0" distR="0">
                          <wp:extent cx="311150" cy="256800"/>
                          <wp:effectExtent l="0" t="0" r="0" b="0"/>
                          <wp:docPr id="2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761953"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290C9B" w:rsidRPr="00881D99" w:rsidP="00290C9B">
                      <w:pPr>
                        <w:spacing w:after="0" w:line="240" w:lineRule="auto"/>
                        <w:rPr>
                          <w:color w:val="0B5294"/>
                          <w:spacing w:val="-4"/>
                          <w:sz w:val="24"/>
                          <w:szCs w:val="24"/>
                          <w:rtl/>
                          <w:cs/>
                        </w:rPr>
                      </w:pPr>
                      <w:r w:rsidRPr="00335CD4">
                        <w:rPr>
                          <w:rFonts w:cs="Tahoma" w:hint="eastAsia"/>
                          <w:color w:val="0B5294"/>
                          <w:spacing w:val="-4"/>
                          <w:sz w:val="24"/>
                          <w:szCs w:val="24"/>
                          <w:rtl/>
                        </w:rPr>
                        <w:t>עולה</w:t>
                      </w:r>
                      <w:r w:rsidRPr="00335CD4">
                        <w:rPr>
                          <w:rFonts w:cs="Tahoma"/>
                          <w:color w:val="0B5294"/>
                          <w:spacing w:val="-4"/>
                          <w:sz w:val="24"/>
                          <w:szCs w:val="24"/>
                          <w:rtl/>
                        </w:rPr>
                        <w:t xml:space="preserve"> </w:t>
                      </w:r>
                      <w:r w:rsidRPr="00335CD4">
                        <w:rPr>
                          <w:rFonts w:cs="Tahoma" w:hint="eastAsia"/>
                          <w:color w:val="0B5294"/>
                          <w:spacing w:val="-4"/>
                          <w:sz w:val="24"/>
                          <w:szCs w:val="24"/>
                          <w:rtl/>
                        </w:rPr>
                        <w:t>חשש</w:t>
                      </w:r>
                      <w:r w:rsidRPr="00335CD4">
                        <w:rPr>
                          <w:rFonts w:cs="Tahoma"/>
                          <w:color w:val="0B5294"/>
                          <w:spacing w:val="-4"/>
                          <w:sz w:val="24"/>
                          <w:szCs w:val="24"/>
                          <w:rtl/>
                        </w:rPr>
                        <w:t xml:space="preserve"> </w:t>
                      </w:r>
                      <w:r w:rsidRPr="00335CD4">
                        <w:rPr>
                          <w:rFonts w:cs="Tahoma" w:hint="eastAsia"/>
                          <w:color w:val="0B5294"/>
                          <w:spacing w:val="-4"/>
                          <w:sz w:val="24"/>
                          <w:szCs w:val="24"/>
                          <w:rtl/>
                        </w:rPr>
                        <w:t>כי</w:t>
                      </w:r>
                      <w:r w:rsidRPr="00335CD4">
                        <w:rPr>
                          <w:rFonts w:cs="Tahoma"/>
                          <w:color w:val="0B5294"/>
                          <w:spacing w:val="-4"/>
                          <w:sz w:val="24"/>
                          <w:szCs w:val="24"/>
                          <w:rtl/>
                        </w:rPr>
                        <w:t xml:space="preserve"> </w:t>
                      </w:r>
                      <w:r w:rsidRPr="00335CD4">
                        <w:rPr>
                          <w:rFonts w:cs="Tahoma" w:hint="eastAsia"/>
                          <w:color w:val="0B5294"/>
                          <w:spacing w:val="-4"/>
                          <w:sz w:val="24"/>
                          <w:szCs w:val="24"/>
                          <w:rtl/>
                        </w:rPr>
                        <w:t>בפועל</w:t>
                      </w:r>
                      <w:r w:rsidRPr="00335CD4">
                        <w:rPr>
                          <w:rFonts w:cs="Tahoma"/>
                          <w:color w:val="0B5294"/>
                          <w:spacing w:val="-4"/>
                          <w:sz w:val="24"/>
                          <w:szCs w:val="24"/>
                          <w:rtl/>
                        </w:rPr>
                        <w:t xml:space="preserve"> </w:t>
                      </w:r>
                      <w:r w:rsidRPr="00335CD4">
                        <w:rPr>
                          <w:rFonts w:cs="Tahoma" w:hint="eastAsia"/>
                          <w:color w:val="0B5294"/>
                          <w:spacing w:val="-4"/>
                          <w:sz w:val="24"/>
                          <w:szCs w:val="24"/>
                          <w:rtl/>
                        </w:rPr>
                        <w:t>לא</w:t>
                      </w:r>
                      <w:r w:rsidRPr="00335CD4">
                        <w:rPr>
                          <w:rFonts w:cs="Tahoma"/>
                          <w:color w:val="0B5294"/>
                          <w:spacing w:val="-4"/>
                          <w:sz w:val="24"/>
                          <w:szCs w:val="24"/>
                          <w:rtl/>
                        </w:rPr>
                        <w:t xml:space="preserve"> </w:t>
                      </w:r>
                      <w:r w:rsidRPr="00335CD4">
                        <w:rPr>
                          <w:rFonts w:cs="Tahoma" w:hint="eastAsia"/>
                          <w:color w:val="0B5294"/>
                          <w:spacing w:val="-4"/>
                          <w:sz w:val="24"/>
                          <w:szCs w:val="24"/>
                          <w:rtl/>
                        </w:rPr>
                        <w:t>ניתן</w:t>
                      </w:r>
                      <w:r w:rsidRPr="00335CD4">
                        <w:rPr>
                          <w:rFonts w:cs="Tahoma"/>
                          <w:color w:val="0B5294"/>
                          <w:spacing w:val="-4"/>
                          <w:sz w:val="24"/>
                          <w:szCs w:val="24"/>
                          <w:rtl/>
                        </w:rPr>
                        <w:t xml:space="preserve"> </w:t>
                      </w:r>
                      <w:r w:rsidRPr="00335CD4">
                        <w:rPr>
                          <w:rFonts w:cs="Tahoma" w:hint="eastAsia"/>
                          <w:color w:val="0B5294"/>
                          <w:spacing w:val="-4"/>
                          <w:sz w:val="24"/>
                          <w:szCs w:val="24"/>
                          <w:rtl/>
                        </w:rPr>
                        <w:t>מענה</w:t>
                      </w:r>
                      <w:r w:rsidRPr="00335CD4">
                        <w:rPr>
                          <w:rFonts w:cs="Tahoma"/>
                          <w:color w:val="0B5294"/>
                          <w:spacing w:val="-4"/>
                          <w:sz w:val="24"/>
                          <w:szCs w:val="24"/>
                          <w:rtl/>
                        </w:rPr>
                        <w:t xml:space="preserve"> </w:t>
                      </w:r>
                      <w:r w:rsidRPr="00335CD4">
                        <w:rPr>
                          <w:rFonts w:cs="Tahoma" w:hint="eastAsia"/>
                          <w:color w:val="0B5294"/>
                          <w:spacing w:val="-4"/>
                          <w:sz w:val="24"/>
                          <w:szCs w:val="24"/>
                          <w:rtl/>
                        </w:rPr>
                        <w:t>בקהילה</w:t>
                      </w:r>
                      <w:r w:rsidRPr="00335CD4">
                        <w:rPr>
                          <w:rFonts w:cs="Tahoma"/>
                          <w:color w:val="0B5294"/>
                          <w:spacing w:val="-4"/>
                          <w:sz w:val="24"/>
                          <w:szCs w:val="24"/>
                          <w:rtl/>
                        </w:rPr>
                        <w:t xml:space="preserve"> </w:t>
                      </w:r>
                      <w:r w:rsidRPr="00335CD4">
                        <w:rPr>
                          <w:rFonts w:cs="Tahoma" w:hint="eastAsia"/>
                          <w:color w:val="0B5294"/>
                          <w:spacing w:val="-4"/>
                          <w:sz w:val="24"/>
                          <w:szCs w:val="24"/>
                          <w:rtl/>
                        </w:rPr>
                        <w:t>לבעיות</w:t>
                      </w:r>
                      <w:r w:rsidRPr="00335CD4">
                        <w:rPr>
                          <w:rFonts w:cs="Tahoma"/>
                          <w:color w:val="0B5294"/>
                          <w:spacing w:val="-4"/>
                          <w:sz w:val="24"/>
                          <w:szCs w:val="24"/>
                          <w:rtl/>
                        </w:rPr>
                        <w:t xml:space="preserve"> </w:t>
                      </w:r>
                      <w:r w:rsidRPr="00335CD4">
                        <w:rPr>
                          <w:rFonts w:cs="Tahoma" w:hint="eastAsia"/>
                          <w:color w:val="0B5294"/>
                          <w:spacing w:val="-4"/>
                          <w:sz w:val="24"/>
                          <w:szCs w:val="24"/>
                          <w:rtl/>
                        </w:rPr>
                        <w:t>הנפשיות</w:t>
                      </w:r>
                      <w:r w:rsidRPr="00335CD4">
                        <w:rPr>
                          <w:rFonts w:cs="Tahoma"/>
                          <w:color w:val="0B5294"/>
                          <w:spacing w:val="-4"/>
                          <w:sz w:val="24"/>
                          <w:szCs w:val="24"/>
                          <w:rtl/>
                        </w:rPr>
                        <w:t xml:space="preserve"> </w:t>
                      </w:r>
                      <w:r w:rsidRPr="00335CD4">
                        <w:rPr>
                          <w:rFonts w:cs="Tahoma" w:hint="eastAsia"/>
                          <w:color w:val="0B5294"/>
                          <w:spacing w:val="-4"/>
                          <w:sz w:val="24"/>
                          <w:szCs w:val="24"/>
                          <w:rtl/>
                        </w:rPr>
                        <w:t>של</w:t>
                      </w:r>
                      <w:r w:rsidRPr="00335CD4">
                        <w:rPr>
                          <w:rFonts w:cs="Tahoma"/>
                          <w:color w:val="0B5294"/>
                          <w:spacing w:val="-4"/>
                          <w:sz w:val="24"/>
                          <w:szCs w:val="24"/>
                          <w:rtl/>
                        </w:rPr>
                        <w:t xml:space="preserve"> </w:t>
                      </w:r>
                      <w:r w:rsidRPr="00335CD4">
                        <w:rPr>
                          <w:rFonts w:cs="Tahoma" w:hint="eastAsia"/>
                          <w:color w:val="0B5294"/>
                          <w:spacing w:val="-4"/>
                          <w:sz w:val="24"/>
                          <w:szCs w:val="24"/>
                          <w:rtl/>
                        </w:rPr>
                        <w:t>חלק</w:t>
                      </w:r>
                      <w:r w:rsidRPr="00335CD4">
                        <w:rPr>
                          <w:rFonts w:cs="Tahoma"/>
                          <w:color w:val="0B5294"/>
                          <w:spacing w:val="-4"/>
                          <w:sz w:val="24"/>
                          <w:szCs w:val="24"/>
                          <w:rtl/>
                        </w:rPr>
                        <w:t xml:space="preserve"> </w:t>
                      </w:r>
                      <w:r w:rsidRPr="00335CD4">
                        <w:rPr>
                          <w:rFonts w:cs="Tahoma" w:hint="eastAsia"/>
                          <w:color w:val="0B5294"/>
                          <w:spacing w:val="-4"/>
                          <w:sz w:val="24"/>
                          <w:szCs w:val="24"/>
                          <w:rtl/>
                        </w:rPr>
                        <w:t>מהלוקים</w:t>
                      </w:r>
                      <w:r w:rsidRPr="00335CD4">
                        <w:rPr>
                          <w:rFonts w:cs="Tahoma"/>
                          <w:color w:val="0B5294"/>
                          <w:spacing w:val="-4"/>
                          <w:sz w:val="24"/>
                          <w:szCs w:val="24"/>
                          <w:rtl/>
                        </w:rPr>
                        <w:t xml:space="preserve"> </w:t>
                      </w:r>
                      <w:r w:rsidRPr="00335CD4">
                        <w:rPr>
                          <w:rFonts w:cs="Tahoma" w:hint="eastAsia"/>
                          <w:color w:val="0B5294"/>
                          <w:spacing w:val="-4"/>
                          <w:sz w:val="24"/>
                          <w:szCs w:val="24"/>
                          <w:rtl/>
                        </w:rPr>
                        <w:t>בתחלואה</w:t>
                      </w:r>
                      <w:r w:rsidRPr="00335CD4">
                        <w:rPr>
                          <w:rFonts w:cs="Tahoma"/>
                          <w:color w:val="0B5294"/>
                          <w:spacing w:val="-4"/>
                          <w:sz w:val="24"/>
                          <w:szCs w:val="24"/>
                          <w:rtl/>
                        </w:rPr>
                        <w:t xml:space="preserve"> </w:t>
                      </w:r>
                      <w:r w:rsidRPr="00335CD4">
                        <w:rPr>
                          <w:rFonts w:cs="Tahoma" w:hint="eastAsia"/>
                          <w:color w:val="0B5294"/>
                          <w:spacing w:val="-4"/>
                          <w:sz w:val="24"/>
                          <w:szCs w:val="24"/>
                          <w:rtl/>
                        </w:rPr>
                        <w:t>כפולה</w:t>
                      </w:r>
                    </w:p>
                    <w:p w:rsidR="00290C9B" w:rsidRPr="00373C5D" w:rsidP="00290C9B">
                      <w:pPr>
                        <w:spacing w:before="120" w:after="0" w:line="240" w:lineRule="atLeast"/>
                        <w:rPr>
                          <w:rFonts w:cs="Tahoma"/>
                          <w:b/>
                          <w:bCs/>
                          <w:color w:val="0B5294"/>
                          <w:sz w:val="48"/>
                          <w:szCs w:val="48"/>
                          <w:rtl/>
                        </w:rPr>
                      </w:pPr>
                      <w:drawing>
                        <wp:inline distT="0" distB="0" distL="0" distR="0">
                          <wp:extent cx="288000" cy="31337"/>
                          <wp:effectExtent l="0" t="0" r="0" b="6985"/>
                          <wp:docPr id="2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68120"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9B6D36" w:rsidRPr="00211D07" w:rsidP="0095721D">
      <w:pPr>
        <w:pStyle w:val="RESHET"/>
        <w:rPr>
          <w:rtl/>
        </w:rPr>
      </w:pPr>
      <w:r w:rsidRPr="00211D07">
        <w:rPr>
          <w:rFonts w:hint="cs"/>
          <w:rtl/>
        </w:rPr>
        <w:t xml:space="preserve">על מנכ"ל משרד הבריאות כמאסדר לנקוט פעולות שיבטיחו מתן </w:t>
      </w:r>
      <w:r w:rsidRPr="00211D07">
        <w:rPr>
          <w:rtl/>
        </w:rPr>
        <w:t xml:space="preserve">טיפול נפשי בקהילה למכורים </w:t>
      </w:r>
      <w:r w:rsidRPr="00211D07">
        <w:rPr>
          <w:rFonts w:hint="cs"/>
          <w:rtl/>
        </w:rPr>
        <w:t xml:space="preserve">ואת </w:t>
      </w:r>
      <w:r w:rsidRPr="00211D07">
        <w:rPr>
          <w:rtl/>
        </w:rPr>
        <w:t>מימוש זכאות</w:t>
      </w:r>
      <w:r w:rsidRPr="00211D07">
        <w:rPr>
          <w:rFonts w:hint="cs"/>
          <w:rtl/>
        </w:rPr>
        <w:t xml:space="preserve">ם ככל שאר המטופלים, </w:t>
      </w:r>
      <w:r w:rsidRPr="00211D07">
        <w:rPr>
          <w:rtl/>
        </w:rPr>
        <w:t>לאבחון ולטיפול בשירותי בריאות הנפש בקהילה</w:t>
      </w:r>
      <w:r w:rsidRPr="00211D07">
        <w:rPr>
          <w:rFonts w:hint="cs"/>
          <w:rtl/>
        </w:rPr>
        <w:t xml:space="preserve">, ועם זאת להבהיר על מי מוטלת האחריות לטיפול במכורים עם תחלואה כפולה. </w:t>
      </w:r>
    </w:p>
    <w:p w:rsidR="009B6D36" w:rsidRPr="00211D07" w:rsidP="00211D07">
      <w:pPr>
        <w:spacing w:line="240" w:lineRule="exact"/>
        <w:ind w:right="2268"/>
        <w:jc w:val="both"/>
        <w:rPr>
          <w:rFonts w:ascii="Tahoma" w:hAnsi="Tahoma" w:cs="Tahoma"/>
          <w:sz w:val="18"/>
          <w:szCs w:val="18"/>
        </w:rPr>
      </w:pPr>
    </w:p>
    <w:p w:rsidR="009B6D36" w:rsidRPr="00211D07" w:rsidP="00211D07">
      <w:pPr>
        <w:spacing w:line="240" w:lineRule="exact"/>
        <w:ind w:right="2268"/>
        <w:jc w:val="both"/>
        <w:rPr>
          <w:rFonts w:ascii="Tahoma" w:hAnsi="Tahoma" w:cs="Tahoma"/>
          <w:sz w:val="18"/>
          <w:szCs w:val="18"/>
          <w:rtl/>
        </w:rPr>
      </w:pPr>
    </w:p>
    <w:p w:rsidR="009B6D36" w:rsidP="00211D07">
      <w:pPr>
        <w:pStyle w:val="KOT4"/>
        <w:rPr>
          <w:rtl/>
        </w:rPr>
      </w:pPr>
      <w:r>
        <w:rPr>
          <w:rFonts w:hint="cs"/>
          <w:rtl/>
        </w:rPr>
        <w:t>הטיפול בנשים מכורות</w:t>
      </w:r>
    </w:p>
    <w:p w:rsidR="009B6D36" w:rsidRPr="00211D07" w:rsidP="00211D07">
      <w:pPr>
        <w:spacing w:line="240" w:lineRule="exact"/>
        <w:ind w:right="2268"/>
        <w:jc w:val="both"/>
        <w:rPr>
          <w:rFonts w:ascii="Tahoma" w:hAnsi="Tahoma" w:cs="Tahoma"/>
          <w:sz w:val="18"/>
          <w:szCs w:val="18"/>
        </w:rPr>
      </w:pPr>
      <w:r w:rsidRPr="00211D07">
        <w:rPr>
          <w:rFonts w:ascii="Tahoma" w:eastAsia="Times New Roman" w:hAnsi="Tahoma" w:cs="Tahoma" w:hint="cs"/>
          <w:sz w:val="18"/>
          <w:szCs w:val="18"/>
          <w:rtl/>
          <w:lang w:eastAsia="he-IL"/>
        </w:rPr>
        <w:t>מרבית הנשים המכורות סבלו בעברן מפגיעות ומניצול מיני, ו</w:t>
      </w:r>
      <w:r w:rsidRPr="00211D07">
        <w:rPr>
          <w:rFonts w:ascii="Tahoma" w:eastAsia="Times New Roman" w:hAnsi="Tahoma" w:cs="Tahoma" w:hint="cs"/>
          <w:b/>
          <w:sz w:val="18"/>
          <w:szCs w:val="18"/>
          <w:rtl/>
        </w:rPr>
        <w:t xml:space="preserve">חלקן עוסקות בזנות. </w:t>
      </w:r>
      <w:r w:rsidRPr="00211D07">
        <w:rPr>
          <w:rFonts w:ascii="Tahoma" w:hAnsi="Tahoma" w:cs="Tahoma" w:hint="cs"/>
          <w:sz w:val="18"/>
          <w:szCs w:val="18"/>
          <w:rtl/>
        </w:rPr>
        <w:t xml:space="preserve">השירות להתמכרויות במשרד הרווחה והמחלקה להתמכרויות במשרד הבריאות המליצו כי הטיפול בנשים מכורות יתקיים במסגרות טיפול ייעודיות נפרדות </w:t>
      </w:r>
      <w:r w:rsidRPr="00211D07">
        <w:rPr>
          <w:rFonts w:ascii="Tahoma" w:eastAsia="Times New Roman" w:hAnsi="Tahoma" w:cs="Tahoma" w:hint="cs"/>
          <w:sz w:val="18"/>
          <w:szCs w:val="18"/>
          <w:rtl/>
          <w:lang w:eastAsia="he-IL"/>
        </w:rPr>
        <w:t>המותאמות לצורכיהן הייחודיים</w:t>
      </w:r>
      <w:r w:rsidRPr="00211D07">
        <w:rPr>
          <w:rFonts w:ascii="Tahoma" w:hAnsi="Tahoma" w:cs="Tahoma" w:hint="cs"/>
          <w:sz w:val="18"/>
          <w:szCs w:val="18"/>
          <w:rtl/>
        </w:rPr>
        <w:t xml:space="preserve">. מסגרות נפרדות יכולות לאפשר את ניתוקן של הנשים </w:t>
      </w:r>
      <w:r w:rsidRPr="00211D07">
        <w:rPr>
          <w:rFonts w:ascii="Tahoma" w:eastAsia="Times New Roman" w:hAnsi="Tahoma" w:cs="Tahoma" w:hint="cs"/>
          <w:b/>
          <w:sz w:val="18"/>
          <w:szCs w:val="18"/>
          <w:rtl/>
        </w:rPr>
        <w:t xml:space="preserve">מהדפוס </w:t>
      </w:r>
      <w:r w:rsidRPr="00211D07">
        <w:rPr>
          <w:rFonts w:ascii="Tahoma" w:eastAsia="Times New Roman" w:hAnsi="Tahoma" w:cs="Tahoma" w:hint="cs"/>
          <w:b/>
          <w:sz w:val="18"/>
          <w:szCs w:val="18"/>
          <w:rtl/>
        </w:rPr>
        <w:t>הקורבני</w:t>
      </w:r>
      <w:r w:rsidRPr="00211D07">
        <w:rPr>
          <w:rFonts w:ascii="Tahoma" w:eastAsia="Times New Roman" w:hAnsi="Tahoma" w:cs="Tahoma" w:hint="cs"/>
          <w:b/>
          <w:sz w:val="18"/>
          <w:szCs w:val="18"/>
          <w:rtl/>
        </w:rPr>
        <w:t xml:space="preserve"> שהתפתח אצלן כתוצאה מהפגיעה בהן בעבר שאינו מתאפשר במסגרות מעורבות.</w:t>
      </w:r>
      <w:r w:rsidRPr="00211D07">
        <w:rPr>
          <w:rFonts w:ascii="Tahoma" w:hAnsi="Tahoma" w:cs="Tahoma" w:hint="cs"/>
          <w:b/>
          <w:bCs/>
          <w:sz w:val="18"/>
          <w:szCs w:val="18"/>
          <w:rtl/>
        </w:rPr>
        <w:t xml:space="preserve"> </w:t>
      </w:r>
    </w:p>
    <w:p w:rsidR="009B6D36" w:rsidRPr="00211D07" w:rsidP="0095721D">
      <w:pPr>
        <w:spacing w:after="240" w:line="240" w:lineRule="exact"/>
        <w:ind w:right="2268"/>
        <w:jc w:val="both"/>
        <w:rPr>
          <w:rFonts w:ascii="Tahoma" w:hAnsi="Tahoma" w:cs="Tahoma"/>
          <w:b/>
          <w:sz w:val="18"/>
          <w:szCs w:val="18"/>
          <w:rtl/>
        </w:rPr>
      </w:pPr>
      <w:r w:rsidRPr="00211D07">
        <w:rPr>
          <w:rStyle w:val="Heading7Char"/>
          <w:rFonts w:ascii="Tahoma" w:hAnsi="Tahoma" w:cs="Tahoma" w:hint="cs"/>
          <w:sz w:val="18"/>
          <w:szCs w:val="18"/>
          <w:rtl/>
        </w:rPr>
        <w:t>משרד הבריאות - היעדר אשפוזיות לגמילה לנשים בוגרות:</w:t>
      </w:r>
      <w:r w:rsidRPr="00211D07">
        <w:rPr>
          <w:rFonts w:ascii="Tahoma" w:hAnsi="Tahoma" w:cs="Tahoma" w:hint="cs"/>
          <w:sz w:val="18"/>
          <w:szCs w:val="18"/>
          <w:rtl/>
        </w:rPr>
        <w:t xml:space="preserve"> כ-390 </w:t>
      </w:r>
      <w:r w:rsidR="0095721D">
        <w:rPr>
          <w:rFonts w:ascii="Tahoma" w:hAnsi="Tahoma" w:cs="Tahoma"/>
          <w:sz w:val="18"/>
          <w:szCs w:val="18"/>
        </w:rPr>
        <w:br/>
      </w:r>
      <w:r w:rsidRPr="00211D07">
        <w:rPr>
          <w:rFonts w:ascii="Tahoma" w:hAnsi="Tahoma" w:cs="Tahoma" w:hint="cs"/>
          <w:sz w:val="18"/>
          <w:szCs w:val="18"/>
          <w:rtl/>
        </w:rPr>
        <w:t xml:space="preserve">מכ-2,500 מכורים שטופלו באשפוזיות </w:t>
      </w:r>
      <w:r w:rsidRPr="00211D07">
        <w:rPr>
          <w:rFonts w:ascii="Tahoma" w:hAnsi="Tahoma" w:cs="Tahoma"/>
          <w:b/>
          <w:sz w:val="18"/>
          <w:szCs w:val="18"/>
          <w:rtl/>
        </w:rPr>
        <w:t>בשנ</w:t>
      </w:r>
      <w:r w:rsidRPr="00211D07">
        <w:rPr>
          <w:rFonts w:ascii="Tahoma" w:hAnsi="Tahoma" w:cs="Tahoma" w:hint="cs"/>
          <w:b/>
          <w:sz w:val="18"/>
          <w:szCs w:val="18"/>
          <w:rtl/>
        </w:rPr>
        <w:t xml:space="preserve">ת 2017 </w:t>
      </w:r>
      <w:r w:rsidRPr="00211D07">
        <w:rPr>
          <w:rFonts w:ascii="Tahoma" w:hAnsi="Tahoma" w:cs="Tahoma" w:hint="cs"/>
          <w:sz w:val="18"/>
          <w:szCs w:val="18"/>
          <w:rtl/>
        </w:rPr>
        <w:t>היו נשים;</w:t>
      </w:r>
      <w:r w:rsidRPr="00211D07">
        <w:rPr>
          <w:rFonts w:ascii="Tahoma" w:hAnsi="Tahoma" w:cs="Tahoma" w:hint="cs"/>
          <w:b/>
          <w:sz w:val="18"/>
          <w:szCs w:val="18"/>
          <w:rtl/>
        </w:rPr>
        <w:t xml:space="preserve"> בביקורת עלה כי אף שמשרד הבריאות </w:t>
      </w:r>
      <w:r w:rsidRPr="00211D07">
        <w:rPr>
          <w:rFonts w:ascii="Tahoma" w:hAnsi="Tahoma" w:cs="Tahoma"/>
          <w:b/>
          <w:sz w:val="18"/>
          <w:szCs w:val="18"/>
          <w:rtl/>
        </w:rPr>
        <w:t>ער ל</w:t>
      </w:r>
      <w:r w:rsidRPr="00211D07">
        <w:rPr>
          <w:rFonts w:ascii="Tahoma" w:hAnsi="Tahoma" w:cs="Tahoma" w:hint="cs"/>
          <w:b/>
          <w:sz w:val="18"/>
          <w:szCs w:val="18"/>
          <w:rtl/>
        </w:rPr>
        <w:t xml:space="preserve">צורך </w:t>
      </w:r>
      <w:r w:rsidRPr="00211D07">
        <w:rPr>
          <w:rFonts w:ascii="Tahoma" w:hAnsi="Tahoma" w:cs="Tahoma"/>
          <w:b/>
          <w:sz w:val="18"/>
          <w:szCs w:val="18"/>
          <w:rtl/>
        </w:rPr>
        <w:t xml:space="preserve">שנשים מכורות </w:t>
      </w:r>
      <w:r w:rsidRPr="00211D07">
        <w:rPr>
          <w:rFonts w:ascii="Tahoma" w:hAnsi="Tahoma" w:cs="Tahoma" w:hint="cs"/>
          <w:b/>
          <w:sz w:val="18"/>
          <w:szCs w:val="18"/>
          <w:rtl/>
        </w:rPr>
        <w:t xml:space="preserve">ישהו </w:t>
      </w:r>
      <w:r w:rsidRPr="00211D07">
        <w:rPr>
          <w:rFonts w:ascii="Tahoma" w:hAnsi="Tahoma" w:cs="Tahoma"/>
          <w:b/>
          <w:sz w:val="18"/>
          <w:szCs w:val="18"/>
          <w:rtl/>
        </w:rPr>
        <w:t>במסגרות</w:t>
      </w:r>
      <w:r w:rsidRPr="00211D07">
        <w:rPr>
          <w:rFonts w:ascii="Tahoma" w:hAnsi="Tahoma" w:cs="Tahoma" w:hint="cs"/>
          <w:b/>
          <w:sz w:val="18"/>
          <w:szCs w:val="18"/>
          <w:rtl/>
        </w:rPr>
        <w:t xml:space="preserve"> נפרדות, </w:t>
      </w:r>
      <w:r w:rsidRPr="00211D07">
        <w:rPr>
          <w:rFonts w:ascii="Tahoma" w:hAnsi="Tahoma" w:cs="Tahoma"/>
          <w:b/>
          <w:sz w:val="18"/>
          <w:szCs w:val="18"/>
          <w:rtl/>
        </w:rPr>
        <w:t xml:space="preserve">עד </w:t>
      </w:r>
      <w:r w:rsidRPr="00211D07">
        <w:rPr>
          <w:rFonts w:ascii="Tahoma" w:hAnsi="Tahoma" w:cs="Tahoma" w:hint="cs"/>
          <w:b/>
          <w:sz w:val="18"/>
          <w:szCs w:val="18"/>
          <w:rtl/>
        </w:rPr>
        <w:t>מועד סיום הביקורת באוגוסט 2018</w:t>
      </w:r>
      <w:r w:rsidRPr="00211D07">
        <w:rPr>
          <w:rFonts w:ascii="Tahoma" w:hAnsi="Tahoma" w:cs="Tahoma"/>
          <w:b/>
          <w:sz w:val="18"/>
          <w:szCs w:val="18"/>
          <w:rtl/>
        </w:rPr>
        <w:t xml:space="preserve"> </w:t>
      </w:r>
      <w:r w:rsidRPr="00211D07">
        <w:rPr>
          <w:rFonts w:ascii="Tahoma" w:hAnsi="Tahoma" w:cs="Tahoma" w:hint="cs"/>
          <w:b/>
          <w:sz w:val="18"/>
          <w:szCs w:val="18"/>
          <w:rtl/>
        </w:rPr>
        <w:t xml:space="preserve">הוא </w:t>
      </w:r>
      <w:r w:rsidRPr="00211D07">
        <w:rPr>
          <w:rFonts w:ascii="Tahoma" w:hAnsi="Tahoma" w:cs="Tahoma"/>
          <w:b/>
          <w:sz w:val="18"/>
          <w:szCs w:val="18"/>
          <w:rtl/>
        </w:rPr>
        <w:t>לא הקים מסגר</w:t>
      </w:r>
      <w:r w:rsidRPr="00211D07">
        <w:rPr>
          <w:rFonts w:ascii="Tahoma" w:hAnsi="Tahoma" w:cs="Tahoma" w:hint="cs"/>
          <w:b/>
          <w:sz w:val="18"/>
          <w:szCs w:val="18"/>
          <w:rtl/>
        </w:rPr>
        <w:t>ו</w:t>
      </w:r>
      <w:r w:rsidRPr="00211D07">
        <w:rPr>
          <w:rFonts w:ascii="Tahoma" w:hAnsi="Tahoma" w:cs="Tahoma"/>
          <w:b/>
          <w:sz w:val="18"/>
          <w:szCs w:val="18"/>
          <w:rtl/>
        </w:rPr>
        <w:t xml:space="preserve">ת </w:t>
      </w:r>
      <w:r w:rsidRPr="00211D07">
        <w:rPr>
          <w:rFonts w:ascii="Tahoma" w:hAnsi="Tahoma" w:cs="Tahoma" w:hint="cs"/>
          <w:b/>
          <w:sz w:val="18"/>
          <w:szCs w:val="18"/>
          <w:rtl/>
        </w:rPr>
        <w:t xml:space="preserve">כאלו </w:t>
      </w:r>
      <w:r w:rsidRPr="00211D07">
        <w:rPr>
          <w:rFonts w:ascii="Tahoma" w:hAnsi="Tahoma" w:cs="Tahoma"/>
          <w:b/>
          <w:sz w:val="18"/>
          <w:szCs w:val="18"/>
          <w:rtl/>
        </w:rPr>
        <w:t xml:space="preserve">לנשים </w:t>
      </w:r>
      <w:r w:rsidRPr="00211D07">
        <w:rPr>
          <w:rFonts w:ascii="Tahoma" w:hAnsi="Tahoma" w:cs="Tahoma" w:hint="cs"/>
          <w:b/>
          <w:sz w:val="18"/>
          <w:szCs w:val="18"/>
          <w:rtl/>
        </w:rPr>
        <w:t>בוגרות</w:t>
      </w:r>
      <w:r>
        <w:rPr>
          <w:rStyle w:val="FootnoteReference0"/>
          <w:rFonts w:ascii="Tahoma" w:hAnsi="Tahoma" w:cs="Tahoma"/>
          <w:b/>
          <w:sz w:val="18"/>
          <w:szCs w:val="18"/>
          <w:rtl/>
        </w:rPr>
        <w:footnoteReference w:id="66"/>
      </w:r>
      <w:r w:rsidRPr="00211D07">
        <w:rPr>
          <w:rFonts w:ascii="Tahoma" w:hAnsi="Tahoma" w:cs="Tahoma"/>
          <w:b/>
          <w:sz w:val="18"/>
          <w:szCs w:val="18"/>
          <w:rtl/>
        </w:rPr>
        <w:t>.</w:t>
      </w:r>
      <w:r w:rsidRPr="00211D07">
        <w:rPr>
          <w:rFonts w:ascii="Tahoma" w:hAnsi="Tahoma" w:cs="Tahoma" w:hint="cs"/>
          <w:b/>
          <w:sz w:val="18"/>
          <w:szCs w:val="18"/>
          <w:rtl/>
        </w:rPr>
        <w:t xml:space="preserve"> בכך נפגעת האפקטיביות של הטיפול בנשים המכורות. </w:t>
      </w:r>
    </w:p>
    <w:p w:rsidR="009B6D36" w:rsidRPr="00211D07" w:rsidP="0095721D">
      <w:pPr>
        <w:pStyle w:val="RESHET"/>
        <w:rPr>
          <w:rtl/>
        </w:rPr>
      </w:pPr>
      <w:r w:rsidRPr="00211D07">
        <w:rPr>
          <w:rFonts w:hint="cs"/>
          <w:rtl/>
        </w:rPr>
        <w:t xml:space="preserve">משרד מבקר המדינה מעיר למשרד הבריאות כי עליו לבחון את הדרכים לארגן את מערך האשפוזיות כך שנשים מכורות יטופלו במסגרות ייעודיות להן. </w:t>
      </w:r>
    </w:p>
    <w:p w:rsidR="009B6D36" w:rsidRPr="00211D07" w:rsidP="0095721D">
      <w:pPr>
        <w:spacing w:before="180" w:line="240" w:lineRule="exact"/>
        <w:ind w:right="2268"/>
        <w:jc w:val="both"/>
        <w:rPr>
          <w:rFonts w:ascii="Tahoma" w:hAnsi="Tahoma" w:cs="Tahoma"/>
          <w:sz w:val="18"/>
          <w:szCs w:val="18"/>
          <w:rtl/>
        </w:rPr>
      </w:pPr>
      <w:r w:rsidRPr="00211D07">
        <w:rPr>
          <w:rFonts w:ascii="Tahoma" w:hAnsi="Tahoma" w:cs="Tahoma"/>
          <w:sz w:val="18"/>
          <w:szCs w:val="18"/>
          <w:rtl/>
        </w:rPr>
        <w:t>בתשובתו</w:t>
      </w:r>
      <w:r w:rsidRPr="00211D07">
        <w:rPr>
          <w:rFonts w:ascii="Tahoma" w:hAnsi="Tahoma" w:cs="Tahoma" w:hint="cs"/>
          <w:sz w:val="18"/>
          <w:szCs w:val="18"/>
          <w:rtl/>
        </w:rPr>
        <w:t xml:space="preserve"> בנוגע לטיפול בנשים מכורות</w:t>
      </w:r>
      <w:r w:rsidRPr="00211D07">
        <w:rPr>
          <w:rFonts w:ascii="Tahoma" w:hAnsi="Tahoma" w:cs="Tahoma"/>
          <w:sz w:val="18"/>
          <w:szCs w:val="18"/>
          <w:rtl/>
        </w:rPr>
        <w:t xml:space="preserve"> ציין משרד הבריאות כי</w:t>
      </w:r>
      <w:r w:rsidRPr="00211D07">
        <w:rPr>
          <w:rFonts w:ascii="Tahoma" w:hAnsi="Tahoma" w:cs="Tahoma" w:hint="cs"/>
          <w:sz w:val="18"/>
          <w:szCs w:val="18"/>
          <w:rtl/>
        </w:rPr>
        <w:t xml:space="preserve"> הוא מבצע "תהליך של רה-ארגון" של שירות האשפוזיות ונושא זה נמצא בתוכנית העבודה לשנת 2019.</w:t>
      </w:r>
    </w:p>
    <w:p w:rsidR="009B6D36" w:rsidRPr="00211D07" w:rsidP="0095721D">
      <w:pPr>
        <w:spacing w:after="240" w:line="240" w:lineRule="exact"/>
        <w:ind w:right="2268"/>
        <w:jc w:val="both"/>
        <w:rPr>
          <w:rFonts w:ascii="Tahoma" w:hAnsi="Tahoma" w:cs="Tahoma"/>
          <w:sz w:val="18"/>
          <w:szCs w:val="18"/>
          <w:rtl/>
        </w:rPr>
      </w:pPr>
      <w:r w:rsidRPr="00211D07">
        <w:rPr>
          <w:rStyle w:val="Heading7Char"/>
          <w:rFonts w:ascii="Tahoma" w:hAnsi="Tahoma" w:cs="Tahoma" w:hint="cs"/>
          <w:sz w:val="18"/>
          <w:szCs w:val="18"/>
          <w:rtl/>
        </w:rPr>
        <w:t>משרד הרווחה - מחסור במסגרות ייעודיות לנשים</w:t>
      </w:r>
      <w:r w:rsidRPr="00211D07">
        <w:rPr>
          <w:rStyle w:val="Heading5Char"/>
          <w:rFonts w:ascii="Tahoma" w:hAnsi="Tahoma" w:cs="Tahoma" w:hint="cs"/>
          <w:sz w:val="18"/>
          <w:szCs w:val="18"/>
          <w:rtl/>
        </w:rPr>
        <w:t xml:space="preserve">: </w:t>
      </w:r>
      <w:r w:rsidRPr="00211D07">
        <w:rPr>
          <w:rFonts w:ascii="Tahoma" w:hAnsi="Tahoma" w:cs="Tahoma" w:hint="cs"/>
          <w:sz w:val="18"/>
          <w:szCs w:val="18"/>
          <w:rtl/>
        </w:rPr>
        <w:t xml:space="preserve">על הצורך במסגרות ייעודיות נפרדות לנשים עמד כאמור גם משרד הרווחה. בתחילת שנת 2017 הוא גיבש מסמך מדיניות, ובו הציע סל מענים לטיפול בנשים מכורות. הסל כולל למשל: מרכזי אבחון וטיפול, דירות מעבר, </w:t>
      </w:r>
      <w:r w:rsidRPr="00211D07">
        <w:rPr>
          <w:rFonts w:ascii="Tahoma" w:hAnsi="Tahoma" w:cs="Tahoma" w:hint="cs"/>
          <w:sz w:val="18"/>
          <w:szCs w:val="18"/>
          <w:rtl/>
        </w:rPr>
        <w:t>תוכניות</w:t>
      </w:r>
      <w:r w:rsidRPr="00211D07">
        <w:rPr>
          <w:rFonts w:ascii="Tahoma" w:hAnsi="Tahoma" w:cs="Tahoma" w:hint="cs"/>
          <w:sz w:val="18"/>
          <w:szCs w:val="18"/>
          <w:rtl/>
        </w:rPr>
        <w:t xml:space="preserve"> של תעסוקה והשכלה ועוד. </w:t>
      </w:r>
      <w:r w:rsidRPr="00211D07">
        <w:rPr>
          <w:rFonts w:ascii="Tahoma" w:hAnsi="Tahoma" w:cs="Tahoma" w:hint="cs"/>
          <w:sz w:val="18"/>
          <w:szCs w:val="18"/>
          <w:rtl/>
        </w:rPr>
        <w:t xml:space="preserve">אשר לצורך במסגרות ייעודיות - במהלך הביקורת ציין מנהל </w:t>
      </w:r>
      <w:r w:rsidRPr="00211D07">
        <w:rPr>
          <w:rFonts w:ascii="Tahoma" w:hAnsi="Tahoma" w:cs="Tahoma"/>
          <w:sz w:val="18"/>
          <w:szCs w:val="18"/>
          <w:rtl/>
        </w:rPr>
        <w:t>השירות להתמכרויות</w:t>
      </w:r>
      <w:r w:rsidRPr="00211D07">
        <w:rPr>
          <w:rFonts w:ascii="Tahoma" w:hAnsi="Tahoma" w:cs="Tahoma" w:hint="cs"/>
          <w:sz w:val="18"/>
          <w:szCs w:val="18"/>
          <w:rtl/>
        </w:rPr>
        <w:t xml:space="preserve"> במשרד הרווחה לפני משרד מבקר המדינה, כי קיים מחסור חמור במסגרות טיפול נפרדות המיועדות לנשים, ולכן נשים מכורות רבות אינן מקבלות טיפול. בתחשיב שערך השירות ביולי 2016 הוא העריך כי העלות השנתית של המענים הנדרשים לשירות לטיפול בנשים מכורות היא כ-103 מיליון ש"ח. במסגרת התוספת התקציבית האמורה לשנים 2018-2017 שקיבל משרד הרווחה לחלוקה לרשויות מקומיות על בסיס קריטריונים, בעבור הקמתן והפעלתן של מסגרות חדשות והרחבתן של מסגרות קיימות בקהילה, ייעד השירות כ-2.4 מיליון ש"ח ל-11 מרכזי </w:t>
      </w:r>
      <w:r w:rsidRPr="00211D07">
        <w:rPr>
          <w:rFonts w:ascii="Tahoma" w:hAnsi="Tahoma" w:cs="Tahoma" w:hint="cs"/>
          <w:sz w:val="18"/>
          <w:szCs w:val="18"/>
          <w:rtl/>
        </w:rPr>
        <w:t>מטר"א</w:t>
      </w:r>
      <w:r>
        <w:rPr>
          <w:rStyle w:val="FootnoteReference0"/>
          <w:rFonts w:ascii="Tahoma" w:hAnsi="Tahoma" w:cs="Tahoma"/>
          <w:sz w:val="18"/>
          <w:szCs w:val="18"/>
          <w:rtl/>
        </w:rPr>
        <w:footnoteReference w:id="67"/>
      </w:r>
      <w:r w:rsidRPr="00211D07">
        <w:rPr>
          <w:rFonts w:ascii="Tahoma" w:hAnsi="Tahoma" w:cs="Tahoma" w:hint="cs"/>
          <w:sz w:val="18"/>
          <w:szCs w:val="18"/>
          <w:rtl/>
        </w:rPr>
        <w:t xml:space="preserve"> לטיפול בנשים בקהילה</w:t>
      </w:r>
      <w:r>
        <w:rPr>
          <w:rFonts w:ascii="Tahoma" w:hAnsi="Tahoma" w:cs="Tahoma"/>
          <w:sz w:val="18"/>
          <w:szCs w:val="18"/>
          <w:vertAlign w:val="superscript"/>
          <w:rtl/>
        </w:rPr>
        <w:footnoteReference w:id="68"/>
      </w:r>
      <w:r w:rsidRPr="00211D07">
        <w:rPr>
          <w:rFonts w:ascii="Tahoma" w:hAnsi="Tahoma" w:cs="Tahoma" w:hint="cs"/>
          <w:sz w:val="18"/>
          <w:szCs w:val="18"/>
          <w:rtl/>
        </w:rPr>
        <w:t>.</w:t>
      </w:r>
    </w:p>
    <w:p w:rsidR="009B6D36" w:rsidRPr="00211D07" w:rsidP="0095721D">
      <w:pPr>
        <w:pStyle w:val="RESHET"/>
        <w:rPr>
          <w:rtl/>
        </w:rPr>
      </w:pPr>
      <w:r w:rsidRPr="00211D07">
        <w:rPr>
          <w:rFonts w:hint="cs"/>
          <w:rtl/>
        </w:rPr>
        <w:t>מהביקורת עולה כי</w:t>
      </w:r>
      <w:r w:rsidRPr="00211D07">
        <w:rPr>
          <w:rtl/>
        </w:rPr>
        <w:t xml:space="preserve"> </w:t>
      </w:r>
      <w:r w:rsidRPr="00211D07">
        <w:rPr>
          <w:rFonts w:hint="cs"/>
          <w:rtl/>
        </w:rPr>
        <w:t xml:space="preserve">עד </w:t>
      </w:r>
      <w:r w:rsidRPr="00211D07">
        <w:rPr>
          <w:rtl/>
        </w:rPr>
        <w:t xml:space="preserve">יולי 2018 </w:t>
      </w:r>
      <w:r w:rsidRPr="00211D07">
        <w:rPr>
          <w:rFonts w:hint="cs"/>
          <w:rtl/>
        </w:rPr>
        <w:t xml:space="preserve">העביר </w:t>
      </w:r>
      <w:r w:rsidRPr="00211D07">
        <w:rPr>
          <w:rtl/>
        </w:rPr>
        <w:t>השירות להתמכרויות</w:t>
      </w:r>
      <w:r w:rsidRPr="00211D07">
        <w:rPr>
          <w:rFonts w:hint="cs"/>
          <w:rtl/>
        </w:rPr>
        <w:t xml:space="preserve"> לרשויות המקומיות כ-350,000 ש"ח בלבד בעבור שני מרכזי </w:t>
      </w:r>
      <w:r w:rsidRPr="00211D07">
        <w:rPr>
          <w:rFonts w:hint="cs"/>
          <w:rtl/>
        </w:rPr>
        <w:t>מטר"א</w:t>
      </w:r>
      <w:r w:rsidRPr="00211D07">
        <w:rPr>
          <w:rFonts w:hint="cs"/>
          <w:rtl/>
        </w:rPr>
        <w:t xml:space="preserve"> לטיפול בנשים בקהילה. </w:t>
      </w:r>
    </w:p>
    <w:p w:rsidR="009B6D36" w:rsidRPr="00211D07" w:rsidP="0095721D">
      <w:pPr>
        <w:spacing w:before="180" w:after="240" w:line="240" w:lineRule="exact"/>
        <w:ind w:right="2268"/>
        <w:jc w:val="both"/>
        <w:rPr>
          <w:rFonts w:ascii="Tahoma" w:hAnsi="Tahoma" w:cs="Tahoma"/>
          <w:sz w:val="18"/>
          <w:szCs w:val="18"/>
          <w:rtl/>
        </w:rPr>
      </w:pPr>
      <w:r w:rsidRPr="00211D07">
        <w:rPr>
          <w:rFonts w:ascii="Tahoma" w:hAnsi="Tahoma" w:cs="Tahoma"/>
          <w:sz w:val="18"/>
          <w:szCs w:val="18"/>
          <w:rtl/>
        </w:rPr>
        <w:t xml:space="preserve">בתשובתו </w:t>
      </w:r>
      <w:r w:rsidRPr="00211D07">
        <w:rPr>
          <w:rFonts w:ascii="Tahoma" w:hAnsi="Tahoma" w:cs="Tahoma" w:hint="cs"/>
          <w:sz w:val="18"/>
          <w:szCs w:val="18"/>
          <w:rtl/>
        </w:rPr>
        <w:t xml:space="preserve">מנובמבר 2018 </w:t>
      </w:r>
      <w:r w:rsidRPr="00211D07">
        <w:rPr>
          <w:rFonts w:ascii="Tahoma" w:hAnsi="Tahoma" w:cs="Tahoma"/>
          <w:sz w:val="18"/>
          <w:szCs w:val="18"/>
          <w:rtl/>
        </w:rPr>
        <w:t>ציין משרד הרווחה כי</w:t>
      </w:r>
      <w:r w:rsidRPr="00211D07">
        <w:rPr>
          <w:rFonts w:ascii="Tahoma" w:hAnsi="Tahoma" w:cs="Tahoma" w:hint="cs"/>
          <w:sz w:val="18"/>
          <w:szCs w:val="18"/>
          <w:rtl/>
        </w:rPr>
        <w:t xml:space="preserve"> עד כה הקצה תקציב להקמת ארבעה מרכזי </w:t>
      </w:r>
      <w:r w:rsidRPr="00211D07">
        <w:rPr>
          <w:rFonts w:ascii="Tahoma" w:hAnsi="Tahoma" w:cs="Tahoma" w:hint="cs"/>
          <w:sz w:val="18"/>
          <w:szCs w:val="18"/>
          <w:rtl/>
        </w:rPr>
        <w:t>מטר"א</w:t>
      </w:r>
      <w:r w:rsidRPr="00211D07">
        <w:rPr>
          <w:rFonts w:ascii="Tahoma" w:hAnsi="Tahoma" w:cs="Tahoma" w:hint="cs"/>
          <w:sz w:val="18"/>
          <w:szCs w:val="18"/>
          <w:rtl/>
        </w:rPr>
        <w:t xml:space="preserve"> מתוך 11 המתוכננים העתידים להיפתח בחודשים הקרובים. עוד ציין המשרד כי מאחר שתהליך ההקצאה הינו על פי קריטריונים, חלק מהרשויות שפנה אליהן שבהן אין שירותים בתחום ההתמכרויות כלל, "אינן מעוניינות בשלב ראשון בהפעלת שירות בתחום הטיפול בנשים מכורות (שירות שנדרש מאד בערים הגדולות והבינוניות) ולכן תהליך ההקצאה של מסגרות לטיפול בנשים איטי. השירות פועל להשלמת תהליך ההקצאה בנושא זה".</w:t>
      </w:r>
    </w:p>
    <w:p w:rsidR="009B6D36" w:rsidRPr="00211D07" w:rsidP="00335CD4">
      <w:pPr>
        <w:pStyle w:val="RESHET"/>
        <w:rPr>
          <w:rtl/>
        </w:rPr>
      </w:pPr>
      <w:r w:rsidRPr="00211D07">
        <w:rPr>
          <w:rFonts w:hint="cs"/>
          <w:rtl/>
        </w:rPr>
        <w:t xml:space="preserve">משרד מבקר המדינה רואה בחיוב את הקמתם של ארבעה מרכזי </w:t>
      </w:r>
      <w:r w:rsidRPr="00211D07">
        <w:rPr>
          <w:rFonts w:hint="cs"/>
          <w:rtl/>
        </w:rPr>
        <w:t>מטר"א</w:t>
      </w:r>
      <w:r w:rsidRPr="00211D07">
        <w:rPr>
          <w:rFonts w:hint="cs"/>
          <w:rtl/>
        </w:rPr>
        <w:t xml:space="preserve"> חדשים, אולם אין די בהקמתם של ארבעה מתוך 11 מרכזים שמשרד הרווחה ייעד להם תקציב </w:t>
      </w:r>
      <w:r w:rsidRPr="00211D07">
        <w:rPr>
          <w:rtl/>
        </w:rPr>
        <w:t>לשנים 2018-2017</w:t>
      </w:r>
      <w:r w:rsidRPr="00211D07">
        <w:rPr>
          <w:rFonts w:hint="cs"/>
          <w:rtl/>
        </w:rPr>
        <w:t xml:space="preserve">. נוכח המחסור במסגרות ייעודיות לטיפול בנשים מכורות שעליו הצביע משרד הרווחה במסמך המדיניות שלו, על מנכ"ל משרד הרווחה לקבוע </w:t>
      </w:r>
      <w:r w:rsidRPr="00211D07">
        <w:rPr>
          <w:rFonts w:hint="cs"/>
          <w:rtl/>
        </w:rPr>
        <w:t>תוכנית</w:t>
      </w:r>
      <w:r w:rsidRPr="00211D07">
        <w:rPr>
          <w:rFonts w:hint="cs"/>
          <w:rtl/>
        </w:rPr>
        <w:t xml:space="preserve"> עבודה רב-שנתית מדורגת המתבססת על זיהוי סדרי העדיפויות, כדי לפעול בדחיפות להקמת מסגרות הטיפול הנדרשות לשיקום נשים מכורות </w:t>
      </w:r>
      <w:r w:rsidRPr="00211D07">
        <w:rPr>
          <w:rtl/>
        </w:rPr>
        <w:t>תוך ניצול התקציב שיועד למטרה חשובה זו</w:t>
      </w:r>
      <w:r w:rsidRPr="00211D07">
        <w:rPr>
          <w:rFonts w:hint="cs"/>
          <w:rtl/>
        </w:rPr>
        <w:t xml:space="preserve">. </w:t>
      </w:r>
      <w:r w:rsidRPr="0012789B" w:rsidR="00290C9B">
        <w:rPr>
          <w:noProof/>
          <w:szCs w:val="17"/>
          <w:rtl/>
          <w:lang w:eastAsia="en-US"/>
        </w:rPr>
        <mc:AlternateContent>
          <mc:Choice Requires="wps">
            <w:drawing>
              <wp:anchor distT="0" distB="0" distL="114300" distR="114300" simplePos="0" relativeHeight="251664384" behindDoc="1" locked="0" layoutInCell="1" allowOverlap="1">
                <wp:simplePos x="0" y="0"/>
                <wp:positionH relativeFrom="margin">
                  <wp:posOffset>-431800</wp:posOffset>
                </wp:positionH>
                <wp:positionV relativeFrom="margin">
                  <wp:align>top</wp:align>
                </wp:positionV>
                <wp:extent cx="1620000" cy="4140000"/>
                <wp:effectExtent l="0" t="0" r="0" b="0"/>
                <wp:wrapNone/>
                <wp:docPr id="21"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290C9B" w:rsidRPr="00373C5D" w:rsidP="00290C9B">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99102574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690340"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290C9B" w:rsidRPr="00881D99" w:rsidP="00290C9B">
                            <w:pPr>
                              <w:spacing w:after="0" w:line="240" w:lineRule="auto"/>
                              <w:rPr>
                                <w:color w:val="0B5294"/>
                                <w:spacing w:val="-4"/>
                                <w:sz w:val="24"/>
                                <w:szCs w:val="24"/>
                                <w:rtl/>
                                <w:cs/>
                              </w:rPr>
                            </w:pPr>
                            <w:r w:rsidRPr="00335CD4">
                              <w:rPr>
                                <w:rFonts w:cs="Tahoma" w:hint="eastAsia"/>
                                <w:color w:val="0B5294"/>
                                <w:spacing w:val="-4"/>
                                <w:sz w:val="24"/>
                                <w:szCs w:val="24"/>
                                <w:rtl/>
                              </w:rPr>
                              <w:t>על</w:t>
                            </w:r>
                            <w:r w:rsidRPr="00335CD4">
                              <w:rPr>
                                <w:rFonts w:cs="Tahoma"/>
                                <w:color w:val="0B5294"/>
                                <w:spacing w:val="-4"/>
                                <w:sz w:val="24"/>
                                <w:szCs w:val="24"/>
                                <w:rtl/>
                              </w:rPr>
                              <w:t xml:space="preserve"> </w:t>
                            </w:r>
                            <w:r w:rsidRPr="00335CD4">
                              <w:rPr>
                                <w:rFonts w:cs="Tahoma" w:hint="eastAsia"/>
                                <w:color w:val="0B5294"/>
                                <w:spacing w:val="-4"/>
                                <w:sz w:val="24"/>
                                <w:szCs w:val="24"/>
                                <w:rtl/>
                              </w:rPr>
                              <w:t>מנכ</w:t>
                            </w:r>
                            <w:r w:rsidRPr="00335CD4">
                              <w:rPr>
                                <w:rFonts w:cs="Tahoma"/>
                                <w:color w:val="0B5294"/>
                                <w:spacing w:val="-4"/>
                                <w:sz w:val="24"/>
                                <w:szCs w:val="24"/>
                                <w:rtl/>
                              </w:rPr>
                              <w:t>"</w:t>
                            </w:r>
                            <w:r w:rsidRPr="00335CD4">
                              <w:rPr>
                                <w:rFonts w:cs="Tahoma" w:hint="eastAsia"/>
                                <w:color w:val="0B5294"/>
                                <w:spacing w:val="-4"/>
                                <w:sz w:val="24"/>
                                <w:szCs w:val="24"/>
                                <w:rtl/>
                              </w:rPr>
                              <w:t>ל</w:t>
                            </w:r>
                            <w:r w:rsidRPr="00335CD4">
                              <w:rPr>
                                <w:rFonts w:cs="Tahoma"/>
                                <w:color w:val="0B5294"/>
                                <w:spacing w:val="-4"/>
                                <w:sz w:val="24"/>
                                <w:szCs w:val="24"/>
                                <w:rtl/>
                              </w:rPr>
                              <w:t xml:space="preserve"> </w:t>
                            </w:r>
                            <w:r w:rsidRPr="00335CD4">
                              <w:rPr>
                                <w:rFonts w:cs="Tahoma" w:hint="eastAsia"/>
                                <w:color w:val="0B5294"/>
                                <w:spacing w:val="-4"/>
                                <w:sz w:val="24"/>
                                <w:szCs w:val="24"/>
                                <w:rtl/>
                              </w:rPr>
                              <w:t>משרד</w:t>
                            </w:r>
                            <w:r w:rsidRPr="00335CD4">
                              <w:rPr>
                                <w:rFonts w:cs="Tahoma"/>
                                <w:color w:val="0B5294"/>
                                <w:spacing w:val="-4"/>
                                <w:sz w:val="24"/>
                                <w:szCs w:val="24"/>
                                <w:rtl/>
                              </w:rPr>
                              <w:t xml:space="preserve"> </w:t>
                            </w:r>
                            <w:r w:rsidRPr="00335CD4">
                              <w:rPr>
                                <w:rFonts w:cs="Tahoma" w:hint="eastAsia"/>
                                <w:color w:val="0B5294"/>
                                <w:spacing w:val="-4"/>
                                <w:sz w:val="24"/>
                                <w:szCs w:val="24"/>
                                <w:rtl/>
                              </w:rPr>
                              <w:t>הרווחה</w:t>
                            </w:r>
                            <w:r w:rsidRPr="00335CD4">
                              <w:rPr>
                                <w:rFonts w:cs="Tahoma"/>
                                <w:color w:val="0B5294"/>
                                <w:spacing w:val="-4"/>
                                <w:sz w:val="24"/>
                                <w:szCs w:val="24"/>
                                <w:rtl/>
                              </w:rPr>
                              <w:t xml:space="preserve"> </w:t>
                            </w:r>
                            <w:r w:rsidRPr="00335CD4">
                              <w:rPr>
                                <w:rFonts w:cs="Tahoma" w:hint="eastAsia"/>
                                <w:color w:val="0B5294"/>
                                <w:spacing w:val="-4"/>
                                <w:sz w:val="24"/>
                                <w:szCs w:val="24"/>
                                <w:rtl/>
                              </w:rPr>
                              <w:t>לקבוע</w:t>
                            </w:r>
                            <w:r w:rsidRPr="00335CD4">
                              <w:rPr>
                                <w:rFonts w:cs="Tahoma"/>
                                <w:color w:val="0B5294"/>
                                <w:spacing w:val="-4"/>
                                <w:sz w:val="24"/>
                                <w:szCs w:val="24"/>
                                <w:rtl/>
                              </w:rPr>
                              <w:t xml:space="preserve"> </w:t>
                            </w:r>
                            <w:r w:rsidRPr="00335CD4">
                              <w:rPr>
                                <w:rFonts w:cs="Tahoma" w:hint="eastAsia"/>
                                <w:color w:val="0B5294"/>
                                <w:spacing w:val="-4"/>
                                <w:sz w:val="24"/>
                                <w:szCs w:val="24"/>
                                <w:rtl/>
                              </w:rPr>
                              <w:t>תוכנית</w:t>
                            </w:r>
                            <w:r w:rsidRPr="00335CD4">
                              <w:rPr>
                                <w:rFonts w:cs="Tahoma"/>
                                <w:color w:val="0B5294"/>
                                <w:spacing w:val="-4"/>
                                <w:sz w:val="24"/>
                                <w:szCs w:val="24"/>
                                <w:rtl/>
                              </w:rPr>
                              <w:t xml:space="preserve"> </w:t>
                            </w:r>
                            <w:r w:rsidRPr="00335CD4">
                              <w:rPr>
                                <w:rFonts w:cs="Tahoma" w:hint="eastAsia"/>
                                <w:color w:val="0B5294"/>
                                <w:spacing w:val="-4"/>
                                <w:sz w:val="24"/>
                                <w:szCs w:val="24"/>
                                <w:rtl/>
                              </w:rPr>
                              <w:t>עבודה</w:t>
                            </w:r>
                            <w:r w:rsidRPr="00335CD4">
                              <w:rPr>
                                <w:rFonts w:cs="Tahoma"/>
                                <w:color w:val="0B5294"/>
                                <w:spacing w:val="-4"/>
                                <w:sz w:val="24"/>
                                <w:szCs w:val="24"/>
                                <w:rtl/>
                              </w:rPr>
                              <w:t xml:space="preserve"> </w:t>
                            </w:r>
                            <w:r w:rsidRPr="00335CD4">
                              <w:rPr>
                                <w:rFonts w:cs="Tahoma" w:hint="eastAsia"/>
                                <w:color w:val="0B5294"/>
                                <w:spacing w:val="-4"/>
                                <w:sz w:val="24"/>
                                <w:szCs w:val="24"/>
                                <w:rtl/>
                              </w:rPr>
                              <w:t>רב</w:t>
                            </w:r>
                            <w:r w:rsidRPr="00335CD4">
                              <w:rPr>
                                <w:rFonts w:cs="Tahoma"/>
                                <w:color w:val="0B5294"/>
                                <w:spacing w:val="-4"/>
                                <w:sz w:val="24"/>
                                <w:szCs w:val="24"/>
                                <w:rtl/>
                              </w:rPr>
                              <w:t>-</w:t>
                            </w:r>
                            <w:r w:rsidRPr="00335CD4">
                              <w:rPr>
                                <w:rFonts w:cs="Tahoma" w:hint="eastAsia"/>
                                <w:color w:val="0B5294"/>
                                <w:spacing w:val="-4"/>
                                <w:sz w:val="24"/>
                                <w:szCs w:val="24"/>
                                <w:rtl/>
                              </w:rPr>
                              <w:t>שנתית</w:t>
                            </w:r>
                            <w:r w:rsidRPr="00335CD4">
                              <w:rPr>
                                <w:rFonts w:cs="Tahoma"/>
                                <w:color w:val="0B5294"/>
                                <w:spacing w:val="-4"/>
                                <w:sz w:val="24"/>
                                <w:szCs w:val="24"/>
                                <w:rtl/>
                              </w:rPr>
                              <w:t xml:space="preserve"> </w:t>
                            </w:r>
                            <w:r w:rsidRPr="00335CD4">
                              <w:rPr>
                                <w:rFonts w:cs="Tahoma" w:hint="eastAsia"/>
                                <w:color w:val="0B5294"/>
                                <w:spacing w:val="-4"/>
                                <w:sz w:val="24"/>
                                <w:szCs w:val="24"/>
                                <w:rtl/>
                              </w:rPr>
                              <w:t>מדורגת</w:t>
                            </w:r>
                            <w:r w:rsidRPr="00335CD4">
                              <w:rPr>
                                <w:rFonts w:cs="Tahoma"/>
                                <w:color w:val="0B5294"/>
                                <w:spacing w:val="-4"/>
                                <w:sz w:val="24"/>
                                <w:szCs w:val="24"/>
                                <w:rtl/>
                              </w:rPr>
                              <w:t xml:space="preserve">, </w:t>
                            </w:r>
                            <w:r w:rsidRPr="00335CD4">
                              <w:rPr>
                                <w:rFonts w:cs="Tahoma" w:hint="eastAsia"/>
                                <w:color w:val="0B5294"/>
                                <w:spacing w:val="-4"/>
                                <w:sz w:val="24"/>
                                <w:szCs w:val="24"/>
                                <w:rtl/>
                              </w:rPr>
                              <w:t>כדי</w:t>
                            </w:r>
                            <w:r w:rsidRPr="00335CD4">
                              <w:rPr>
                                <w:rFonts w:cs="Tahoma"/>
                                <w:color w:val="0B5294"/>
                                <w:spacing w:val="-4"/>
                                <w:sz w:val="24"/>
                                <w:szCs w:val="24"/>
                                <w:rtl/>
                              </w:rPr>
                              <w:t xml:space="preserve"> </w:t>
                            </w:r>
                            <w:r w:rsidRPr="00335CD4">
                              <w:rPr>
                                <w:rFonts w:cs="Tahoma" w:hint="eastAsia"/>
                                <w:color w:val="0B5294"/>
                                <w:spacing w:val="-4"/>
                                <w:sz w:val="24"/>
                                <w:szCs w:val="24"/>
                                <w:rtl/>
                              </w:rPr>
                              <w:t>לפעול</w:t>
                            </w:r>
                            <w:r w:rsidRPr="00335CD4">
                              <w:rPr>
                                <w:rFonts w:cs="Tahoma"/>
                                <w:color w:val="0B5294"/>
                                <w:spacing w:val="-4"/>
                                <w:sz w:val="24"/>
                                <w:szCs w:val="24"/>
                                <w:rtl/>
                              </w:rPr>
                              <w:t xml:space="preserve"> </w:t>
                            </w:r>
                            <w:r w:rsidRPr="00335CD4">
                              <w:rPr>
                                <w:rFonts w:cs="Tahoma" w:hint="eastAsia"/>
                                <w:color w:val="0B5294"/>
                                <w:spacing w:val="-4"/>
                                <w:sz w:val="24"/>
                                <w:szCs w:val="24"/>
                                <w:rtl/>
                              </w:rPr>
                              <w:t>בדחיפות</w:t>
                            </w:r>
                            <w:r w:rsidRPr="00335CD4">
                              <w:rPr>
                                <w:rFonts w:cs="Tahoma"/>
                                <w:color w:val="0B5294"/>
                                <w:spacing w:val="-4"/>
                                <w:sz w:val="24"/>
                                <w:szCs w:val="24"/>
                                <w:rtl/>
                              </w:rPr>
                              <w:t xml:space="preserve"> </w:t>
                            </w:r>
                            <w:r w:rsidRPr="00335CD4">
                              <w:rPr>
                                <w:rFonts w:cs="Tahoma" w:hint="eastAsia"/>
                                <w:color w:val="0B5294"/>
                                <w:spacing w:val="-4"/>
                                <w:sz w:val="24"/>
                                <w:szCs w:val="24"/>
                                <w:rtl/>
                              </w:rPr>
                              <w:t>להקמת</w:t>
                            </w:r>
                            <w:r w:rsidRPr="00335CD4">
                              <w:rPr>
                                <w:rFonts w:cs="Tahoma"/>
                                <w:color w:val="0B5294"/>
                                <w:spacing w:val="-4"/>
                                <w:sz w:val="24"/>
                                <w:szCs w:val="24"/>
                                <w:rtl/>
                              </w:rPr>
                              <w:t xml:space="preserve"> </w:t>
                            </w:r>
                            <w:r w:rsidRPr="00335CD4">
                              <w:rPr>
                                <w:rFonts w:cs="Tahoma" w:hint="eastAsia"/>
                                <w:color w:val="0B5294"/>
                                <w:spacing w:val="-4"/>
                                <w:sz w:val="24"/>
                                <w:szCs w:val="24"/>
                                <w:rtl/>
                              </w:rPr>
                              <w:t>מסגרות</w:t>
                            </w:r>
                            <w:r w:rsidRPr="00335CD4">
                              <w:rPr>
                                <w:rFonts w:cs="Tahoma"/>
                                <w:color w:val="0B5294"/>
                                <w:spacing w:val="-4"/>
                                <w:sz w:val="24"/>
                                <w:szCs w:val="24"/>
                                <w:rtl/>
                              </w:rPr>
                              <w:t xml:space="preserve"> </w:t>
                            </w:r>
                            <w:r w:rsidRPr="00335CD4">
                              <w:rPr>
                                <w:rFonts w:cs="Tahoma" w:hint="eastAsia"/>
                                <w:color w:val="0B5294"/>
                                <w:spacing w:val="-4"/>
                                <w:sz w:val="24"/>
                                <w:szCs w:val="24"/>
                                <w:rtl/>
                              </w:rPr>
                              <w:t>הטיפול</w:t>
                            </w:r>
                            <w:r w:rsidRPr="00335CD4">
                              <w:rPr>
                                <w:rFonts w:cs="Tahoma"/>
                                <w:color w:val="0B5294"/>
                                <w:spacing w:val="-4"/>
                                <w:sz w:val="24"/>
                                <w:szCs w:val="24"/>
                                <w:rtl/>
                              </w:rPr>
                              <w:t xml:space="preserve"> </w:t>
                            </w:r>
                            <w:r w:rsidRPr="00335CD4">
                              <w:rPr>
                                <w:rFonts w:cs="Tahoma" w:hint="eastAsia"/>
                                <w:color w:val="0B5294"/>
                                <w:spacing w:val="-4"/>
                                <w:sz w:val="24"/>
                                <w:szCs w:val="24"/>
                                <w:rtl/>
                              </w:rPr>
                              <w:t>הנדרשות</w:t>
                            </w:r>
                            <w:r w:rsidRPr="00335CD4">
                              <w:rPr>
                                <w:rFonts w:cs="Tahoma"/>
                                <w:color w:val="0B5294"/>
                                <w:spacing w:val="-4"/>
                                <w:sz w:val="24"/>
                                <w:szCs w:val="24"/>
                                <w:rtl/>
                              </w:rPr>
                              <w:t xml:space="preserve"> </w:t>
                            </w:r>
                            <w:r w:rsidRPr="00335CD4">
                              <w:rPr>
                                <w:rFonts w:cs="Tahoma" w:hint="eastAsia"/>
                                <w:color w:val="0B5294"/>
                                <w:spacing w:val="-4"/>
                                <w:sz w:val="24"/>
                                <w:szCs w:val="24"/>
                                <w:rtl/>
                              </w:rPr>
                              <w:t>לשיקום</w:t>
                            </w:r>
                            <w:r w:rsidRPr="00335CD4">
                              <w:rPr>
                                <w:rFonts w:cs="Tahoma"/>
                                <w:color w:val="0B5294"/>
                                <w:spacing w:val="-4"/>
                                <w:sz w:val="24"/>
                                <w:szCs w:val="24"/>
                                <w:rtl/>
                              </w:rPr>
                              <w:t xml:space="preserve"> </w:t>
                            </w:r>
                            <w:r w:rsidRPr="00335CD4">
                              <w:rPr>
                                <w:rFonts w:cs="Tahoma" w:hint="eastAsia"/>
                                <w:color w:val="0B5294"/>
                                <w:spacing w:val="-4"/>
                                <w:sz w:val="24"/>
                                <w:szCs w:val="24"/>
                                <w:rtl/>
                              </w:rPr>
                              <w:t>נשים</w:t>
                            </w:r>
                            <w:r w:rsidRPr="00335CD4">
                              <w:rPr>
                                <w:rFonts w:cs="Tahoma"/>
                                <w:color w:val="0B5294"/>
                                <w:spacing w:val="-4"/>
                                <w:sz w:val="24"/>
                                <w:szCs w:val="24"/>
                                <w:rtl/>
                              </w:rPr>
                              <w:t xml:space="preserve"> </w:t>
                            </w:r>
                            <w:r w:rsidRPr="00335CD4">
                              <w:rPr>
                                <w:rFonts w:cs="Tahoma" w:hint="eastAsia"/>
                                <w:color w:val="0B5294"/>
                                <w:spacing w:val="-4"/>
                                <w:sz w:val="24"/>
                                <w:szCs w:val="24"/>
                                <w:rtl/>
                              </w:rPr>
                              <w:t>מכורות</w:t>
                            </w:r>
                          </w:p>
                          <w:p w:rsidR="00290C9B" w:rsidRPr="00373C5D" w:rsidP="00290C9B">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88660075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032728"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7"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1072" filled="f" stroked="f">
                <v:textbox>
                  <w:txbxContent>
                    <w:p w:rsidR="00290C9B" w:rsidRPr="00373C5D" w:rsidP="00290C9B">
                      <w:pPr>
                        <w:spacing w:line="240" w:lineRule="atLeast"/>
                        <w:rPr>
                          <w:rFonts w:cs="Tahoma"/>
                          <w:b/>
                          <w:bCs/>
                          <w:color w:val="0B5294"/>
                          <w:sz w:val="48"/>
                          <w:szCs w:val="48"/>
                          <w:rtl/>
                        </w:rPr>
                      </w:pPr>
                      <w:drawing>
                        <wp:inline distT="0" distB="0" distL="0" distR="0">
                          <wp:extent cx="311150" cy="256800"/>
                          <wp:effectExtent l="0" t="0" r="0" b="0"/>
                          <wp:docPr id="2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201160"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290C9B" w:rsidRPr="00881D99" w:rsidP="00290C9B">
                      <w:pPr>
                        <w:spacing w:after="0" w:line="240" w:lineRule="auto"/>
                        <w:rPr>
                          <w:color w:val="0B5294"/>
                          <w:spacing w:val="-4"/>
                          <w:sz w:val="24"/>
                          <w:szCs w:val="24"/>
                          <w:rtl/>
                          <w:cs/>
                        </w:rPr>
                      </w:pPr>
                      <w:r w:rsidRPr="00335CD4">
                        <w:rPr>
                          <w:rFonts w:cs="Tahoma" w:hint="eastAsia"/>
                          <w:color w:val="0B5294"/>
                          <w:spacing w:val="-4"/>
                          <w:sz w:val="24"/>
                          <w:szCs w:val="24"/>
                          <w:rtl/>
                        </w:rPr>
                        <w:t>על</w:t>
                      </w:r>
                      <w:r w:rsidRPr="00335CD4">
                        <w:rPr>
                          <w:rFonts w:cs="Tahoma"/>
                          <w:color w:val="0B5294"/>
                          <w:spacing w:val="-4"/>
                          <w:sz w:val="24"/>
                          <w:szCs w:val="24"/>
                          <w:rtl/>
                        </w:rPr>
                        <w:t xml:space="preserve"> </w:t>
                      </w:r>
                      <w:r w:rsidRPr="00335CD4">
                        <w:rPr>
                          <w:rFonts w:cs="Tahoma" w:hint="eastAsia"/>
                          <w:color w:val="0B5294"/>
                          <w:spacing w:val="-4"/>
                          <w:sz w:val="24"/>
                          <w:szCs w:val="24"/>
                          <w:rtl/>
                        </w:rPr>
                        <w:t>מנכ</w:t>
                      </w:r>
                      <w:r w:rsidRPr="00335CD4">
                        <w:rPr>
                          <w:rFonts w:cs="Tahoma"/>
                          <w:color w:val="0B5294"/>
                          <w:spacing w:val="-4"/>
                          <w:sz w:val="24"/>
                          <w:szCs w:val="24"/>
                          <w:rtl/>
                        </w:rPr>
                        <w:t>"</w:t>
                      </w:r>
                      <w:r w:rsidRPr="00335CD4">
                        <w:rPr>
                          <w:rFonts w:cs="Tahoma" w:hint="eastAsia"/>
                          <w:color w:val="0B5294"/>
                          <w:spacing w:val="-4"/>
                          <w:sz w:val="24"/>
                          <w:szCs w:val="24"/>
                          <w:rtl/>
                        </w:rPr>
                        <w:t>ל</w:t>
                      </w:r>
                      <w:r w:rsidRPr="00335CD4">
                        <w:rPr>
                          <w:rFonts w:cs="Tahoma"/>
                          <w:color w:val="0B5294"/>
                          <w:spacing w:val="-4"/>
                          <w:sz w:val="24"/>
                          <w:szCs w:val="24"/>
                          <w:rtl/>
                        </w:rPr>
                        <w:t xml:space="preserve"> </w:t>
                      </w:r>
                      <w:r w:rsidRPr="00335CD4">
                        <w:rPr>
                          <w:rFonts w:cs="Tahoma" w:hint="eastAsia"/>
                          <w:color w:val="0B5294"/>
                          <w:spacing w:val="-4"/>
                          <w:sz w:val="24"/>
                          <w:szCs w:val="24"/>
                          <w:rtl/>
                        </w:rPr>
                        <w:t>משרד</w:t>
                      </w:r>
                      <w:r w:rsidRPr="00335CD4">
                        <w:rPr>
                          <w:rFonts w:cs="Tahoma"/>
                          <w:color w:val="0B5294"/>
                          <w:spacing w:val="-4"/>
                          <w:sz w:val="24"/>
                          <w:szCs w:val="24"/>
                          <w:rtl/>
                        </w:rPr>
                        <w:t xml:space="preserve"> </w:t>
                      </w:r>
                      <w:r w:rsidRPr="00335CD4">
                        <w:rPr>
                          <w:rFonts w:cs="Tahoma" w:hint="eastAsia"/>
                          <w:color w:val="0B5294"/>
                          <w:spacing w:val="-4"/>
                          <w:sz w:val="24"/>
                          <w:szCs w:val="24"/>
                          <w:rtl/>
                        </w:rPr>
                        <w:t>הרווחה</w:t>
                      </w:r>
                      <w:r w:rsidRPr="00335CD4">
                        <w:rPr>
                          <w:rFonts w:cs="Tahoma"/>
                          <w:color w:val="0B5294"/>
                          <w:spacing w:val="-4"/>
                          <w:sz w:val="24"/>
                          <w:szCs w:val="24"/>
                          <w:rtl/>
                        </w:rPr>
                        <w:t xml:space="preserve"> </w:t>
                      </w:r>
                      <w:r w:rsidRPr="00335CD4">
                        <w:rPr>
                          <w:rFonts w:cs="Tahoma" w:hint="eastAsia"/>
                          <w:color w:val="0B5294"/>
                          <w:spacing w:val="-4"/>
                          <w:sz w:val="24"/>
                          <w:szCs w:val="24"/>
                          <w:rtl/>
                        </w:rPr>
                        <w:t>לקבוע</w:t>
                      </w:r>
                      <w:r w:rsidRPr="00335CD4">
                        <w:rPr>
                          <w:rFonts w:cs="Tahoma"/>
                          <w:color w:val="0B5294"/>
                          <w:spacing w:val="-4"/>
                          <w:sz w:val="24"/>
                          <w:szCs w:val="24"/>
                          <w:rtl/>
                        </w:rPr>
                        <w:t xml:space="preserve"> </w:t>
                      </w:r>
                      <w:r w:rsidRPr="00335CD4">
                        <w:rPr>
                          <w:rFonts w:cs="Tahoma" w:hint="eastAsia"/>
                          <w:color w:val="0B5294"/>
                          <w:spacing w:val="-4"/>
                          <w:sz w:val="24"/>
                          <w:szCs w:val="24"/>
                          <w:rtl/>
                        </w:rPr>
                        <w:t>תוכנית</w:t>
                      </w:r>
                      <w:r w:rsidRPr="00335CD4">
                        <w:rPr>
                          <w:rFonts w:cs="Tahoma"/>
                          <w:color w:val="0B5294"/>
                          <w:spacing w:val="-4"/>
                          <w:sz w:val="24"/>
                          <w:szCs w:val="24"/>
                          <w:rtl/>
                        </w:rPr>
                        <w:t xml:space="preserve"> </w:t>
                      </w:r>
                      <w:r w:rsidRPr="00335CD4">
                        <w:rPr>
                          <w:rFonts w:cs="Tahoma" w:hint="eastAsia"/>
                          <w:color w:val="0B5294"/>
                          <w:spacing w:val="-4"/>
                          <w:sz w:val="24"/>
                          <w:szCs w:val="24"/>
                          <w:rtl/>
                        </w:rPr>
                        <w:t>עבודה</w:t>
                      </w:r>
                      <w:r w:rsidRPr="00335CD4">
                        <w:rPr>
                          <w:rFonts w:cs="Tahoma"/>
                          <w:color w:val="0B5294"/>
                          <w:spacing w:val="-4"/>
                          <w:sz w:val="24"/>
                          <w:szCs w:val="24"/>
                          <w:rtl/>
                        </w:rPr>
                        <w:t xml:space="preserve"> </w:t>
                      </w:r>
                      <w:r w:rsidRPr="00335CD4">
                        <w:rPr>
                          <w:rFonts w:cs="Tahoma" w:hint="eastAsia"/>
                          <w:color w:val="0B5294"/>
                          <w:spacing w:val="-4"/>
                          <w:sz w:val="24"/>
                          <w:szCs w:val="24"/>
                          <w:rtl/>
                        </w:rPr>
                        <w:t>רב</w:t>
                      </w:r>
                      <w:r w:rsidRPr="00335CD4">
                        <w:rPr>
                          <w:rFonts w:cs="Tahoma"/>
                          <w:color w:val="0B5294"/>
                          <w:spacing w:val="-4"/>
                          <w:sz w:val="24"/>
                          <w:szCs w:val="24"/>
                          <w:rtl/>
                        </w:rPr>
                        <w:t>-</w:t>
                      </w:r>
                      <w:r w:rsidRPr="00335CD4">
                        <w:rPr>
                          <w:rFonts w:cs="Tahoma" w:hint="eastAsia"/>
                          <w:color w:val="0B5294"/>
                          <w:spacing w:val="-4"/>
                          <w:sz w:val="24"/>
                          <w:szCs w:val="24"/>
                          <w:rtl/>
                        </w:rPr>
                        <w:t>שנתית</w:t>
                      </w:r>
                      <w:r w:rsidRPr="00335CD4">
                        <w:rPr>
                          <w:rFonts w:cs="Tahoma"/>
                          <w:color w:val="0B5294"/>
                          <w:spacing w:val="-4"/>
                          <w:sz w:val="24"/>
                          <w:szCs w:val="24"/>
                          <w:rtl/>
                        </w:rPr>
                        <w:t xml:space="preserve"> </w:t>
                      </w:r>
                      <w:r w:rsidRPr="00335CD4">
                        <w:rPr>
                          <w:rFonts w:cs="Tahoma" w:hint="eastAsia"/>
                          <w:color w:val="0B5294"/>
                          <w:spacing w:val="-4"/>
                          <w:sz w:val="24"/>
                          <w:szCs w:val="24"/>
                          <w:rtl/>
                        </w:rPr>
                        <w:t>מדורגת</w:t>
                      </w:r>
                      <w:r w:rsidRPr="00335CD4">
                        <w:rPr>
                          <w:rFonts w:cs="Tahoma"/>
                          <w:color w:val="0B5294"/>
                          <w:spacing w:val="-4"/>
                          <w:sz w:val="24"/>
                          <w:szCs w:val="24"/>
                          <w:rtl/>
                        </w:rPr>
                        <w:t xml:space="preserve">, </w:t>
                      </w:r>
                      <w:r w:rsidRPr="00335CD4">
                        <w:rPr>
                          <w:rFonts w:cs="Tahoma" w:hint="eastAsia"/>
                          <w:color w:val="0B5294"/>
                          <w:spacing w:val="-4"/>
                          <w:sz w:val="24"/>
                          <w:szCs w:val="24"/>
                          <w:rtl/>
                        </w:rPr>
                        <w:t>כדי</w:t>
                      </w:r>
                      <w:r w:rsidRPr="00335CD4">
                        <w:rPr>
                          <w:rFonts w:cs="Tahoma"/>
                          <w:color w:val="0B5294"/>
                          <w:spacing w:val="-4"/>
                          <w:sz w:val="24"/>
                          <w:szCs w:val="24"/>
                          <w:rtl/>
                        </w:rPr>
                        <w:t xml:space="preserve"> </w:t>
                      </w:r>
                      <w:r w:rsidRPr="00335CD4">
                        <w:rPr>
                          <w:rFonts w:cs="Tahoma" w:hint="eastAsia"/>
                          <w:color w:val="0B5294"/>
                          <w:spacing w:val="-4"/>
                          <w:sz w:val="24"/>
                          <w:szCs w:val="24"/>
                          <w:rtl/>
                        </w:rPr>
                        <w:t>לפעול</w:t>
                      </w:r>
                      <w:r w:rsidRPr="00335CD4">
                        <w:rPr>
                          <w:rFonts w:cs="Tahoma"/>
                          <w:color w:val="0B5294"/>
                          <w:spacing w:val="-4"/>
                          <w:sz w:val="24"/>
                          <w:szCs w:val="24"/>
                          <w:rtl/>
                        </w:rPr>
                        <w:t xml:space="preserve"> </w:t>
                      </w:r>
                      <w:r w:rsidRPr="00335CD4">
                        <w:rPr>
                          <w:rFonts w:cs="Tahoma" w:hint="eastAsia"/>
                          <w:color w:val="0B5294"/>
                          <w:spacing w:val="-4"/>
                          <w:sz w:val="24"/>
                          <w:szCs w:val="24"/>
                          <w:rtl/>
                        </w:rPr>
                        <w:t>בדחיפות</w:t>
                      </w:r>
                      <w:r w:rsidRPr="00335CD4">
                        <w:rPr>
                          <w:rFonts w:cs="Tahoma"/>
                          <w:color w:val="0B5294"/>
                          <w:spacing w:val="-4"/>
                          <w:sz w:val="24"/>
                          <w:szCs w:val="24"/>
                          <w:rtl/>
                        </w:rPr>
                        <w:t xml:space="preserve"> </w:t>
                      </w:r>
                      <w:r w:rsidRPr="00335CD4">
                        <w:rPr>
                          <w:rFonts w:cs="Tahoma" w:hint="eastAsia"/>
                          <w:color w:val="0B5294"/>
                          <w:spacing w:val="-4"/>
                          <w:sz w:val="24"/>
                          <w:szCs w:val="24"/>
                          <w:rtl/>
                        </w:rPr>
                        <w:t>להקמת</w:t>
                      </w:r>
                      <w:r w:rsidRPr="00335CD4">
                        <w:rPr>
                          <w:rFonts w:cs="Tahoma"/>
                          <w:color w:val="0B5294"/>
                          <w:spacing w:val="-4"/>
                          <w:sz w:val="24"/>
                          <w:szCs w:val="24"/>
                          <w:rtl/>
                        </w:rPr>
                        <w:t xml:space="preserve"> </w:t>
                      </w:r>
                      <w:r w:rsidRPr="00335CD4">
                        <w:rPr>
                          <w:rFonts w:cs="Tahoma" w:hint="eastAsia"/>
                          <w:color w:val="0B5294"/>
                          <w:spacing w:val="-4"/>
                          <w:sz w:val="24"/>
                          <w:szCs w:val="24"/>
                          <w:rtl/>
                        </w:rPr>
                        <w:t>מסגרות</w:t>
                      </w:r>
                      <w:r w:rsidRPr="00335CD4">
                        <w:rPr>
                          <w:rFonts w:cs="Tahoma"/>
                          <w:color w:val="0B5294"/>
                          <w:spacing w:val="-4"/>
                          <w:sz w:val="24"/>
                          <w:szCs w:val="24"/>
                          <w:rtl/>
                        </w:rPr>
                        <w:t xml:space="preserve"> </w:t>
                      </w:r>
                      <w:r w:rsidRPr="00335CD4">
                        <w:rPr>
                          <w:rFonts w:cs="Tahoma" w:hint="eastAsia"/>
                          <w:color w:val="0B5294"/>
                          <w:spacing w:val="-4"/>
                          <w:sz w:val="24"/>
                          <w:szCs w:val="24"/>
                          <w:rtl/>
                        </w:rPr>
                        <w:t>הטיפול</w:t>
                      </w:r>
                      <w:r w:rsidRPr="00335CD4">
                        <w:rPr>
                          <w:rFonts w:cs="Tahoma"/>
                          <w:color w:val="0B5294"/>
                          <w:spacing w:val="-4"/>
                          <w:sz w:val="24"/>
                          <w:szCs w:val="24"/>
                          <w:rtl/>
                        </w:rPr>
                        <w:t xml:space="preserve"> </w:t>
                      </w:r>
                      <w:r w:rsidRPr="00335CD4">
                        <w:rPr>
                          <w:rFonts w:cs="Tahoma" w:hint="eastAsia"/>
                          <w:color w:val="0B5294"/>
                          <w:spacing w:val="-4"/>
                          <w:sz w:val="24"/>
                          <w:szCs w:val="24"/>
                          <w:rtl/>
                        </w:rPr>
                        <w:t>הנדרשות</w:t>
                      </w:r>
                      <w:r w:rsidRPr="00335CD4">
                        <w:rPr>
                          <w:rFonts w:cs="Tahoma"/>
                          <w:color w:val="0B5294"/>
                          <w:spacing w:val="-4"/>
                          <w:sz w:val="24"/>
                          <w:szCs w:val="24"/>
                          <w:rtl/>
                        </w:rPr>
                        <w:t xml:space="preserve"> </w:t>
                      </w:r>
                      <w:r w:rsidRPr="00335CD4">
                        <w:rPr>
                          <w:rFonts w:cs="Tahoma" w:hint="eastAsia"/>
                          <w:color w:val="0B5294"/>
                          <w:spacing w:val="-4"/>
                          <w:sz w:val="24"/>
                          <w:szCs w:val="24"/>
                          <w:rtl/>
                        </w:rPr>
                        <w:t>לשיקום</w:t>
                      </w:r>
                      <w:r w:rsidRPr="00335CD4">
                        <w:rPr>
                          <w:rFonts w:cs="Tahoma"/>
                          <w:color w:val="0B5294"/>
                          <w:spacing w:val="-4"/>
                          <w:sz w:val="24"/>
                          <w:szCs w:val="24"/>
                          <w:rtl/>
                        </w:rPr>
                        <w:t xml:space="preserve"> </w:t>
                      </w:r>
                      <w:r w:rsidRPr="00335CD4">
                        <w:rPr>
                          <w:rFonts w:cs="Tahoma" w:hint="eastAsia"/>
                          <w:color w:val="0B5294"/>
                          <w:spacing w:val="-4"/>
                          <w:sz w:val="24"/>
                          <w:szCs w:val="24"/>
                          <w:rtl/>
                        </w:rPr>
                        <w:t>נשים</w:t>
                      </w:r>
                      <w:r w:rsidRPr="00335CD4">
                        <w:rPr>
                          <w:rFonts w:cs="Tahoma"/>
                          <w:color w:val="0B5294"/>
                          <w:spacing w:val="-4"/>
                          <w:sz w:val="24"/>
                          <w:szCs w:val="24"/>
                          <w:rtl/>
                        </w:rPr>
                        <w:t xml:space="preserve"> </w:t>
                      </w:r>
                      <w:r w:rsidRPr="00335CD4">
                        <w:rPr>
                          <w:rFonts w:cs="Tahoma" w:hint="eastAsia"/>
                          <w:color w:val="0B5294"/>
                          <w:spacing w:val="-4"/>
                          <w:sz w:val="24"/>
                          <w:szCs w:val="24"/>
                          <w:rtl/>
                        </w:rPr>
                        <w:t>מכורות</w:t>
                      </w:r>
                    </w:p>
                    <w:p w:rsidR="00290C9B" w:rsidRPr="00373C5D" w:rsidP="00290C9B">
                      <w:pPr>
                        <w:spacing w:before="120" w:after="0" w:line="240" w:lineRule="atLeast"/>
                        <w:rPr>
                          <w:rFonts w:cs="Tahoma"/>
                          <w:b/>
                          <w:bCs/>
                          <w:color w:val="0B5294"/>
                          <w:sz w:val="48"/>
                          <w:szCs w:val="48"/>
                          <w:rtl/>
                        </w:rPr>
                      </w:pPr>
                      <w:drawing>
                        <wp:inline distT="0" distB="0" distL="0" distR="0">
                          <wp:extent cx="288000" cy="31337"/>
                          <wp:effectExtent l="0" t="0" r="0" b="6985"/>
                          <wp:docPr id="2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452784"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9B6D36" w:rsidRPr="00211D07" w:rsidP="00211D07">
      <w:pPr>
        <w:spacing w:line="240" w:lineRule="exact"/>
        <w:ind w:right="2268"/>
        <w:jc w:val="both"/>
        <w:rPr>
          <w:rFonts w:ascii="Tahoma" w:hAnsi="Tahoma" w:cs="Tahoma"/>
          <w:sz w:val="18"/>
          <w:szCs w:val="18"/>
          <w:rtl/>
        </w:rPr>
      </w:pPr>
    </w:p>
    <w:p w:rsidR="009B6D36" w:rsidRPr="00E93732" w:rsidP="00211D07">
      <w:pPr>
        <w:pStyle w:val="KOT2"/>
        <w:rPr>
          <w:rFonts w:eastAsia="Times New Roman"/>
          <w:rtl/>
        </w:rPr>
      </w:pPr>
      <w:r w:rsidRPr="00E93732">
        <w:rPr>
          <w:rFonts w:eastAsia="Times New Roman" w:hint="cs"/>
          <w:rtl/>
        </w:rPr>
        <w:t>טיפול לקוי של מ</w:t>
      </w:r>
      <w:r>
        <w:rPr>
          <w:rFonts w:eastAsia="Times New Roman" w:hint="cs"/>
          <w:rtl/>
        </w:rPr>
        <w:t>שרד החינוך</w:t>
      </w:r>
      <w:r w:rsidRPr="00A71E44">
        <w:rPr>
          <w:rFonts w:eastAsia="Times New Roman" w:hint="cs"/>
          <w:rtl/>
        </w:rPr>
        <w:t xml:space="preserve"> </w:t>
      </w:r>
      <w:r>
        <w:rPr>
          <w:rFonts w:eastAsia="Times New Roman" w:hint="cs"/>
          <w:rtl/>
        </w:rPr>
        <w:t>ב</w:t>
      </w:r>
      <w:r w:rsidRPr="00E93732">
        <w:rPr>
          <w:rFonts w:eastAsia="Times New Roman" w:hint="cs"/>
          <w:rtl/>
        </w:rPr>
        <w:t xml:space="preserve">מניעת </w:t>
      </w:r>
      <w:r>
        <w:rPr>
          <w:rFonts w:eastAsia="Times New Roman" w:hint="cs"/>
          <w:rtl/>
        </w:rPr>
        <w:t>התמכרויות</w:t>
      </w:r>
    </w:p>
    <w:p w:rsidR="009B6D36" w:rsidRPr="00211D07" w:rsidP="0095721D">
      <w:pPr>
        <w:spacing w:line="230" w:lineRule="exact"/>
        <w:ind w:right="2268"/>
        <w:jc w:val="both"/>
        <w:rPr>
          <w:rFonts w:ascii="Tahoma" w:hAnsi="Tahoma" w:cs="Tahoma"/>
          <w:sz w:val="18"/>
          <w:szCs w:val="18"/>
          <w:rtl/>
        </w:rPr>
      </w:pPr>
      <w:r w:rsidRPr="00211D07">
        <w:rPr>
          <w:rFonts w:ascii="Tahoma" w:hAnsi="Tahoma" w:cs="Tahoma" w:hint="cs"/>
          <w:sz w:val="18"/>
          <w:szCs w:val="18"/>
          <w:rtl/>
        </w:rPr>
        <w:t xml:space="preserve">מהוראות חוק חינוך ממלכתי, התשי"ג-1953 עולה כי </w:t>
      </w:r>
      <w:r w:rsidRPr="00211D07">
        <w:rPr>
          <w:rFonts w:ascii="Tahoma" w:hAnsi="Tahoma" w:cs="Tahoma"/>
          <w:sz w:val="18"/>
          <w:szCs w:val="18"/>
          <w:rtl/>
        </w:rPr>
        <w:t>מערכת החינוך אחראית להתפתחות הרגשית, החברתית והערכית של התלמידים</w:t>
      </w:r>
      <w:r w:rsidRPr="00211D07">
        <w:rPr>
          <w:rFonts w:ascii="Tahoma" w:hAnsi="Tahoma" w:cs="Tahoma" w:hint="cs"/>
          <w:sz w:val="18"/>
          <w:szCs w:val="18"/>
          <w:rtl/>
        </w:rPr>
        <w:t xml:space="preserve"> </w:t>
      </w:r>
      <w:r w:rsidRPr="00211D07">
        <w:rPr>
          <w:rFonts w:ascii="Tahoma" w:hAnsi="Tahoma" w:cs="Tahoma"/>
          <w:sz w:val="18"/>
          <w:szCs w:val="18"/>
          <w:rtl/>
        </w:rPr>
        <w:t>נוסף על אחריותה להתפתחותם הקוגניטיבית ולהרחבת עולם הידע שלהם. החשיפה של התלמידים למצבי חיים מורכבים ולמצבי סיכון</w:t>
      </w:r>
      <w:r>
        <w:rPr>
          <w:rFonts w:ascii="Tahoma" w:eastAsia="Times New Roman" w:hAnsi="Tahoma" w:cs="Tahoma"/>
          <w:sz w:val="18"/>
          <w:szCs w:val="18"/>
          <w:vertAlign w:val="superscript"/>
          <w:rtl/>
          <w:lang w:eastAsia="he-IL"/>
        </w:rPr>
        <w:footnoteReference w:id="69"/>
      </w:r>
      <w:r w:rsidRPr="00211D07">
        <w:rPr>
          <w:rFonts w:ascii="Tahoma" w:hAnsi="Tahoma" w:cs="Tahoma"/>
          <w:sz w:val="18"/>
          <w:szCs w:val="18"/>
          <w:rtl/>
        </w:rPr>
        <w:t xml:space="preserve"> שונים הן באופן ישיר והן באופן עקיף, </w:t>
      </w:r>
      <w:r w:rsidRPr="00211D07">
        <w:rPr>
          <w:rFonts w:ascii="Tahoma" w:hAnsi="Tahoma" w:cs="Tahoma" w:hint="cs"/>
          <w:sz w:val="18"/>
          <w:szCs w:val="18"/>
          <w:rtl/>
        </w:rPr>
        <w:t>גם ב</w:t>
      </w:r>
      <w:r w:rsidRPr="00211D07">
        <w:rPr>
          <w:rFonts w:ascii="Tahoma" w:hAnsi="Tahoma" w:cs="Tahoma"/>
          <w:sz w:val="18"/>
          <w:szCs w:val="18"/>
          <w:rtl/>
        </w:rPr>
        <w:t>אמצעי התקשורת השונים</w:t>
      </w:r>
      <w:r w:rsidRPr="00211D07">
        <w:rPr>
          <w:rFonts w:ascii="Tahoma" w:hAnsi="Tahoma" w:cs="Tahoma" w:hint="cs"/>
          <w:sz w:val="18"/>
          <w:szCs w:val="18"/>
          <w:rtl/>
        </w:rPr>
        <w:t>,</w:t>
      </w:r>
      <w:r w:rsidRPr="00211D07">
        <w:rPr>
          <w:rFonts w:ascii="Tahoma" w:hAnsi="Tahoma" w:cs="Tahoma"/>
          <w:sz w:val="18"/>
          <w:szCs w:val="18"/>
          <w:rtl/>
        </w:rPr>
        <w:t xml:space="preserve"> מחייבת את בית הספר ל</w:t>
      </w:r>
      <w:r w:rsidRPr="00211D07">
        <w:rPr>
          <w:rFonts w:ascii="Tahoma" w:hAnsi="Tahoma" w:cs="Tahoma" w:hint="cs"/>
          <w:sz w:val="18"/>
          <w:szCs w:val="18"/>
          <w:rtl/>
        </w:rPr>
        <w:t>עסוק</w:t>
      </w:r>
      <w:r w:rsidRPr="00211D07">
        <w:rPr>
          <w:rFonts w:ascii="Tahoma" w:hAnsi="Tahoma" w:cs="Tahoma"/>
          <w:sz w:val="18"/>
          <w:szCs w:val="18"/>
          <w:rtl/>
        </w:rPr>
        <w:t xml:space="preserve"> גם </w:t>
      </w:r>
      <w:r w:rsidRPr="00211D07">
        <w:rPr>
          <w:rFonts w:ascii="Tahoma" w:hAnsi="Tahoma" w:cs="Tahoma" w:hint="cs"/>
          <w:sz w:val="18"/>
          <w:szCs w:val="18"/>
          <w:rtl/>
        </w:rPr>
        <w:t>ב</w:t>
      </w:r>
      <w:r w:rsidRPr="00211D07">
        <w:rPr>
          <w:rFonts w:ascii="Tahoma" w:hAnsi="Tahoma" w:cs="Tahoma"/>
          <w:sz w:val="18"/>
          <w:szCs w:val="18"/>
          <w:rtl/>
        </w:rPr>
        <w:t>מצבי</w:t>
      </w:r>
      <w:r w:rsidRPr="00211D07">
        <w:rPr>
          <w:rFonts w:ascii="Tahoma" w:hAnsi="Tahoma" w:cs="Tahoma" w:hint="cs"/>
          <w:sz w:val="18"/>
          <w:szCs w:val="18"/>
          <w:rtl/>
        </w:rPr>
        <w:t>ם</w:t>
      </w:r>
      <w:r w:rsidRPr="00211D07">
        <w:rPr>
          <w:rFonts w:ascii="Tahoma" w:hAnsi="Tahoma" w:cs="Tahoma"/>
          <w:sz w:val="18"/>
          <w:szCs w:val="18"/>
          <w:rtl/>
        </w:rPr>
        <w:t xml:space="preserve"> </w:t>
      </w:r>
      <w:r w:rsidRPr="00211D07">
        <w:rPr>
          <w:rFonts w:ascii="Tahoma" w:hAnsi="Tahoma" w:cs="Tahoma" w:hint="cs"/>
          <w:sz w:val="18"/>
          <w:szCs w:val="18"/>
          <w:rtl/>
        </w:rPr>
        <w:t xml:space="preserve">ובאירועים </w:t>
      </w:r>
      <w:r w:rsidRPr="00211D07">
        <w:rPr>
          <w:rFonts w:ascii="Tahoma" w:hAnsi="Tahoma" w:cs="Tahoma"/>
          <w:sz w:val="18"/>
          <w:szCs w:val="18"/>
          <w:rtl/>
        </w:rPr>
        <w:t xml:space="preserve">שהתלמידים חווים </w:t>
      </w:r>
      <w:r w:rsidRPr="00211D07">
        <w:rPr>
          <w:rFonts w:ascii="Tahoma" w:hAnsi="Tahoma" w:cs="Tahoma" w:hint="cs"/>
          <w:sz w:val="18"/>
          <w:szCs w:val="18"/>
          <w:rtl/>
        </w:rPr>
        <w:t>ו</w:t>
      </w:r>
      <w:r w:rsidRPr="00211D07">
        <w:rPr>
          <w:rFonts w:ascii="Tahoma" w:hAnsi="Tahoma" w:cs="Tahoma"/>
          <w:sz w:val="18"/>
          <w:szCs w:val="18"/>
          <w:rtl/>
        </w:rPr>
        <w:t xml:space="preserve">מתנסים </w:t>
      </w:r>
      <w:r w:rsidRPr="00211D07">
        <w:rPr>
          <w:rFonts w:ascii="Tahoma" w:hAnsi="Tahoma" w:cs="Tahoma" w:hint="cs"/>
          <w:sz w:val="18"/>
          <w:szCs w:val="18"/>
          <w:rtl/>
        </w:rPr>
        <w:t xml:space="preserve">בהם </w:t>
      </w:r>
      <w:r w:rsidRPr="00211D07">
        <w:rPr>
          <w:rFonts w:ascii="Tahoma" w:hAnsi="Tahoma" w:cs="Tahoma"/>
          <w:sz w:val="18"/>
          <w:szCs w:val="18"/>
          <w:rtl/>
        </w:rPr>
        <w:t>ונדרשים להתמודד איתם בחיי היום יום</w:t>
      </w:r>
      <w:r w:rsidRPr="00211D07">
        <w:rPr>
          <w:rFonts w:ascii="Tahoma" w:hAnsi="Tahoma" w:cs="Tahoma" w:hint="cs"/>
          <w:sz w:val="18"/>
          <w:szCs w:val="18"/>
          <w:rtl/>
        </w:rPr>
        <w:t>,</w:t>
      </w:r>
      <w:r w:rsidRPr="00211D07">
        <w:rPr>
          <w:rFonts w:ascii="Tahoma" w:hAnsi="Tahoma" w:cs="Tahoma"/>
          <w:sz w:val="18"/>
          <w:szCs w:val="18"/>
          <w:rtl/>
        </w:rPr>
        <w:t xml:space="preserve"> לצד היעדים המסורתיים שלו (למידה והשכלה)</w:t>
      </w:r>
      <w:r w:rsidRPr="00211D07">
        <w:rPr>
          <w:rFonts w:ascii="Tahoma" w:hAnsi="Tahoma" w:cs="Tahoma" w:hint="cs"/>
          <w:sz w:val="18"/>
          <w:szCs w:val="18"/>
          <w:rtl/>
        </w:rPr>
        <w:t>.</w:t>
      </w:r>
      <w:r w:rsidRPr="00211D07">
        <w:rPr>
          <w:rFonts w:ascii="Tahoma" w:hAnsi="Tahoma" w:cs="Tahoma"/>
          <w:sz w:val="18"/>
          <w:szCs w:val="18"/>
          <w:rtl/>
        </w:rPr>
        <w:t xml:space="preserve"> בית הספר נדרש לראות </w:t>
      </w:r>
      <w:r w:rsidRPr="00211D07">
        <w:rPr>
          <w:rFonts w:ascii="Tahoma" w:hAnsi="Tahoma" w:cs="Tahoma" w:hint="cs"/>
          <w:sz w:val="18"/>
          <w:szCs w:val="18"/>
          <w:rtl/>
        </w:rPr>
        <w:t xml:space="preserve">בהקניית כישורי חיים ודרכי התמודדות לתלמידים </w:t>
      </w:r>
      <w:r w:rsidRPr="00211D07">
        <w:rPr>
          <w:rFonts w:ascii="Tahoma" w:hAnsi="Tahoma" w:cs="Tahoma"/>
          <w:sz w:val="18"/>
          <w:szCs w:val="18"/>
          <w:rtl/>
        </w:rPr>
        <w:t xml:space="preserve">מרכיב חשוב </w:t>
      </w:r>
      <w:r w:rsidRPr="00211D07">
        <w:rPr>
          <w:rFonts w:ascii="Tahoma" w:hAnsi="Tahoma" w:cs="Tahoma" w:hint="cs"/>
          <w:sz w:val="18"/>
          <w:szCs w:val="18"/>
          <w:rtl/>
        </w:rPr>
        <w:t xml:space="preserve">של </w:t>
      </w:r>
      <w:r w:rsidRPr="00211D07">
        <w:rPr>
          <w:rFonts w:ascii="Tahoma" w:hAnsi="Tahoma" w:cs="Tahoma"/>
          <w:sz w:val="18"/>
          <w:szCs w:val="18"/>
          <w:rtl/>
        </w:rPr>
        <w:t>תוכנית</w:t>
      </w:r>
      <w:r w:rsidRPr="00211D07">
        <w:rPr>
          <w:rFonts w:ascii="Tahoma" w:hAnsi="Tahoma" w:cs="Tahoma"/>
          <w:sz w:val="18"/>
          <w:szCs w:val="18"/>
          <w:rtl/>
        </w:rPr>
        <w:t xml:space="preserve"> הלימודים </w:t>
      </w:r>
      <w:r w:rsidRPr="00211D07">
        <w:rPr>
          <w:rFonts w:ascii="Tahoma" w:hAnsi="Tahoma" w:cs="Tahoma" w:hint="cs"/>
          <w:sz w:val="18"/>
          <w:szCs w:val="18"/>
          <w:rtl/>
        </w:rPr>
        <w:t>ו</w:t>
      </w:r>
      <w:r w:rsidRPr="00211D07">
        <w:rPr>
          <w:rFonts w:ascii="Tahoma" w:hAnsi="Tahoma" w:cs="Tahoma"/>
          <w:sz w:val="18"/>
          <w:szCs w:val="18"/>
          <w:rtl/>
        </w:rPr>
        <w:t>חלק בלתי נפרד מהעשייה החינוכית.</w:t>
      </w:r>
    </w:p>
    <w:p w:rsidR="009B6D36" w:rsidRPr="00211D07" w:rsidP="0095721D">
      <w:pPr>
        <w:spacing w:line="230" w:lineRule="exact"/>
        <w:ind w:right="2268"/>
        <w:jc w:val="both"/>
        <w:rPr>
          <w:rFonts w:ascii="Tahoma" w:hAnsi="Tahoma" w:cs="Tahoma"/>
          <w:sz w:val="18"/>
          <w:szCs w:val="18"/>
          <w:rtl/>
        </w:rPr>
      </w:pPr>
      <w:r w:rsidRPr="00211D07">
        <w:rPr>
          <w:rFonts w:ascii="Tahoma" w:hAnsi="Tahoma" w:cs="Tahoma" w:hint="eastAsia"/>
          <w:sz w:val="18"/>
          <w:szCs w:val="18"/>
          <w:rtl/>
        </w:rPr>
        <w:t>לפי</w:t>
      </w:r>
      <w:r w:rsidRPr="00211D07">
        <w:rPr>
          <w:rFonts w:ascii="Tahoma" w:hAnsi="Tahoma" w:cs="Tahoma"/>
          <w:sz w:val="18"/>
          <w:szCs w:val="18"/>
          <w:rtl/>
        </w:rPr>
        <w:t xml:space="preserve"> </w:t>
      </w:r>
      <w:r w:rsidRPr="00211D07">
        <w:rPr>
          <w:rFonts w:ascii="Tahoma" w:hAnsi="Tahoma" w:cs="Tahoma" w:hint="eastAsia"/>
          <w:sz w:val="18"/>
          <w:szCs w:val="18"/>
          <w:rtl/>
        </w:rPr>
        <w:t>נתוני</w:t>
      </w:r>
      <w:r w:rsidRPr="00211D07">
        <w:rPr>
          <w:rFonts w:ascii="Tahoma" w:hAnsi="Tahoma" w:cs="Tahoma"/>
          <w:sz w:val="18"/>
          <w:szCs w:val="18"/>
          <w:rtl/>
        </w:rPr>
        <w:t xml:space="preserve"> </w:t>
      </w:r>
      <w:r w:rsidRPr="00211D07">
        <w:rPr>
          <w:rFonts w:ascii="Tahoma" w:hAnsi="Tahoma" w:cs="Tahoma" w:hint="eastAsia"/>
          <w:sz w:val="18"/>
          <w:szCs w:val="18"/>
          <w:rtl/>
        </w:rPr>
        <w:t>משרד</w:t>
      </w:r>
      <w:r w:rsidRPr="00211D07">
        <w:rPr>
          <w:rFonts w:ascii="Tahoma" w:hAnsi="Tahoma" w:cs="Tahoma"/>
          <w:sz w:val="18"/>
          <w:szCs w:val="18"/>
          <w:rtl/>
        </w:rPr>
        <w:t xml:space="preserve"> </w:t>
      </w:r>
      <w:r w:rsidRPr="00211D07">
        <w:rPr>
          <w:rFonts w:ascii="Tahoma" w:hAnsi="Tahoma" w:cs="Tahoma" w:hint="eastAsia"/>
          <w:sz w:val="18"/>
          <w:szCs w:val="18"/>
          <w:rtl/>
        </w:rPr>
        <w:t>הבריאות</w:t>
      </w:r>
      <w:r w:rsidRPr="00211D07">
        <w:rPr>
          <w:rFonts w:ascii="Tahoma" w:hAnsi="Tahoma" w:cs="Tahoma"/>
          <w:sz w:val="18"/>
          <w:szCs w:val="18"/>
          <w:rtl/>
        </w:rPr>
        <w:t xml:space="preserve"> </w:t>
      </w:r>
      <w:r w:rsidRPr="00211D07">
        <w:rPr>
          <w:rFonts w:ascii="Tahoma" w:hAnsi="Tahoma" w:cs="Tahoma" w:hint="eastAsia"/>
          <w:sz w:val="18"/>
          <w:szCs w:val="18"/>
          <w:rtl/>
        </w:rPr>
        <w:t>בשנת</w:t>
      </w:r>
      <w:r w:rsidRPr="00211D07">
        <w:rPr>
          <w:rFonts w:ascii="Tahoma" w:hAnsi="Tahoma" w:cs="Tahoma"/>
          <w:sz w:val="18"/>
          <w:szCs w:val="18"/>
          <w:rtl/>
        </w:rPr>
        <w:t xml:space="preserve"> 2015 </w:t>
      </w:r>
      <w:r w:rsidRPr="00211D07">
        <w:rPr>
          <w:rFonts w:ascii="Tahoma" w:hAnsi="Tahoma" w:cs="Tahoma" w:hint="eastAsia"/>
          <w:sz w:val="18"/>
          <w:szCs w:val="18"/>
          <w:rtl/>
        </w:rPr>
        <w:t>הגיעו</w:t>
      </w:r>
      <w:r w:rsidRPr="00211D07">
        <w:rPr>
          <w:rFonts w:ascii="Tahoma" w:hAnsi="Tahoma" w:cs="Tahoma"/>
          <w:sz w:val="18"/>
          <w:szCs w:val="18"/>
          <w:rtl/>
        </w:rPr>
        <w:t xml:space="preserve"> </w:t>
      </w:r>
      <w:r w:rsidRPr="00211D07">
        <w:rPr>
          <w:rFonts w:ascii="Tahoma" w:hAnsi="Tahoma" w:cs="Tahoma" w:hint="eastAsia"/>
          <w:sz w:val="18"/>
          <w:szCs w:val="18"/>
          <w:rtl/>
        </w:rPr>
        <w:t>לטיפול</w:t>
      </w:r>
      <w:r w:rsidRPr="00211D07">
        <w:rPr>
          <w:rFonts w:ascii="Tahoma" w:hAnsi="Tahoma" w:cs="Tahoma"/>
          <w:sz w:val="18"/>
          <w:szCs w:val="18"/>
          <w:rtl/>
        </w:rPr>
        <w:t xml:space="preserve"> </w:t>
      </w:r>
      <w:r w:rsidRPr="00211D07">
        <w:rPr>
          <w:rFonts w:ascii="Tahoma" w:hAnsi="Tahoma" w:cs="Tahoma" w:hint="eastAsia"/>
          <w:sz w:val="18"/>
          <w:szCs w:val="18"/>
          <w:rtl/>
        </w:rPr>
        <w:t>בחדרי</w:t>
      </w:r>
      <w:r w:rsidRPr="00211D07">
        <w:rPr>
          <w:rFonts w:ascii="Tahoma" w:hAnsi="Tahoma" w:cs="Tahoma"/>
          <w:sz w:val="18"/>
          <w:szCs w:val="18"/>
          <w:rtl/>
        </w:rPr>
        <w:t xml:space="preserve"> </w:t>
      </w:r>
      <w:r w:rsidRPr="00211D07">
        <w:rPr>
          <w:rFonts w:ascii="Tahoma" w:hAnsi="Tahoma" w:cs="Tahoma" w:hint="eastAsia"/>
          <w:sz w:val="18"/>
          <w:szCs w:val="18"/>
          <w:rtl/>
        </w:rPr>
        <w:t>מיון</w:t>
      </w:r>
      <w:r w:rsidRPr="00211D07">
        <w:rPr>
          <w:rFonts w:ascii="Tahoma" w:hAnsi="Tahoma" w:cs="Tahoma"/>
          <w:sz w:val="18"/>
          <w:szCs w:val="18"/>
          <w:rtl/>
        </w:rPr>
        <w:t xml:space="preserve"> 5,884 </w:t>
      </w:r>
      <w:r w:rsidRPr="00211D07">
        <w:rPr>
          <w:rFonts w:ascii="Tahoma" w:hAnsi="Tahoma" w:cs="Tahoma" w:hint="eastAsia"/>
          <w:sz w:val="18"/>
          <w:szCs w:val="18"/>
          <w:rtl/>
        </w:rPr>
        <w:t>איש</w:t>
      </w:r>
      <w:r w:rsidRPr="00211D07">
        <w:rPr>
          <w:rFonts w:ascii="Tahoma" w:hAnsi="Tahoma" w:cs="Tahoma"/>
          <w:sz w:val="18"/>
          <w:szCs w:val="18"/>
          <w:rtl/>
        </w:rPr>
        <w:t xml:space="preserve"> </w:t>
      </w:r>
      <w:r w:rsidRPr="00211D07">
        <w:rPr>
          <w:rFonts w:ascii="Tahoma" w:hAnsi="Tahoma" w:cs="Tahoma" w:hint="eastAsia"/>
          <w:sz w:val="18"/>
          <w:szCs w:val="18"/>
          <w:rtl/>
        </w:rPr>
        <w:t>בגין</w:t>
      </w:r>
      <w:r w:rsidRPr="00211D07">
        <w:rPr>
          <w:rFonts w:ascii="Tahoma" w:hAnsi="Tahoma" w:cs="Tahoma"/>
          <w:sz w:val="18"/>
          <w:szCs w:val="18"/>
          <w:rtl/>
        </w:rPr>
        <w:t xml:space="preserve"> </w:t>
      </w:r>
      <w:r w:rsidRPr="00211D07">
        <w:rPr>
          <w:rFonts w:ascii="Tahoma" w:hAnsi="Tahoma" w:cs="Tahoma" w:hint="eastAsia"/>
          <w:sz w:val="18"/>
          <w:szCs w:val="18"/>
          <w:rtl/>
        </w:rPr>
        <w:t>שימוש</w:t>
      </w:r>
      <w:r w:rsidRPr="00211D07">
        <w:rPr>
          <w:rFonts w:ascii="Tahoma" w:hAnsi="Tahoma" w:cs="Tahoma"/>
          <w:sz w:val="18"/>
          <w:szCs w:val="18"/>
          <w:rtl/>
        </w:rPr>
        <w:t xml:space="preserve"> </w:t>
      </w:r>
      <w:r w:rsidRPr="00211D07">
        <w:rPr>
          <w:rFonts w:ascii="Tahoma" w:hAnsi="Tahoma" w:cs="Tahoma" w:hint="eastAsia"/>
          <w:sz w:val="18"/>
          <w:szCs w:val="18"/>
          <w:rtl/>
        </w:rPr>
        <w:t>באלכוהול</w:t>
      </w:r>
      <w:r w:rsidRPr="00211D07">
        <w:rPr>
          <w:rFonts w:ascii="Tahoma" w:hAnsi="Tahoma" w:cs="Tahoma"/>
          <w:sz w:val="18"/>
          <w:szCs w:val="18"/>
          <w:rtl/>
        </w:rPr>
        <w:t xml:space="preserve"> </w:t>
      </w:r>
      <w:r w:rsidRPr="00211D07">
        <w:rPr>
          <w:rFonts w:ascii="Tahoma" w:hAnsi="Tahoma" w:cs="Tahoma" w:hint="eastAsia"/>
          <w:sz w:val="18"/>
          <w:szCs w:val="18"/>
          <w:rtl/>
        </w:rPr>
        <w:t>ו</w:t>
      </w:r>
      <w:r w:rsidRPr="00211D07">
        <w:rPr>
          <w:rFonts w:ascii="Tahoma" w:hAnsi="Tahoma" w:cs="Tahoma"/>
          <w:sz w:val="18"/>
          <w:szCs w:val="18"/>
          <w:rtl/>
        </w:rPr>
        <w:t xml:space="preserve">-2,065 </w:t>
      </w:r>
      <w:r w:rsidRPr="00211D07">
        <w:rPr>
          <w:rFonts w:ascii="Tahoma" w:hAnsi="Tahoma" w:cs="Tahoma" w:hint="eastAsia"/>
          <w:sz w:val="18"/>
          <w:szCs w:val="18"/>
          <w:rtl/>
        </w:rPr>
        <w:t>הגיעו</w:t>
      </w:r>
      <w:r w:rsidRPr="00211D07">
        <w:rPr>
          <w:rFonts w:ascii="Tahoma" w:hAnsi="Tahoma" w:cs="Tahoma"/>
          <w:sz w:val="18"/>
          <w:szCs w:val="18"/>
          <w:rtl/>
        </w:rPr>
        <w:t xml:space="preserve"> </w:t>
      </w:r>
      <w:r w:rsidRPr="00211D07">
        <w:rPr>
          <w:rFonts w:ascii="Tahoma" w:hAnsi="Tahoma" w:cs="Tahoma" w:hint="eastAsia"/>
          <w:sz w:val="18"/>
          <w:szCs w:val="18"/>
          <w:rtl/>
        </w:rPr>
        <w:t>לטיפול</w:t>
      </w:r>
      <w:r w:rsidRPr="00211D07">
        <w:rPr>
          <w:rFonts w:ascii="Tahoma" w:hAnsi="Tahoma" w:cs="Tahoma"/>
          <w:sz w:val="18"/>
          <w:szCs w:val="18"/>
          <w:rtl/>
        </w:rPr>
        <w:t xml:space="preserve"> </w:t>
      </w:r>
      <w:r w:rsidRPr="00211D07">
        <w:rPr>
          <w:rFonts w:ascii="Tahoma" w:hAnsi="Tahoma" w:cs="Tahoma" w:hint="eastAsia"/>
          <w:sz w:val="18"/>
          <w:szCs w:val="18"/>
          <w:rtl/>
        </w:rPr>
        <w:t>בחדרי</w:t>
      </w:r>
      <w:r w:rsidRPr="00211D07">
        <w:rPr>
          <w:rFonts w:ascii="Tahoma" w:hAnsi="Tahoma" w:cs="Tahoma"/>
          <w:sz w:val="18"/>
          <w:szCs w:val="18"/>
          <w:rtl/>
        </w:rPr>
        <w:t xml:space="preserve"> </w:t>
      </w:r>
      <w:r w:rsidRPr="00211D07">
        <w:rPr>
          <w:rFonts w:ascii="Tahoma" w:hAnsi="Tahoma" w:cs="Tahoma" w:hint="eastAsia"/>
          <w:sz w:val="18"/>
          <w:szCs w:val="18"/>
          <w:rtl/>
        </w:rPr>
        <w:t>המיון</w:t>
      </w:r>
      <w:r w:rsidRPr="00211D07">
        <w:rPr>
          <w:rFonts w:ascii="Tahoma" w:hAnsi="Tahoma" w:cs="Tahoma"/>
          <w:sz w:val="18"/>
          <w:szCs w:val="18"/>
          <w:rtl/>
        </w:rPr>
        <w:t xml:space="preserve"> </w:t>
      </w:r>
      <w:r w:rsidRPr="00211D07">
        <w:rPr>
          <w:rFonts w:ascii="Tahoma" w:hAnsi="Tahoma" w:cs="Tahoma" w:hint="eastAsia"/>
          <w:sz w:val="18"/>
          <w:szCs w:val="18"/>
          <w:rtl/>
        </w:rPr>
        <w:t>בעקבות</w:t>
      </w:r>
      <w:r w:rsidRPr="00211D07">
        <w:rPr>
          <w:rFonts w:ascii="Tahoma" w:hAnsi="Tahoma" w:cs="Tahoma"/>
          <w:sz w:val="18"/>
          <w:szCs w:val="18"/>
          <w:rtl/>
        </w:rPr>
        <w:t xml:space="preserve"> </w:t>
      </w:r>
      <w:r w:rsidRPr="00211D07">
        <w:rPr>
          <w:rFonts w:ascii="Tahoma" w:hAnsi="Tahoma" w:cs="Tahoma" w:hint="eastAsia"/>
          <w:sz w:val="18"/>
          <w:szCs w:val="18"/>
          <w:rtl/>
        </w:rPr>
        <w:t>שימוש</w:t>
      </w:r>
      <w:r w:rsidRPr="00211D07">
        <w:rPr>
          <w:rFonts w:ascii="Tahoma" w:hAnsi="Tahoma" w:cs="Tahoma"/>
          <w:sz w:val="18"/>
          <w:szCs w:val="18"/>
          <w:rtl/>
        </w:rPr>
        <w:t xml:space="preserve"> </w:t>
      </w:r>
      <w:r w:rsidRPr="00211D07">
        <w:rPr>
          <w:rFonts w:ascii="Tahoma" w:hAnsi="Tahoma" w:cs="Tahoma" w:hint="eastAsia"/>
          <w:sz w:val="18"/>
          <w:szCs w:val="18"/>
          <w:rtl/>
        </w:rPr>
        <w:t>בסמים</w:t>
      </w:r>
      <w:r>
        <w:rPr>
          <w:rStyle w:val="FootnoteReference0"/>
          <w:rFonts w:ascii="Tahoma" w:hAnsi="Tahoma" w:cs="Tahoma"/>
          <w:sz w:val="18"/>
          <w:szCs w:val="18"/>
          <w:rtl/>
        </w:rPr>
        <w:footnoteReference w:id="70"/>
      </w:r>
      <w:r w:rsidRPr="00211D07">
        <w:rPr>
          <w:rFonts w:ascii="Tahoma" w:hAnsi="Tahoma" w:cs="Tahoma"/>
          <w:sz w:val="18"/>
          <w:szCs w:val="18"/>
          <w:rtl/>
        </w:rPr>
        <w:t xml:space="preserve">. </w:t>
      </w:r>
      <w:r w:rsidRPr="00211D07">
        <w:rPr>
          <w:rFonts w:ascii="Tahoma" w:hAnsi="Tahoma" w:cs="Tahoma" w:hint="eastAsia"/>
          <w:sz w:val="18"/>
          <w:szCs w:val="18"/>
          <w:rtl/>
        </w:rPr>
        <w:t>להלן</w:t>
      </w:r>
      <w:r w:rsidRPr="00211D07">
        <w:rPr>
          <w:rFonts w:ascii="Tahoma" w:hAnsi="Tahoma" w:cs="Tahoma"/>
          <w:sz w:val="18"/>
          <w:szCs w:val="18"/>
          <w:rtl/>
        </w:rPr>
        <w:t xml:space="preserve"> </w:t>
      </w:r>
      <w:r w:rsidRPr="00211D07">
        <w:rPr>
          <w:rFonts w:ascii="Tahoma" w:hAnsi="Tahoma" w:cs="Tahoma" w:hint="cs"/>
          <w:sz w:val="18"/>
          <w:szCs w:val="18"/>
          <w:rtl/>
        </w:rPr>
        <w:t>בתרשימים 3 ו-4 התפלגות הפונים לחדרי מיון בשנת 2015 לפי גיל.</w:t>
      </w:r>
    </w:p>
    <w:p w:rsidR="009B6D36" w:rsidRPr="0095721D" w:rsidP="0095721D">
      <w:pPr>
        <w:pStyle w:val="tab-name"/>
        <w:rPr>
          <w:b/>
          <w:bCs/>
          <w:rtl/>
        </w:rPr>
      </w:pPr>
      <w:r w:rsidRPr="00211D07">
        <w:rPr>
          <w:rtl/>
        </w:rPr>
        <w:t xml:space="preserve">תרשים </w:t>
      </w:r>
      <w:r w:rsidRPr="00211D07">
        <w:rPr>
          <w:rFonts w:hint="cs"/>
          <w:rtl/>
        </w:rPr>
        <w:t>3</w:t>
      </w:r>
      <w:r w:rsidRPr="00211D07">
        <w:rPr>
          <w:rtl/>
        </w:rPr>
        <w:t xml:space="preserve">: </w:t>
      </w:r>
      <w:r w:rsidRPr="0095721D">
        <w:rPr>
          <w:b/>
          <w:bCs/>
          <w:rtl/>
        </w:rPr>
        <w:t xml:space="preserve">התפלגות הפונים לחדרי מיון </w:t>
      </w:r>
      <w:r w:rsidRPr="0095721D">
        <w:rPr>
          <w:rFonts w:hint="eastAsia"/>
          <w:b/>
          <w:bCs/>
          <w:rtl/>
        </w:rPr>
        <w:t>על</w:t>
      </w:r>
      <w:r w:rsidRPr="0095721D">
        <w:rPr>
          <w:b/>
          <w:bCs/>
          <w:rtl/>
        </w:rPr>
        <w:t xml:space="preserve"> </w:t>
      </w:r>
      <w:r w:rsidRPr="0095721D">
        <w:rPr>
          <w:rFonts w:hint="eastAsia"/>
          <w:b/>
          <w:bCs/>
          <w:rtl/>
        </w:rPr>
        <w:t>רקע</w:t>
      </w:r>
      <w:r w:rsidRPr="0095721D">
        <w:rPr>
          <w:b/>
          <w:bCs/>
          <w:rtl/>
        </w:rPr>
        <w:t xml:space="preserve"> </w:t>
      </w:r>
      <w:r w:rsidRPr="0095721D">
        <w:rPr>
          <w:rFonts w:hint="eastAsia"/>
          <w:b/>
          <w:bCs/>
          <w:rtl/>
        </w:rPr>
        <w:t>שימוש</w:t>
      </w:r>
      <w:r w:rsidRPr="0095721D">
        <w:rPr>
          <w:b/>
          <w:bCs/>
          <w:rtl/>
        </w:rPr>
        <w:t xml:space="preserve"> </w:t>
      </w:r>
      <w:r w:rsidRPr="0095721D">
        <w:rPr>
          <w:rFonts w:hint="eastAsia"/>
          <w:b/>
          <w:bCs/>
          <w:rtl/>
        </w:rPr>
        <w:t>באלכוהול</w:t>
      </w:r>
      <w:r w:rsidRPr="0095721D">
        <w:rPr>
          <w:rFonts w:hint="cs"/>
          <w:b/>
          <w:bCs/>
          <w:rtl/>
        </w:rPr>
        <w:t>, לפי גילים,</w:t>
      </w:r>
      <w:r w:rsidRPr="0095721D">
        <w:rPr>
          <w:b/>
          <w:bCs/>
          <w:rtl/>
        </w:rPr>
        <w:t xml:space="preserve"> 2015</w:t>
      </w:r>
    </w:p>
    <w:p w:rsidR="0095721D" w:rsidRPr="00211D07" w:rsidP="0095721D">
      <w:pPr>
        <w:spacing w:line="240" w:lineRule="atLeast"/>
        <w:ind w:right="2268"/>
        <w:jc w:val="center"/>
        <w:rPr>
          <w:rFonts w:ascii="Tahoma" w:hAnsi="Tahoma" w:cs="Tahoma"/>
          <w:sz w:val="18"/>
          <w:szCs w:val="18"/>
          <w:rtl/>
        </w:rPr>
      </w:pPr>
      <w:r>
        <w:rPr>
          <w:rFonts w:ascii="Tahoma" w:hAnsi="Tahoma" w:cs="Tahoma"/>
          <w:noProof/>
          <w:sz w:val="18"/>
          <w:szCs w:val="18"/>
          <w:rtl/>
        </w:rPr>
        <w:drawing>
          <wp:inline distT="0" distB="0" distL="0" distR="0">
            <wp:extent cx="1594532" cy="2476500"/>
            <wp:effectExtent l="0" t="0" r="5715" b="0"/>
            <wp:docPr id="7" name="Picture 7" descr="כ-12% מהפונים לחדרי מיון היו בני 12 - 17, כ-16% היו בני 18 - 21, וכ-72% היו אחר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211890" name="28 - 223 - אינפו 3.jp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594532" cy="2476500"/>
                    </a:xfrm>
                    <a:prstGeom prst="rect">
                      <a:avLst/>
                    </a:prstGeom>
                  </pic:spPr>
                </pic:pic>
              </a:graphicData>
            </a:graphic>
          </wp:inline>
        </w:drawing>
      </w:r>
    </w:p>
    <w:p w:rsidR="009B6D36" w:rsidRPr="00211D07" w:rsidP="0095721D">
      <w:pPr>
        <w:pStyle w:val="text-source"/>
        <w:spacing w:after="0"/>
        <w:rPr>
          <w:rFonts w:eastAsia="Calibri"/>
          <w:rtl/>
        </w:rPr>
      </w:pPr>
      <w:r w:rsidRPr="00211D07">
        <w:rPr>
          <w:noProof/>
          <w:rtl/>
        </w:rPr>
        <w:t>על פי נתוני משרד הבריאות, בעיבוד משרד מבקר המדינה.</w:t>
      </w:r>
    </w:p>
    <w:p w:rsidR="009B6D36" w:rsidRPr="00211D07" w:rsidP="00E9129B">
      <w:pPr>
        <w:pStyle w:val="text-source"/>
        <w:spacing w:before="0"/>
        <w:ind w:left="397" w:hanging="397"/>
        <w:rPr>
          <w:rtl/>
        </w:rPr>
      </w:pPr>
      <w:r w:rsidRPr="00211D07">
        <w:rPr>
          <w:rFonts w:eastAsia="Calibri" w:hint="cs"/>
          <w:rtl/>
        </w:rPr>
        <w:t xml:space="preserve">* </w:t>
      </w:r>
      <w:r w:rsidR="0095721D">
        <w:rPr>
          <w:rFonts w:eastAsia="Calibri"/>
        </w:rPr>
        <w:tab/>
      </w:r>
      <w:r w:rsidRPr="00211D07">
        <w:rPr>
          <w:rtl/>
        </w:rPr>
        <w:t>ה"אחרים" כוללים את אלו שהגיעו לחדרי מיון והם מעל גיל 21, מתחת לגיל 12 ואת אלו שבחדרי המיון לא נרשם גילם.</w:t>
      </w:r>
    </w:p>
    <w:p w:rsidR="009B6D36" w:rsidRPr="00E9129B" w:rsidP="00E9129B">
      <w:pPr>
        <w:pStyle w:val="tab-name"/>
        <w:rPr>
          <w:b/>
          <w:bCs/>
          <w:rtl/>
        </w:rPr>
      </w:pPr>
      <w:r w:rsidRPr="00211D07">
        <w:rPr>
          <w:rtl/>
        </w:rPr>
        <w:t>תרשי</w:t>
      </w:r>
      <w:r w:rsidRPr="00211D07">
        <w:rPr>
          <w:rFonts w:hint="eastAsia"/>
          <w:rtl/>
        </w:rPr>
        <w:t>ם</w:t>
      </w:r>
      <w:r w:rsidRPr="00211D07">
        <w:rPr>
          <w:rtl/>
        </w:rPr>
        <w:t xml:space="preserve"> </w:t>
      </w:r>
      <w:r w:rsidRPr="00211D07">
        <w:rPr>
          <w:rFonts w:hint="cs"/>
          <w:rtl/>
        </w:rPr>
        <w:t>4</w:t>
      </w:r>
      <w:r w:rsidRPr="00211D07">
        <w:rPr>
          <w:rtl/>
        </w:rPr>
        <w:t xml:space="preserve">: </w:t>
      </w:r>
      <w:r w:rsidRPr="00E9129B">
        <w:rPr>
          <w:b/>
          <w:bCs/>
          <w:rtl/>
        </w:rPr>
        <w:t xml:space="preserve">התפלגות הפונים לחדרי מיון </w:t>
      </w:r>
      <w:r w:rsidRPr="00E9129B">
        <w:rPr>
          <w:rFonts w:hint="eastAsia"/>
          <w:b/>
          <w:bCs/>
          <w:rtl/>
        </w:rPr>
        <w:t>על</w:t>
      </w:r>
      <w:r w:rsidRPr="00E9129B">
        <w:rPr>
          <w:b/>
          <w:bCs/>
          <w:rtl/>
        </w:rPr>
        <w:t xml:space="preserve"> </w:t>
      </w:r>
      <w:r w:rsidRPr="00E9129B">
        <w:rPr>
          <w:rFonts w:hint="eastAsia"/>
          <w:b/>
          <w:bCs/>
          <w:rtl/>
        </w:rPr>
        <w:t>רקע</w:t>
      </w:r>
      <w:r w:rsidRPr="00E9129B">
        <w:rPr>
          <w:b/>
          <w:bCs/>
          <w:rtl/>
        </w:rPr>
        <w:t xml:space="preserve"> </w:t>
      </w:r>
      <w:r w:rsidRPr="00E9129B">
        <w:rPr>
          <w:rFonts w:hint="eastAsia"/>
          <w:b/>
          <w:bCs/>
          <w:rtl/>
        </w:rPr>
        <w:t>שימוש</w:t>
      </w:r>
      <w:r w:rsidRPr="00E9129B">
        <w:rPr>
          <w:b/>
          <w:bCs/>
          <w:rtl/>
        </w:rPr>
        <w:t xml:space="preserve"> </w:t>
      </w:r>
      <w:r w:rsidRPr="00E9129B">
        <w:rPr>
          <w:rFonts w:hint="eastAsia"/>
          <w:b/>
          <w:bCs/>
          <w:rtl/>
        </w:rPr>
        <w:t>בסמים</w:t>
      </w:r>
      <w:r w:rsidRPr="00E9129B">
        <w:rPr>
          <w:rFonts w:hint="cs"/>
          <w:b/>
          <w:bCs/>
          <w:rtl/>
        </w:rPr>
        <w:t>, לפי גילים,</w:t>
      </w:r>
      <w:r w:rsidRPr="00E9129B">
        <w:rPr>
          <w:b/>
          <w:bCs/>
          <w:rtl/>
        </w:rPr>
        <w:t xml:space="preserve"> 2015</w:t>
      </w:r>
    </w:p>
    <w:p w:rsidR="009B6D36" w:rsidRPr="00211D07" w:rsidP="00E9129B">
      <w:pPr>
        <w:spacing w:line="240" w:lineRule="atLeast"/>
        <w:ind w:right="2268"/>
        <w:jc w:val="center"/>
        <w:rPr>
          <w:rFonts w:ascii="Tahoma" w:hAnsi="Tahoma" w:cs="Tahoma"/>
          <w:sz w:val="18"/>
          <w:szCs w:val="18"/>
          <w:rtl/>
        </w:rPr>
      </w:pPr>
      <w:r>
        <w:rPr>
          <w:rFonts w:ascii="Tahoma" w:hAnsi="Tahoma" w:cs="Tahoma"/>
          <w:noProof/>
          <w:sz w:val="18"/>
          <w:szCs w:val="18"/>
          <w:rtl/>
        </w:rPr>
        <w:drawing>
          <wp:inline distT="0" distB="0" distL="0" distR="0">
            <wp:extent cx="2161032" cy="2886456"/>
            <wp:effectExtent l="0" t="0" r="0" b="9525"/>
            <wp:docPr id="10" name="Picture 10" descr="כ-6% מהפונים לחדרי מיון היו בני 12 - 17, כ-11% היו בני 18 - 21,  וכ-83% היו אחר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269295" name="28 - 223 - אינפו 4.jpg"/>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2161032" cy="2886456"/>
                    </a:xfrm>
                    <a:prstGeom prst="rect">
                      <a:avLst/>
                    </a:prstGeom>
                  </pic:spPr>
                </pic:pic>
              </a:graphicData>
            </a:graphic>
          </wp:inline>
        </w:drawing>
      </w:r>
    </w:p>
    <w:p w:rsidR="009B6D36" w:rsidRPr="00E9129B" w:rsidP="00E9129B">
      <w:pPr>
        <w:pStyle w:val="text-source"/>
        <w:spacing w:after="0"/>
        <w:rPr>
          <w:noProof/>
          <w:rtl/>
        </w:rPr>
      </w:pPr>
      <w:r w:rsidRPr="00E9129B">
        <w:rPr>
          <w:noProof/>
          <w:rtl/>
        </w:rPr>
        <w:t>על פי נתוני משרד הבריאות, בעיבוד משרד מבקר המדינה.</w:t>
      </w:r>
    </w:p>
    <w:p w:rsidR="009B6D36" w:rsidRPr="00E9129B" w:rsidP="00E9129B">
      <w:pPr>
        <w:pStyle w:val="text-source"/>
        <w:spacing w:before="0"/>
        <w:ind w:left="397" w:hanging="397"/>
        <w:rPr>
          <w:rFonts w:eastAsia="Calibri"/>
          <w:rtl/>
        </w:rPr>
      </w:pPr>
      <w:r w:rsidRPr="00E9129B">
        <w:rPr>
          <w:rFonts w:eastAsia="Calibri"/>
          <w:rtl/>
        </w:rPr>
        <w:t xml:space="preserve">* </w:t>
      </w:r>
      <w:r w:rsidR="00E9129B">
        <w:rPr>
          <w:rFonts w:eastAsia="Calibri"/>
        </w:rPr>
        <w:tab/>
      </w:r>
      <w:r w:rsidRPr="00E9129B">
        <w:rPr>
          <w:rFonts w:eastAsia="Calibri"/>
          <w:rtl/>
        </w:rPr>
        <w:t>ה"אחרים" כוללים את אלו שהגיעו לחדרי מיון והם מעל גיל 21, מתחת לגיל 12 ואת אלו שבחדרי המיון לא נרשם גילם.</w:t>
      </w:r>
    </w:p>
    <w:p w:rsidR="009B6D36" w:rsidRPr="00E9129B" w:rsidP="00335CD4">
      <w:pPr>
        <w:pStyle w:val="RESHET"/>
        <w:rPr>
          <w:rtl/>
        </w:rPr>
      </w:pPr>
      <w:r w:rsidRPr="00E9129B">
        <w:rPr>
          <w:rFonts w:hint="cs"/>
          <w:rtl/>
        </w:rPr>
        <w:t xml:space="preserve">מתרשימים 3 ו-4 עולה כי בשנת 2015, יותר מרבע (כ-28%) מהפונים לחדרי המיון על רקע שימוש באלכוהול היו צעירים בני 12 - 21; כ-17% מהפונים לחדרי המיון על רקע השימוש בסמים היו צעירים. </w:t>
      </w:r>
      <w:r w:rsidRPr="0012789B" w:rsidR="00290C9B">
        <w:rPr>
          <w:noProof/>
          <w:szCs w:val="17"/>
          <w:rtl/>
          <w:lang w:eastAsia="en-US"/>
        </w:rPr>
        <mc:AlternateContent>
          <mc:Choice Requires="wps">
            <w:drawing>
              <wp:anchor distT="0" distB="0" distL="114300" distR="114300" simplePos="0" relativeHeight="251662336" behindDoc="1" locked="0" layoutInCell="1" allowOverlap="1">
                <wp:simplePos x="0" y="0"/>
                <wp:positionH relativeFrom="margin">
                  <wp:posOffset>-431800</wp:posOffset>
                </wp:positionH>
                <wp:positionV relativeFrom="margin">
                  <wp:align>top</wp:align>
                </wp:positionV>
                <wp:extent cx="1620000" cy="4140000"/>
                <wp:effectExtent l="0" t="0" r="0" b="0"/>
                <wp:wrapNone/>
                <wp:docPr id="18"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290C9B" w:rsidRPr="00373C5D" w:rsidP="00290C9B">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58942686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452439"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290C9B" w:rsidRPr="00881D99" w:rsidP="00290C9B">
                            <w:pPr>
                              <w:spacing w:after="0" w:line="240" w:lineRule="auto"/>
                              <w:rPr>
                                <w:color w:val="0B5294"/>
                                <w:spacing w:val="-4"/>
                                <w:sz w:val="24"/>
                                <w:szCs w:val="24"/>
                                <w:rtl/>
                                <w:cs/>
                              </w:rPr>
                            </w:pPr>
                            <w:r w:rsidRPr="00335CD4">
                              <w:rPr>
                                <w:rFonts w:cs="Tahoma" w:hint="eastAsia"/>
                                <w:color w:val="0B5294"/>
                                <w:spacing w:val="-4"/>
                                <w:sz w:val="24"/>
                                <w:szCs w:val="24"/>
                                <w:rtl/>
                              </w:rPr>
                              <w:t>בשנת</w:t>
                            </w:r>
                            <w:r w:rsidRPr="00335CD4">
                              <w:rPr>
                                <w:rFonts w:cs="Tahoma"/>
                                <w:color w:val="0B5294"/>
                                <w:spacing w:val="-4"/>
                                <w:sz w:val="24"/>
                                <w:szCs w:val="24"/>
                                <w:rtl/>
                              </w:rPr>
                              <w:t xml:space="preserve"> 2017 </w:t>
                            </w:r>
                            <w:r w:rsidRPr="00335CD4">
                              <w:rPr>
                                <w:rFonts w:cs="Tahoma" w:hint="eastAsia"/>
                                <w:color w:val="0B5294"/>
                                <w:spacing w:val="-4"/>
                                <w:sz w:val="24"/>
                                <w:szCs w:val="24"/>
                                <w:rtl/>
                              </w:rPr>
                              <w:t>יותר</w:t>
                            </w:r>
                            <w:r w:rsidRPr="00335CD4">
                              <w:rPr>
                                <w:rFonts w:cs="Tahoma"/>
                                <w:color w:val="0B5294"/>
                                <w:spacing w:val="-4"/>
                                <w:sz w:val="24"/>
                                <w:szCs w:val="24"/>
                                <w:rtl/>
                              </w:rPr>
                              <w:t xml:space="preserve"> </w:t>
                            </w:r>
                            <w:r w:rsidRPr="00335CD4">
                              <w:rPr>
                                <w:rFonts w:cs="Tahoma" w:hint="eastAsia"/>
                                <w:color w:val="0B5294"/>
                                <w:spacing w:val="-4"/>
                                <w:sz w:val="24"/>
                                <w:szCs w:val="24"/>
                                <w:rtl/>
                              </w:rPr>
                              <w:t>מרבע</w:t>
                            </w:r>
                            <w:r w:rsidRPr="00335CD4">
                              <w:rPr>
                                <w:rFonts w:cs="Tahoma"/>
                                <w:color w:val="0B5294"/>
                                <w:spacing w:val="-4"/>
                                <w:sz w:val="24"/>
                                <w:szCs w:val="24"/>
                                <w:rtl/>
                              </w:rPr>
                              <w:t xml:space="preserve"> </w:t>
                            </w:r>
                            <w:r w:rsidRPr="00335CD4">
                              <w:rPr>
                                <w:rFonts w:cs="Tahoma" w:hint="eastAsia"/>
                                <w:color w:val="0B5294"/>
                                <w:spacing w:val="-4"/>
                                <w:sz w:val="24"/>
                                <w:szCs w:val="24"/>
                                <w:rtl/>
                              </w:rPr>
                              <w:t>מהפונים</w:t>
                            </w:r>
                            <w:r w:rsidRPr="00335CD4">
                              <w:rPr>
                                <w:rFonts w:cs="Tahoma"/>
                                <w:color w:val="0B5294"/>
                                <w:spacing w:val="-4"/>
                                <w:sz w:val="24"/>
                                <w:szCs w:val="24"/>
                                <w:rtl/>
                              </w:rPr>
                              <w:t xml:space="preserve"> </w:t>
                            </w:r>
                            <w:r w:rsidRPr="00335CD4">
                              <w:rPr>
                                <w:rFonts w:cs="Tahoma" w:hint="eastAsia"/>
                                <w:color w:val="0B5294"/>
                                <w:spacing w:val="-4"/>
                                <w:sz w:val="24"/>
                                <w:szCs w:val="24"/>
                                <w:rtl/>
                              </w:rPr>
                              <w:t>לחדרי</w:t>
                            </w:r>
                            <w:r w:rsidRPr="00335CD4">
                              <w:rPr>
                                <w:rFonts w:cs="Tahoma"/>
                                <w:color w:val="0B5294"/>
                                <w:spacing w:val="-4"/>
                                <w:sz w:val="24"/>
                                <w:szCs w:val="24"/>
                                <w:rtl/>
                              </w:rPr>
                              <w:t xml:space="preserve"> </w:t>
                            </w:r>
                            <w:r w:rsidRPr="00335CD4">
                              <w:rPr>
                                <w:rFonts w:cs="Tahoma" w:hint="eastAsia"/>
                                <w:color w:val="0B5294"/>
                                <w:spacing w:val="-4"/>
                                <w:sz w:val="24"/>
                                <w:szCs w:val="24"/>
                                <w:rtl/>
                              </w:rPr>
                              <w:t>המיון</w:t>
                            </w:r>
                            <w:r w:rsidRPr="00335CD4">
                              <w:rPr>
                                <w:rFonts w:cs="Tahoma"/>
                                <w:color w:val="0B5294"/>
                                <w:spacing w:val="-4"/>
                                <w:sz w:val="24"/>
                                <w:szCs w:val="24"/>
                                <w:rtl/>
                              </w:rPr>
                              <w:t xml:space="preserve"> </w:t>
                            </w:r>
                            <w:r w:rsidRPr="00335CD4">
                              <w:rPr>
                                <w:rFonts w:cs="Tahoma" w:hint="eastAsia"/>
                                <w:color w:val="0B5294"/>
                                <w:spacing w:val="-4"/>
                                <w:sz w:val="24"/>
                                <w:szCs w:val="24"/>
                                <w:rtl/>
                              </w:rPr>
                              <w:t>על</w:t>
                            </w:r>
                            <w:r w:rsidRPr="00335CD4">
                              <w:rPr>
                                <w:rFonts w:cs="Tahoma"/>
                                <w:color w:val="0B5294"/>
                                <w:spacing w:val="-4"/>
                                <w:sz w:val="24"/>
                                <w:szCs w:val="24"/>
                                <w:rtl/>
                              </w:rPr>
                              <w:t xml:space="preserve"> </w:t>
                            </w:r>
                            <w:r w:rsidRPr="00335CD4">
                              <w:rPr>
                                <w:rFonts w:cs="Tahoma" w:hint="eastAsia"/>
                                <w:color w:val="0B5294"/>
                                <w:spacing w:val="-4"/>
                                <w:sz w:val="24"/>
                                <w:szCs w:val="24"/>
                                <w:rtl/>
                              </w:rPr>
                              <w:t>רקע</w:t>
                            </w:r>
                            <w:r w:rsidRPr="00335CD4">
                              <w:rPr>
                                <w:rFonts w:cs="Tahoma"/>
                                <w:color w:val="0B5294"/>
                                <w:spacing w:val="-4"/>
                                <w:sz w:val="24"/>
                                <w:szCs w:val="24"/>
                                <w:rtl/>
                              </w:rPr>
                              <w:t xml:space="preserve"> </w:t>
                            </w:r>
                            <w:r w:rsidRPr="00335CD4">
                              <w:rPr>
                                <w:rFonts w:cs="Tahoma" w:hint="eastAsia"/>
                                <w:color w:val="0B5294"/>
                                <w:spacing w:val="-4"/>
                                <w:sz w:val="24"/>
                                <w:szCs w:val="24"/>
                                <w:rtl/>
                              </w:rPr>
                              <w:t>שימוש</w:t>
                            </w:r>
                            <w:r w:rsidRPr="00335CD4">
                              <w:rPr>
                                <w:rFonts w:cs="Tahoma"/>
                                <w:color w:val="0B5294"/>
                                <w:spacing w:val="-4"/>
                                <w:sz w:val="24"/>
                                <w:szCs w:val="24"/>
                                <w:rtl/>
                              </w:rPr>
                              <w:t xml:space="preserve"> </w:t>
                            </w:r>
                            <w:r w:rsidRPr="00335CD4">
                              <w:rPr>
                                <w:rFonts w:cs="Tahoma" w:hint="eastAsia"/>
                                <w:color w:val="0B5294"/>
                                <w:spacing w:val="-4"/>
                                <w:sz w:val="24"/>
                                <w:szCs w:val="24"/>
                                <w:rtl/>
                              </w:rPr>
                              <w:t>באלכוהול</w:t>
                            </w:r>
                            <w:r w:rsidRPr="00335CD4">
                              <w:rPr>
                                <w:rFonts w:cs="Tahoma"/>
                                <w:color w:val="0B5294"/>
                                <w:spacing w:val="-4"/>
                                <w:sz w:val="24"/>
                                <w:szCs w:val="24"/>
                                <w:rtl/>
                              </w:rPr>
                              <w:t xml:space="preserve"> </w:t>
                            </w:r>
                            <w:r w:rsidRPr="00335CD4">
                              <w:rPr>
                                <w:rFonts w:cs="Tahoma" w:hint="eastAsia"/>
                                <w:color w:val="0B5294"/>
                                <w:spacing w:val="-4"/>
                                <w:sz w:val="24"/>
                                <w:szCs w:val="24"/>
                                <w:rtl/>
                              </w:rPr>
                              <w:t>וכ</w:t>
                            </w:r>
                            <w:r w:rsidRPr="00335CD4">
                              <w:rPr>
                                <w:rFonts w:cs="Tahoma"/>
                                <w:color w:val="0B5294"/>
                                <w:spacing w:val="-4"/>
                                <w:sz w:val="24"/>
                                <w:szCs w:val="24"/>
                                <w:rtl/>
                              </w:rPr>
                              <w:t xml:space="preserve">-17% </w:t>
                            </w:r>
                            <w:r w:rsidRPr="00335CD4">
                              <w:rPr>
                                <w:rFonts w:cs="Tahoma" w:hint="eastAsia"/>
                                <w:color w:val="0B5294"/>
                                <w:spacing w:val="-4"/>
                                <w:sz w:val="24"/>
                                <w:szCs w:val="24"/>
                                <w:rtl/>
                              </w:rPr>
                              <w:t>מהפונים</w:t>
                            </w:r>
                            <w:r w:rsidRPr="00335CD4">
                              <w:rPr>
                                <w:rFonts w:cs="Tahoma"/>
                                <w:color w:val="0B5294"/>
                                <w:spacing w:val="-4"/>
                                <w:sz w:val="24"/>
                                <w:szCs w:val="24"/>
                                <w:rtl/>
                              </w:rPr>
                              <w:t xml:space="preserve"> </w:t>
                            </w:r>
                            <w:r w:rsidRPr="00335CD4">
                              <w:rPr>
                                <w:rFonts w:cs="Tahoma" w:hint="eastAsia"/>
                                <w:color w:val="0B5294"/>
                                <w:spacing w:val="-4"/>
                                <w:sz w:val="24"/>
                                <w:szCs w:val="24"/>
                                <w:rtl/>
                              </w:rPr>
                              <w:t>על</w:t>
                            </w:r>
                            <w:r w:rsidRPr="00335CD4">
                              <w:rPr>
                                <w:rFonts w:cs="Tahoma"/>
                                <w:color w:val="0B5294"/>
                                <w:spacing w:val="-4"/>
                                <w:sz w:val="24"/>
                                <w:szCs w:val="24"/>
                                <w:rtl/>
                              </w:rPr>
                              <w:t xml:space="preserve"> </w:t>
                            </w:r>
                            <w:r w:rsidRPr="00335CD4">
                              <w:rPr>
                                <w:rFonts w:cs="Tahoma" w:hint="eastAsia"/>
                                <w:color w:val="0B5294"/>
                                <w:spacing w:val="-4"/>
                                <w:sz w:val="24"/>
                                <w:szCs w:val="24"/>
                                <w:rtl/>
                              </w:rPr>
                              <w:t>רקע</w:t>
                            </w:r>
                            <w:r w:rsidRPr="00335CD4">
                              <w:rPr>
                                <w:rFonts w:cs="Tahoma"/>
                                <w:color w:val="0B5294"/>
                                <w:spacing w:val="-4"/>
                                <w:sz w:val="24"/>
                                <w:szCs w:val="24"/>
                                <w:rtl/>
                              </w:rPr>
                              <w:t xml:space="preserve"> </w:t>
                            </w:r>
                            <w:r w:rsidRPr="00335CD4">
                              <w:rPr>
                                <w:rFonts w:cs="Tahoma" w:hint="eastAsia"/>
                                <w:color w:val="0B5294"/>
                                <w:spacing w:val="-4"/>
                                <w:sz w:val="24"/>
                                <w:szCs w:val="24"/>
                                <w:rtl/>
                              </w:rPr>
                              <w:t>שימוש</w:t>
                            </w:r>
                            <w:r w:rsidRPr="00335CD4">
                              <w:rPr>
                                <w:rFonts w:cs="Tahoma"/>
                                <w:color w:val="0B5294"/>
                                <w:spacing w:val="-4"/>
                                <w:sz w:val="24"/>
                                <w:szCs w:val="24"/>
                                <w:rtl/>
                              </w:rPr>
                              <w:t xml:space="preserve"> </w:t>
                            </w:r>
                            <w:r w:rsidRPr="00335CD4">
                              <w:rPr>
                                <w:rFonts w:cs="Tahoma" w:hint="eastAsia"/>
                                <w:color w:val="0B5294"/>
                                <w:spacing w:val="-4"/>
                                <w:sz w:val="24"/>
                                <w:szCs w:val="24"/>
                                <w:rtl/>
                              </w:rPr>
                              <w:t>בסמים</w:t>
                            </w:r>
                            <w:r w:rsidRPr="00335CD4">
                              <w:rPr>
                                <w:rFonts w:cs="Tahoma"/>
                                <w:color w:val="0B5294"/>
                                <w:spacing w:val="-4"/>
                                <w:sz w:val="24"/>
                                <w:szCs w:val="24"/>
                                <w:rtl/>
                              </w:rPr>
                              <w:t xml:space="preserve"> </w:t>
                            </w:r>
                            <w:r w:rsidRPr="00335CD4">
                              <w:rPr>
                                <w:rFonts w:cs="Tahoma" w:hint="eastAsia"/>
                                <w:color w:val="0B5294"/>
                                <w:spacing w:val="-4"/>
                                <w:sz w:val="24"/>
                                <w:szCs w:val="24"/>
                                <w:rtl/>
                              </w:rPr>
                              <w:t>היו</w:t>
                            </w:r>
                            <w:r w:rsidRPr="00335CD4">
                              <w:rPr>
                                <w:rFonts w:cs="Tahoma"/>
                                <w:color w:val="0B5294"/>
                                <w:spacing w:val="-4"/>
                                <w:sz w:val="24"/>
                                <w:szCs w:val="24"/>
                                <w:rtl/>
                              </w:rPr>
                              <w:t xml:space="preserve"> </w:t>
                            </w:r>
                            <w:r w:rsidRPr="00335CD4">
                              <w:rPr>
                                <w:rFonts w:cs="Tahoma" w:hint="eastAsia"/>
                                <w:color w:val="0B5294"/>
                                <w:spacing w:val="-4"/>
                                <w:sz w:val="24"/>
                                <w:szCs w:val="24"/>
                                <w:rtl/>
                              </w:rPr>
                              <w:t>צעירים</w:t>
                            </w:r>
                            <w:r w:rsidRPr="00335CD4">
                              <w:rPr>
                                <w:rFonts w:cs="Tahoma"/>
                                <w:color w:val="0B5294"/>
                                <w:spacing w:val="-4"/>
                                <w:sz w:val="24"/>
                                <w:szCs w:val="24"/>
                                <w:rtl/>
                              </w:rPr>
                              <w:t xml:space="preserve"> </w:t>
                            </w:r>
                            <w:r w:rsidRPr="00335CD4">
                              <w:rPr>
                                <w:rFonts w:cs="Tahoma" w:hint="eastAsia"/>
                                <w:color w:val="0B5294"/>
                                <w:spacing w:val="-4"/>
                                <w:sz w:val="24"/>
                                <w:szCs w:val="24"/>
                                <w:rtl/>
                              </w:rPr>
                              <w:t>בני</w:t>
                            </w:r>
                            <w:r w:rsidRPr="00335CD4">
                              <w:rPr>
                                <w:rFonts w:cs="Tahoma"/>
                                <w:color w:val="0B5294"/>
                                <w:spacing w:val="-4"/>
                                <w:sz w:val="24"/>
                                <w:szCs w:val="24"/>
                                <w:rtl/>
                              </w:rPr>
                              <w:t xml:space="preserve"> 12 - 21</w:t>
                            </w:r>
                          </w:p>
                          <w:p w:rsidR="00290C9B" w:rsidRPr="00373C5D" w:rsidP="00290C9B">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45349567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310494"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8"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3120" filled="f" stroked="f">
                <v:textbox>
                  <w:txbxContent>
                    <w:p w:rsidR="00290C9B" w:rsidRPr="00373C5D" w:rsidP="00290C9B">
                      <w:pPr>
                        <w:spacing w:line="240" w:lineRule="atLeast"/>
                        <w:rPr>
                          <w:rFonts w:cs="Tahoma"/>
                          <w:b/>
                          <w:bCs/>
                          <w:color w:val="0B5294"/>
                          <w:sz w:val="48"/>
                          <w:szCs w:val="48"/>
                          <w:rtl/>
                        </w:rPr>
                      </w:pPr>
                      <w:drawing>
                        <wp:inline distT="0" distB="0" distL="0" distR="0">
                          <wp:extent cx="311150" cy="256800"/>
                          <wp:effectExtent l="0" t="0" r="0" b="0"/>
                          <wp:docPr id="1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630552"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290C9B" w:rsidRPr="00881D99" w:rsidP="00290C9B">
                      <w:pPr>
                        <w:spacing w:after="0" w:line="240" w:lineRule="auto"/>
                        <w:rPr>
                          <w:color w:val="0B5294"/>
                          <w:spacing w:val="-4"/>
                          <w:sz w:val="24"/>
                          <w:szCs w:val="24"/>
                          <w:rtl/>
                          <w:cs/>
                        </w:rPr>
                      </w:pPr>
                      <w:r w:rsidRPr="00335CD4">
                        <w:rPr>
                          <w:rFonts w:cs="Tahoma" w:hint="eastAsia"/>
                          <w:color w:val="0B5294"/>
                          <w:spacing w:val="-4"/>
                          <w:sz w:val="24"/>
                          <w:szCs w:val="24"/>
                          <w:rtl/>
                        </w:rPr>
                        <w:t>בשנת</w:t>
                      </w:r>
                      <w:r w:rsidRPr="00335CD4">
                        <w:rPr>
                          <w:rFonts w:cs="Tahoma"/>
                          <w:color w:val="0B5294"/>
                          <w:spacing w:val="-4"/>
                          <w:sz w:val="24"/>
                          <w:szCs w:val="24"/>
                          <w:rtl/>
                        </w:rPr>
                        <w:t xml:space="preserve"> 2017 </w:t>
                      </w:r>
                      <w:r w:rsidRPr="00335CD4">
                        <w:rPr>
                          <w:rFonts w:cs="Tahoma" w:hint="eastAsia"/>
                          <w:color w:val="0B5294"/>
                          <w:spacing w:val="-4"/>
                          <w:sz w:val="24"/>
                          <w:szCs w:val="24"/>
                          <w:rtl/>
                        </w:rPr>
                        <w:t>יותר</w:t>
                      </w:r>
                      <w:r w:rsidRPr="00335CD4">
                        <w:rPr>
                          <w:rFonts w:cs="Tahoma"/>
                          <w:color w:val="0B5294"/>
                          <w:spacing w:val="-4"/>
                          <w:sz w:val="24"/>
                          <w:szCs w:val="24"/>
                          <w:rtl/>
                        </w:rPr>
                        <w:t xml:space="preserve"> </w:t>
                      </w:r>
                      <w:r w:rsidRPr="00335CD4">
                        <w:rPr>
                          <w:rFonts w:cs="Tahoma" w:hint="eastAsia"/>
                          <w:color w:val="0B5294"/>
                          <w:spacing w:val="-4"/>
                          <w:sz w:val="24"/>
                          <w:szCs w:val="24"/>
                          <w:rtl/>
                        </w:rPr>
                        <w:t>מרבע</w:t>
                      </w:r>
                      <w:r w:rsidRPr="00335CD4">
                        <w:rPr>
                          <w:rFonts w:cs="Tahoma"/>
                          <w:color w:val="0B5294"/>
                          <w:spacing w:val="-4"/>
                          <w:sz w:val="24"/>
                          <w:szCs w:val="24"/>
                          <w:rtl/>
                        </w:rPr>
                        <w:t xml:space="preserve"> </w:t>
                      </w:r>
                      <w:r w:rsidRPr="00335CD4">
                        <w:rPr>
                          <w:rFonts w:cs="Tahoma" w:hint="eastAsia"/>
                          <w:color w:val="0B5294"/>
                          <w:spacing w:val="-4"/>
                          <w:sz w:val="24"/>
                          <w:szCs w:val="24"/>
                          <w:rtl/>
                        </w:rPr>
                        <w:t>מהפונים</w:t>
                      </w:r>
                      <w:r w:rsidRPr="00335CD4">
                        <w:rPr>
                          <w:rFonts w:cs="Tahoma"/>
                          <w:color w:val="0B5294"/>
                          <w:spacing w:val="-4"/>
                          <w:sz w:val="24"/>
                          <w:szCs w:val="24"/>
                          <w:rtl/>
                        </w:rPr>
                        <w:t xml:space="preserve"> </w:t>
                      </w:r>
                      <w:r w:rsidRPr="00335CD4">
                        <w:rPr>
                          <w:rFonts w:cs="Tahoma" w:hint="eastAsia"/>
                          <w:color w:val="0B5294"/>
                          <w:spacing w:val="-4"/>
                          <w:sz w:val="24"/>
                          <w:szCs w:val="24"/>
                          <w:rtl/>
                        </w:rPr>
                        <w:t>לחדרי</w:t>
                      </w:r>
                      <w:r w:rsidRPr="00335CD4">
                        <w:rPr>
                          <w:rFonts w:cs="Tahoma"/>
                          <w:color w:val="0B5294"/>
                          <w:spacing w:val="-4"/>
                          <w:sz w:val="24"/>
                          <w:szCs w:val="24"/>
                          <w:rtl/>
                        </w:rPr>
                        <w:t xml:space="preserve"> </w:t>
                      </w:r>
                      <w:r w:rsidRPr="00335CD4">
                        <w:rPr>
                          <w:rFonts w:cs="Tahoma" w:hint="eastAsia"/>
                          <w:color w:val="0B5294"/>
                          <w:spacing w:val="-4"/>
                          <w:sz w:val="24"/>
                          <w:szCs w:val="24"/>
                          <w:rtl/>
                        </w:rPr>
                        <w:t>המיון</w:t>
                      </w:r>
                      <w:r w:rsidRPr="00335CD4">
                        <w:rPr>
                          <w:rFonts w:cs="Tahoma"/>
                          <w:color w:val="0B5294"/>
                          <w:spacing w:val="-4"/>
                          <w:sz w:val="24"/>
                          <w:szCs w:val="24"/>
                          <w:rtl/>
                        </w:rPr>
                        <w:t xml:space="preserve"> </w:t>
                      </w:r>
                      <w:r w:rsidRPr="00335CD4">
                        <w:rPr>
                          <w:rFonts w:cs="Tahoma" w:hint="eastAsia"/>
                          <w:color w:val="0B5294"/>
                          <w:spacing w:val="-4"/>
                          <w:sz w:val="24"/>
                          <w:szCs w:val="24"/>
                          <w:rtl/>
                        </w:rPr>
                        <w:t>על</w:t>
                      </w:r>
                      <w:r w:rsidRPr="00335CD4">
                        <w:rPr>
                          <w:rFonts w:cs="Tahoma"/>
                          <w:color w:val="0B5294"/>
                          <w:spacing w:val="-4"/>
                          <w:sz w:val="24"/>
                          <w:szCs w:val="24"/>
                          <w:rtl/>
                        </w:rPr>
                        <w:t xml:space="preserve"> </w:t>
                      </w:r>
                      <w:r w:rsidRPr="00335CD4">
                        <w:rPr>
                          <w:rFonts w:cs="Tahoma" w:hint="eastAsia"/>
                          <w:color w:val="0B5294"/>
                          <w:spacing w:val="-4"/>
                          <w:sz w:val="24"/>
                          <w:szCs w:val="24"/>
                          <w:rtl/>
                        </w:rPr>
                        <w:t>רקע</w:t>
                      </w:r>
                      <w:r w:rsidRPr="00335CD4">
                        <w:rPr>
                          <w:rFonts w:cs="Tahoma"/>
                          <w:color w:val="0B5294"/>
                          <w:spacing w:val="-4"/>
                          <w:sz w:val="24"/>
                          <w:szCs w:val="24"/>
                          <w:rtl/>
                        </w:rPr>
                        <w:t xml:space="preserve"> </w:t>
                      </w:r>
                      <w:r w:rsidRPr="00335CD4">
                        <w:rPr>
                          <w:rFonts w:cs="Tahoma" w:hint="eastAsia"/>
                          <w:color w:val="0B5294"/>
                          <w:spacing w:val="-4"/>
                          <w:sz w:val="24"/>
                          <w:szCs w:val="24"/>
                          <w:rtl/>
                        </w:rPr>
                        <w:t>שימוש</w:t>
                      </w:r>
                      <w:r w:rsidRPr="00335CD4">
                        <w:rPr>
                          <w:rFonts w:cs="Tahoma"/>
                          <w:color w:val="0B5294"/>
                          <w:spacing w:val="-4"/>
                          <w:sz w:val="24"/>
                          <w:szCs w:val="24"/>
                          <w:rtl/>
                        </w:rPr>
                        <w:t xml:space="preserve"> </w:t>
                      </w:r>
                      <w:r w:rsidRPr="00335CD4">
                        <w:rPr>
                          <w:rFonts w:cs="Tahoma" w:hint="eastAsia"/>
                          <w:color w:val="0B5294"/>
                          <w:spacing w:val="-4"/>
                          <w:sz w:val="24"/>
                          <w:szCs w:val="24"/>
                          <w:rtl/>
                        </w:rPr>
                        <w:t>באלכוהול</w:t>
                      </w:r>
                      <w:r w:rsidRPr="00335CD4">
                        <w:rPr>
                          <w:rFonts w:cs="Tahoma"/>
                          <w:color w:val="0B5294"/>
                          <w:spacing w:val="-4"/>
                          <w:sz w:val="24"/>
                          <w:szCs w:val="24"/>
                          <w:rtl/>
                        </w:rPr>
                        <w:t xml:space="preserve"> </w:t>
                      </w:r>
                      <w:r w:rsidRPr="00335CD4">
                        <w:rPr>
                          <w:rFonts w:cs="Tahoma" w:hint="eastAsia"/>
                          <w:color w:val="0B5294"/>
                          <w:spacing w:val="-4"/>
                          <w:sz w:val="24"/>
                          <w:szCs w:val="24"/>
                          <w:rtl/>
                        </w:rPr>
                        <w:t>וכ</w:t>
                      </w:r>
                      <w:r w:rsidRPr="00335CD4">
                        <w:rPr>
                          <w:rFonts w:cs="Tahoma"/>
                          <w:color w:val="0B5294"/>
                          <w:spacing w:val="-4"/>
                          <w:sz w:val="24"/>
                          <w:szCs w:val="24"/>
                          <w:rtl/>
                        </w:rPr>
                        <w:t xml:space="preserve">-17% </w:t>
                      </w:r>
                      <w:r w:rsidRPr="00335CD4">
                        <w:rPr>
                          <w:rFonts w:cs="Tahoma" w:hint="eastAsia"/>
                          <w:color w:val="0B5294"/>
                          <w:spacing w:val="-4"/>
                          <w:sz w:val="24"/>
                          <w:szCs w:val="24"/>
                          <w:rtl/>
                        </w:rPr>
                        <w:t>מהפונים</w:t>
                      </w:r>
                      <w:r w:rsidRPr="00335CD4">
                        <w:rPr>
                          <w:rFonts w:cs="Tahoma"/>
                          <w:color w:val="0B5294"/>
                          <w:spacing w:val="-4"/>
                          <w:sz w:val="24"/>
                          <w:szCs w:val="24"/>
                          <w:rtl/>
                        </w:rPr>
                        <w:t xml:space="preserve"> </w:t>
                      </w:r>
                      <w:r w:rsidRPr="00335CD4">
                        <w:rPr>
                          <w:rFonts w:cs="Tahoma" w:hint="eastAsia"/>
                          <w:color w:val="0B5294"/>
                          <w:spacing w:val="-4"/>
                          <w:sz w:val="24"/>
                          <w:szCs w:val="24"/>
                          <w:rtl/>
                        </w:rPr>
                        <w:t>על</w:t>
                      </w:r>
                      <w:r w:rsidRPr="00335CD4">
                        <w:rPr>
                          <w:rFonts w:cs="Tahoma"/>
                          <w:color w:val="0B5294"/>
                          <w:spacing w:val="-4"/>
                          <w:sz w:val="24"/>
                          <w:szCs w:val="24"/>
                          <w:rtl/>
                        </w:rPr>
                        <w:t xml:space="preserve"> </w:t>
                      </w:r>
                      <w:r w:rsidRPr="00335CD4">
                        <w:rPr>
                          <w:rFonts w:cs="Tahoma" w:hint="eastAsia"/>
                          <w:color w:val="0B5294"/>
                          <w:spacing w:val="-4"/>
                          <w:sz w:val="24"/>
                          <w:szCs w:val="24"/>
                          <w:rtl/>
                        </w:rPr>
                        <w:t>רקע</w:t>
                      </w:r>
                      <w:r w:rsidRPr="00335CD4">
                        <w:rPr>
                          <w:rFonts w:cs="Tahoma"/>
                          <w:color w:val="0B5294"/>
                          <w:spacing w:val="-4"/>
                          <w:sz w:val="24"/>
                          <w:szCs w:val="24"/>
                          <w:rtl/>
                        </w:rPr>
                        <w:t xml:space="preserve"> </w:t>
                      </w:r>
                      <w:r w:rsidRPr="00335CD4">
                        <w:rPr>
                          <w:rFonts w:cs="Tahoma" w:hint="eastAsia"/>
                          <w:color w:val="0B5294"/>
                          <w:spacing w:val="-4"/>
                          <w:sz w:val="24"/>
                          <w:szCs w:val="24"/>
                          <w:rtl/>
                        </w:rPr>
                        <w:t>שימוש</w:t>
                      </w:r>
                      <w:r w:rsidRPr="00335CD4">
                        <w:rPr>
                          <w:rFonts w:cs="Tahoma"/>
                          <w:color w:val="0B5294"/>
                          <w:spacing w:val="-4"/>
                          <w:sz w:val="24"/>
                          <w:szCs w:val="24"/>
                          <w:rtl/>
                        </w:rPr>
                        <w:t xml:space="preserve"> </w:t>
                      </w:r>
                      <w:r w:rsidRPr="00335CD4">
                        <w:rPr>
                          <w:rFonts w:cs="Tahoma" w:hint="eastAsia"/>
                          <w:color w:val="0B5294"/>
                          <w:spacing w:val="-4"/>
                          <w:sz w:val="24"/>
                          <w:szCs w:val="24"/>
                          <w:rtl/>
                        </w:rPr>
                        <w:t>בסמים</w:t>
                      </w:r>
                      <w:r w:rsidRPr="00335CD4">
                        <w:rPr>
                          <w:rFonts w:cs="Tahoma"/>
                          <w:color w:val="0B5294"/>
                          <w:spacing w:val="-4"/>
                          <w:sz w:val="24"/>
                          <w:szCs w:val="24"/>
                          <w:rtl/>
                        </w:rPr>
                        <w:t xml:space="preserve"> </w:t>
                      </w:r>
                      <w:r w:rsidRPr="00335CD4">
                        <w:rPr>
                          <w:rFonts w:cs="Tahoma" w:hint="eastAsia"/>
                          <w:color w:val="0B5294"/>
                          <w:spacing w:val="-4"/>
                          <w:sz w:val="24"/>
                          <w:szCs w:val="24"/>
                          <w:rtl/>
                        </w:rPr>
                        <w:t>היו</w:t>
                      </w:r>
                      <w:r w:rsidRPr="00335CD4">
                        <w:rPr>
                          <w:rFonts w:cs="Tahoma"/>
                          <w:color w:val="0B5294"/>
                          <w:spacing w:val="-4"/>
                          <w:sz w:val="24"/>
                          <w:szCs w:val="24"/>
                          <w:rtl/>
                        </w:rPr>
                        <w:t xml:space="preserve"> </w:t>
                      </w:r>
                      <w:r w:rsidRPr="00335CD4">
                        <w:rPr>
                          <w:rFonts w:cs="Tahoma" w:hint="eastAsia"/>
                          <w:color w:val="0B5294"/>
                          <w:spacing w:val="-4"/>
                          <w:sz w:val="24"/>
                          <w:szCs w:val="24"/>
                          <w:rtl/>
                        </w:rPr>
                        <w:t>צעירים</w:t>
                      </w:r>
                      <w:r w:rsidRPr="00335CD4">
                        <w:rPr>
                          <w:rFonts w:cs="Tahoma"/>
                          <w:color w:val="0B5294"/>
                          <w:spacing w:val="-4"/>
                          <w:sz w:val="24"/>
                          <w:szCs w:val="24"/>
                          <w:rtl/>
                        </w:rPr>
                        <w:t xml:space="preserve"> </w:t>
                      </w:r>
                      <w:r w:rsidRPr="00335CD4">
                        <w:rPr>
                          <w:rFonts w:cs="Tahoma" w:hint="eastAsia"/>
                          <w:color w:val="0B5294"/>
                          <w:spacing w:val="-4"/>
                          <w:sz w:val="24"/>
                          <w:szCs w:val="24"/>
                          <w:rtl/>
                        </w:rPr>
                        <w:t>בני</w:t>
                      </w:r>
                      <w:r w:rsidRPr="00335CD4">
                        <w:rPr>
                          <w:rFonts w:cs="Tahoma"/>
                          <w:color w:val="0B5294"/>
                          <w:spacing w:val="-4"/>
                          <w:sz w:val="24"/>
                          <w:szCs w:val="24"/>
                          <w:rtl/>
                        </w:rPr>
                        <w:t xml:space="preserve"> 12 - 21</w:t>
                      </w:r>
                    </w:p>
                    <w:p w:rsidR="00290C9B" w:rsidRPr="00373C5D" w:rsidP="00290C9B">
                      <w:pPr>
                        <w:spacing w:before="120" w:after="0" w:line="240" w:lineRule="atLeast"/>
                        <w:rPr>
                          <w:rFonts w:cs="Tahoma"/>
                          <w:b/>
                          <w:bCs/>
                          <w:color w:val="0B5294"/>
                          <w:sz w:val="48"/>
                          <w:szCs w:val="48"/>
                          <w:rtl/>
                        </w:rPr>
                      </w:pPr>
                      <w:drawing>
                        <wp:inline distT="0" distB="0" distL="0" distR="0">
                          <wp:extent cx="288000" cy="31337"/>
                          <wp:effectExtent l="0" t="0" r="0" b="6985"/>
                          <wp:docPr id="2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534240"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9B6D36" w:rsidRPr="00E9129B" w:rsidP="006F20AD">
      <w:pPr>
        <w:pStyle w:val="RESHET"/>
        <w:rPr>
          <w:rtl/>
        </w:rPr>
      </w:pPr>
      <w:r w:rsidRPr="00E9129B">
        <w:rPr>
          <w:rFonts w:hint="eastAsia"/>
          <w:rtl/>
        </w:rPr>
        <w:t>מחקרים</w:t>
      </w:r>
      <w:r w:rsidRPr="00E9129B">
        <w:rPr>
          <w:rtl/>
        </w:rPr>
        <w:t xml:space="preserve"> בישראל מצאו שיעור גבוה של תלמידים שמדווחים על התנהגויות סיכון - שת</w:t>
      </w:r>
      <w:r w:rsidRPr="00E9129B">
        <w:rPr>
          <w:rFonts w:hint="cs"/>
          <w:rtl/>
        </w:rPr>
        <w:t>י</w:t>
      </w:r>
      <w:r w:rsidRPr="00E9129B">
        <w:rPr>
          <w:rtl/>
        </w:rPr>
        <w:t>יה מופרזת והשתכרות</w:t>
      </w:r>
      <w:r w:rsidRPr="00E9129B">
        <w:rPr>
          <w:rFonts w:hint="cs"/>
          <w:rtl/>
        </w:rPr>
        <w:t xml:space="preserve"> ו</w:t>
      </w:r>
      <w:r w:rsidRPr="00E9129B">
        <w:rPr>
          <w:rtl/>
        </w:rPr>
        <w:t xml:space="preserve">שימוש בסמים (ראו להלן). שימוש מזיק (או שימוש לרעה) בחומרים </w:t>
      </w:r>
      <w:r w:rsidRPr="00E9129B">
        <w:rPr>
          <w:rFonts w:hint="cs"/>
          <w:rtl/>
        </w:rPr>
        <w:t xml:space="preserve">ממכרים </w:t>
      </w:r>
      <w:r w:rsidRPr="00E9129B">
        <w:rPr>
          <w:rtl/>
        </w:rPr>
        <w:t>על ידי בני נוער עלול להוביל להתמכרות: מחקרים הראו כי הגיל הממוצע להתנסות ראשונה בשתיית אלכוהול הוא 1</w:t>
      </w:r>
      <w:r w:rsidR="006F20AD">
        <w:rPr>
          <w:rFonts w:hint="cs"/>
          <w:rtl/>
        </w:rPr>
        <w:t>1</w:t>
      </w:r>
      <w:r w:rsidR="002E34D6">
        <w:rPr>
          <w:rFonts w:hint="cs"/>
          <w:rtl/>
        </w:rPr>
        <w:t xml:space="preserve"> </w:t>
      </w:r>
      <w:r w:rsidRPr="00E9129B">
        <w:rPr>
          <w:rtl/>
        </w:rPr>
        <w:t>-</w:t>
      </w:r>
      <w:r w:rsidR="002E34D6">
        <w:rPr>
          <w:rFonts w:hint="cs"/>
          <w:rtl/>
        </w:rPr>
        <w:t xml:space="preserve"> </w:t>
      </w:r>
      <w:r w:rsidRPr="00E9129B">
        <w:rPr>
          <w:rtl/>
        </w:rPr>
        <w:t>1</w:t>
      </w:r>
      <w:r w:rsidR="006F20AD">
        <w:rPr>
          <w:rFonts w:hint="cs"/>
          <w:rtl/>
        </w:rPr>
        <w:t>2</w:t>
      </w:r>
      <w:r w:rsidRPr="00E9129B">
        <w:rPr>
          <w:rtl/>
        </w:rPr>
        <w:t xml:space="preserve">. מחקרים בישראל הצביעו על מגמת ירידה בגיל </w:t>
      </w:r>
      <w:r w:rsidRPr="00E9129B">
        <w:rPr>
          <w:rFonts w:hint="cs"/>
          <w:rtl/>
        </w:rPr>
        <w:t>הה</w:t>
      </w:r>
      <w:r w:rsidRPr="00E9129B">
        <w:rPr>
          <w:rtl/>
        </w:rPr>
        <w:t>תח</w:t>
      </w:r>
      <w:r w:rsidRPr="00E9129B">
        <w:rPr>
          <w:rFonts w:hint="cs"/>
          <w:rtl/>
        </w:rPr>
        <w:t>לה של</w:t>
      </w:r>
      <w:r w:rsidRPr="00E9129B">
        <w:rPr>
          <w:rtl/>
        </w:rPr>
        <w:t xml:space="preserve"> שתיית אלכוהול</w:t>
      </w:r>
      <w:r>
        <w:rPr>
          <w:vertAlign w:val="superscript"/>
          <w:rtl/>
        </w:rPr>
        <w:footnoteReference w:id="71"/>
      </w:r>
      <w:r w:rsidRPr="00E9129B">
        <w:rPr>
          <w:rtl/>
        </w:rPr>
        <w:t xml:space="preserve">. ככל שגיל ההתנסות </w:t>
      </w:r>
      <w:r w:rsidRPr="00E9129B">
        <w:rPr>
          <w:rFonts w:hint="cs"/>
          <w:rtl/>
        </w:rPr>
        <w:t>ה</w:t>
      </w:r>
      <w:r w:rsidRPr="00E9129B">
        <w:rPr>
          <w:rtl/>
        </w:rPr>
        <w:t xml:space="preserve">התחלתית </w:t>
      </w:r>
      <w:r w:rsidRPr="00E9129B">
        <w:rPr>
          <w:spacing w:val="-4"/>
          <w:rtl/>
        </w:rPr>
        <w:t>נמוך יותר</w:t>
      </w:r>
      <w:r w:rsidRPr="00E9129B">
        <w:rPr>
          <w:rFonts w:hint="cs"/>
          <w:spacing w:val="-4"/>
          <w:rtl/>
        </w:rPr>
        <w:t xml:space="preserve"> -</w:t>
      </w:r>
      <w:r w:rsidRPr="00E9129B">
        <w:rPr>
          <w:spacing w:val="-4"/>
          <w:rtl/>
        </w:rPr>
        <w:t xml:space="preserve"> כ</w:t>
      </w:r>
      <w:r w:rsidRPr="00E9129B">
        <w:rPr>
          <w:rFonts w:hint="cs"/>
          <w:spacing w:val="-4"/>
          <w:rtl/>
        </w:rPr>
        <w:t>ן</w:t>
      </w:r>
      <w:r w:rsidRPr="00E9129B">
        <w:rPr>
          <w:spacing w:val="-4"/>
          <w:rtl/>
        </w:rPr>
        <w:t xml:space="preserve"> ג</w:t>
      </w:r>
      <w:r w:rsidRPr="00E9129B">
        <w:rPr>
          <w:rFonts w:hint="cs"/>
          <w:spacing w:val="-4"/>
          <w:rtl/>
        </w:rPr>
        <w:t>וברים</w:t>
      </w:r>
      <w:r w:rsidRPr="00E9129B">
        <w:rPr>
          <w:spacing w:val="-4"/>
          <w:rtl/>
        </w:rPr>
        <w:t xml:space="preserve"> הסיכויים לצריכה מתמשכת עד תלותית של אלכוהול</w:t>
      </w:r>
      <w:r w:rsidRPr="00E9129B">
        <w:rPr>
          <w:rtl/>
        </w:rPr>
        <w:t xml:space="preserve"> לאורך החיים</w:t>
      </w:r>
      <w:r>
        <w:rPr>
          <w:rStyle w:val="FootnoteReference0"/>
          <w:sz w:val="18"/>
          <w:rtl/>
        </w:rPr>
        <w:footnoteReference w:id="72"/>
      </w:r>
      <w:r w:rsidRPr="00E9129B">
        <w:rPr>
          <w:rtl/>
        </w:rPr>
        <w:t>. ב</w:t>
      </w:r>
      <w:r w:rsidRPr="00E9129B">
        <w:rPr>
          <w:rFonts w:hint="cs"/>
          <w:rtl/>
        </w:rPr>
        <w:t>נוגע</w:t>
      </w:r>
      <w:r w:rsidRPr="00E9129B">
        <w:rPr>
          <w:rtl/>
        </w:rPr>
        <w:t xml:space="preserve"> </w:t>
      </w:r>
      <w:r w:rsidRPr="00E9129B">
        <w:rPr>
          <w:rFonts w:hint="eastAsia"/>
          <w:rtl/>
        </w:rPr>
        <w:t>לקאנביס</w:t>
      </w:r>
      <w:r w:rsidRPr="00E9129B">
        <w:rPr>
          <w:rFonts w:hint="cs"/>
          <w:rtl/>
        </w:rPr>
        <w:t xml:space="preserve"> -</w:t>
      </w:r>
      <w:r w:rsidRPr="00E9129B">
        <w:rPr>
          <w:rtl/>
        </w:rPr>
        <w:t xml:space="preserve"> 10%</w:t>
      </w:r>
      <w:r w:rsidR="006F20AD">
        <w:rPr>
          <w:rFonts w:hint="cs"/>
          <w:rtl/>
        </w:rPr>
        <w:t xml:space="preserve"> </w:t>
      </w:r>
      <w:r w:rsidRPr="00E9129B">
        <w:rPr>
          <w:rtl/>
        </w:rPr>
        <w:t>-</w:t>
      </w:r>
      <w:r w:rsidR="006F20AD">
        <w:rPr>
          <w:rFonts w:hint="cs"/>
          <w:rtl/>
        </w:rPr>
        <w:t xml:space="preserve"> </w:t>
      </w:r>
      <w:r w:rsidRPr="00E9129B">
        <w:rPr>
          <w:rtl/>
        </w:rPr>
        <w:t>17% מבני הנוער ש</w:t>
      </w:r>
      <w:r w:rsidRPr="00E9129B">
        <w:rPr>
          <w:rFonts w:hint="cs"/>
          <w:rtl/>
        </w:rPr>
        <w:t>משתמשים</w:t>
      </w:r>
      <w:r w:rsidRPr="00E9129B">
        <w:rPr>
          <w:rtl/>
        </w:rPr>
        <w:t xml:space="preserve"> </w:t>
      </w:r>
      <w:r w:rsidRPr="00E9129B">
        <w:rPr>
          <w:rFonts w:hint="cs"/>
          <w:rtl/>
        </w:rPr>
        <w:t xml:space="preserve">בו </w:t>
      </w:r>
      <w:r w:rsidRPr="00E9129B">
        <w:rPr>
          <w:rtl/>
        </w:rPr>
        <w:t xml:space="preserve">שימוש חוזר נוטים לפתח התמכרות </w:t>
      </w:r>
      <w:r w:rsidRPr="00E9129B">
        <w:rPr>
          <w:rFonts w:hint="eastAsia"/>
          <w:rtl/>
        </w:rPr>
        <w:t>לקאנביס</w:t>
      </w:r>
      <w:r>
        <w:rPr>
          <w:rStyle w:val="FootnoteReference0"/>
          <w:sz w:val="18"/>
          <w:rtl/>
        </w:rPr>
        <w:footnoteReference w:id="73"/>
      </w:r>
      <w:r w:rsidRPr="00E9129B">
        <w:rPr>
          <w:rtl/>
        </w:rPr>
        <w:t xml:space="preserve">. </w:t>
      </w:r>
      <w:r w:rsidRPr="00E9129B">
        <w:rPr>
          <w:rFonts w:hint="eastAsia"/>
          <w:rtl/>
        </w:rPr>
        <w:t>בשנת</w:t>
      </w:r>
      <w:r w:rsidRPr="00E9129B">
        <w:rPr>
          <w:rtl/>
        </w:rPr>
        <w:t xml:space="preserve"> 2017</w:t>
      </w:r>
      <w:r w:rsidRPr="00E9129B">
        <w:rPr>
          <w:rFonts w:hint="cs"/>
          <w:rtl/>
        </w:rPr>
        <w:t xml:space="preserve"> מימן </w:t>
      </w:r>
      <w:r w:rsidRPr="00E9129B">
        <w:rPr>
          <w:rFonts w:hint="eastAsia"/>
          <w:rtl/>
        </w:rPr>
        <w:t>השירות</w:t>
      </w:r>
      <w:r w:rsidRPr="00E9129B">
        <w:rPr>
          <w:rtl/>
        </w:rPr>
        <w:t xml:space="preserve"> </w:t>
      </w:r>
      <w:r w:rsidRPr="00E9129B">
        <w:rPr>
          <w:rFonts w:hint="eastAsia"/>
          <w:rtl/>
        </w:rPr>
        <w:t>לטיפול</w:t>
      </w:r>
      <w:r w:rsidRPr="00E9129B">
        <w:rPr>
          <w:rtl/>
        </w:rPr>
        <w:t xml:space="preserve"> </w:t>
      </w:r>
      <w:r w:rsidRPr="00E9129B">
        <w:rPr>
          <w:rFonts w:hint="eastAsia"/>
          <w:rtl/>
        </w:rPr>
        <w:t>בהתמכרויות</w:t>
      </w:r>
      <w:r w:rsidRPr="00E9129B">
        <w:rPr>
          <w:rtl/>
        </w:rPr>
        <w:t xml:space="preserve"> </w:t>
      </w:r>
      <w:r w:rsidRPr="00E9129B">
        <w:rPr>
          <w:rFonts w:hint="eastAsia"/>
          <w:rtl/>
        </w:rPr>
        <w:t>טיפול</w:t>
      </w:r>
      <w:r w:rsidRPr="00E9129B">
        <w:rPr>
          <w:rtl/>
        </w:rPr>
        <w:t xml:space="preserve"> </w:t>
      </w:r>
      <w:r w:rsidRPr="00E9129B">
        <w:rPr>
          <w:rFonts w:hint="cs"/>
          <w:rtl/>
        </w:rPr>
        <w:t>ל</w:t>
      </w:r>
      <w:r w:rsidRPr="00E9129B">
        <w:rPr>
          <w:rtl/>
        </w:rPr>
        <w:t>-3,711 נערים ונערות עם בעיית התמכרות לחומרים או התמכרות התנהגותית.</w:t>
      </w:r>
    </w:p>
    <w:p w:rsidR="009B6D36" w:rsidRPr="00211D07" w:rsidP="00E9129B">
      <w:pPr>
        <w:spacing w:before="180" w:line="240" w:lineRule="exact"/>
        <w:ind w:right="2268"/>
        <w:jc w:val="both"/>
        <w:rPr>
          <w:rFonts w:ascii="Tahoma" w:eastAsia="Times New Roman" w:hAnsi="Tahoma" w:cs="Tahoma"/>
          <w:sz w:val="18"/>
          <w:szCs w:val="18"/>
          <w:rtl/>
          <w:lang w:eastAsia="he-IL"/>
        </w:rPr>
      </w:pPr>
      <w:r w:rsidRPr="00211D07">
        <w:rPr>
          <w:rFonts w:ascii="Tahoma" w:hAnsi="Tahoma" w:cs="Tahoma" w:hint="cs"/>
          <w:sz w:val="18"/>
          <w:szCs w:val="18"/>
          <w:rtl/>
        </w:rPr>
        <w:t>משרד החינוך מחייב את מוסדות החינוך להפעיל ב</w:t>
      </w:r>
      <w:r w:rsidRPr="00211D07">
        <w:rPr>
          <w:rFonts w:ascii="Tahoma" w:hAnsi="Tahoma" w:cs="Tahoma"/>
          <w:sz w:val="18"/>
          <w:szCs w:val="18"/>
          <w:rtl/>
        </w:rPr>
        <w:t>כית</w:t>
      </w:r>
      <w:r w:rsidRPr="00211D07">
        <w:rPr>
          <w:rFonts w:ascii="Tahoma" w:hAnsi="Tahoma" w:cs="Tahoma" w:hint="cs"/>
          <w:sz w:val="18"/>
          <w:szCs w:val="18"/>
          <w:rtl/>
        </w:rPr>
        <w:t>ות</w:t>
      </w:r>
      <w:r w:rsidRPr="00211D07">
        <w:rPr>
          <w:rFonts w:ascii="Tahoma" w:hAnsi="Tahoma" w:cs="Tahoma"/>
          <w:sz w:val="18"/>
          <w:szCs w:val="18"/>
          <w:rtl/>
        </w:rPr>
        <w:t xml:space="preserve"> א'</w:t>
      </w:r>
      <w:r w:rsidRPr="00211D07">
        <w:rPr>
          <w:rFonts w:ascii="Tahoma" w:hAnsi="Tahoma" w:cs="Tahoma" w:hint="cs"/>
          <w:sz w:val="18"/>
          <w:szCs w:val="18"/>
          <w:rtl/>
        </w:rPr>
        <w:t>-</w:t>
      </w:r>
      <w:r w:rsidRPr="00211D07">
        <w:rPr>
          <w:rFonts w:ascii="Tahoma" w:hAnsi="Tahoma" w:cs="Tahoma"/>
          <w:sz w:val="18"/>
          <w:szCs w:val="18"/>
          <w:rtl/>
        </w:rPr>
        <w:t xml:space="preserve">י"ב </w:t>
      </w:r>
      <w:r w:rsidRPr="00211D07">
        <w:rPr>
          <w:rFonts w:ascii="Tahoma" w:hAnsi="Tahoma" w:cs="Tahoma" w:hint="cs"/>
          <w:sz w:val="18"/>
          <w:szCs w:val="18"/>
          <w:rtl/>
        </w:rPr>
        <w:t xml:space="preserve">את </w:t>
      </w:r>
      <w:r w:rsidRPr="00211D07">
        <w:rPr>
          <w:rFonts w:ascii="Tahoma" w:hAnsi="Tahoma" w:cs="Tahoma" w:hint="cs"/>
          <w:sz w:val="18"/>
          <w:szCs w:val="18"/>
          <w:rtl/>
        </w:rPr>
        <w:t>תוכנית</w:t>
      </w:r>
      <w:r w:rsidRPr="00211D07">
        <w:rPr>
          <w:rFonts w:ascii="Tahoma" w:hAnsi="Tahoma" w:cs="Tahoma" w:hint="cs"/>
          <w:sz w:val="18"/>
          <w:szCs w:val="18"/>
          <w:rtl/>
        </w:rPr>
        <w:t xml:space="preserve"> "כישורי חיים"</w:t>
      </w:r>
      <w:r w:rsidRPr="00211D07">
        <w:rPr>
          <w:rFonts w:ascii="Tahoma" w:hAnsi="Tahoma" w:cs="Tahoma"/>
          <w:sz w:val="18"/>
          <w:szCs w:val="18"/>
          <w:rtl/>
        </w:rPr>
        <w:t xml:space="preserve"> הפועלת לפיתוח כשירות רגשית-חברתית של תלמידים, ולחיזוק יכולתם להתמודד עם מצבי חיים שונים. </w:t>
      </w:r>
      <w:r w:rsidRPr="00211D07">
        <w:rPr>
          <w:rFonts w:ascii="Tahoma" w:hAnsi="Tahoma" w:cs="Tahoma" w:hint="cs"/>
          <w:sz w:val="18"/>
          <w:szCs w:val="18"/>
          <w:rtl/>
        </w:rPr>
        <w:t>את התוכנית גיבש השירות פסיכולוגי-ייעוצי (שפ"י)</w:t>
      </w:r>
      <w:r w:rsidRPr="00211D07">
        <w:rPr>
          <w:rFonts w:ascii="Tahoma" w:hAnsi="Tahoma" w:cs="Tahoma"/>
          <w:sz w:val="18"/>
          <w:szCs w:val="18"/>
          <w:rtl/>
        </w:rPr>
        <w:t xml:space="preserve"> </w:t>
      </w:r>
      <w:r w:rsidRPr="00211D07">
        <w:rPr>
          <w:rFonts w:ascii="Tahoma" w:hAnsi="Tahoma" w:cs="Tahoma" w:hint="cs"/>
          <w:sz w:val="18"/>
          <w:szCs w:val="18"/>
          <w:rtl/>
        </w:rPr>
        <w:t>במשרד החינוך. בחינוך העל-יסודי התוכנית כישורי חיים אינה מקבלת הקצאה ייעודית משעות לימוד אלא כחלק משעת מחנך שבועית ו</w:t>
      </w:r>
      <w:r w:rsidRPr="00211D07">
        <w:rPr>
          <w:rFonts w:ascii="Tahoma" w:hAnsi="Tahoma" w:cs="Tahoma"/>
          <w:sz w:val="18"/>
          <w:szCs w:val="18"/>
          <w:rtl/>
        </w:rPr>
        <w:t>בהיקף של 15 שעות שנתיות לפחות</w:t>
      </w:r>
      <w:r w:rsidRPr="00211D07">
        <w:rPr>
          <w:rFonts w:ascii="Tahoma" w:hAnsi="Tahoma" w:cs="Tahoma" w:hint="cs"/>
          <w:sz w:val="18"/>
          <w:szCs w:val="18"/>
          <w:rtl/>
        </w:rPr>
        <w:t xml:space="preserve">. </w:t>
      </w:r>
      <w:r w:rsidRPr="00211D07">
        <w:rPr>
          <w:rFonts w:ascii="Tahoma" w:hAnsi="Tahoma" w:cs="Tahoma"/>
          <w:sz w:val="18"/>
          <w:szCs w:val="18"/>
          <w:rtl/>
        </w:rPr>
        <w:t>ה</w:t>
      </w:r>
      <w:r w:rsidRPr="00211D07">
        <w:rPr>
          <w:rFonts w:ascii="Tahoma" w:hAnsi="Tahoma" w:cs="Tahoma" w:hint="cs"/>
          <w:sz w:val="18"/>
          <w:szCs w:val="18"/>
          <w:rtl/>
        </w:rPr>
        <w:t>יא</w:t>
      </w:r>
      <w:r w:rsidRPr="00211D07">
        <w:rPr>
          <w:rFonts w:ascii="Tahoma" w:hAnsi="Tahoma" w:cs="Tahoma"/>
          <w:sz w:val="18"/>
          <w:szCs w:val="18"/>
          <w:rtl/>
        </w:rPr>
        <w:t xml:space="preserve"> כוללת מערכים מובנים לשיחות עם תלמידים</w:t>
      </w:r>
      <w:r w:rsidRPr="00211D07">
        <w:rPr>
          <w:rFonts w:ascii="Tahoma" w:hAnsi="Tahoma" w:cs="Tahoma" w:hint="cs"/>
          <w:sz w:val="18"/>
          <w:szCs w:val="18"/>
          <w:rtl/>
        </w:rPr>
        <w:t>, בין היתר</w:t>
      </w:r>
      <w:r w:rsidRPr="00211D07">
        <w:rPr>
          <w:rFonts w:ascii="Tahoma" w:hAnsi="Tahoma" w:cs="Tahoma"/>
          <w:sz w:val="18"/>
          <w:szCs w:val="18"/>
          <w:rtl/>
        </w:rPr>
        <w:t xml:space="preserve">, על המפגש שלהם עם התנהגויות סיכון ועל מצבי חיים שונים </w:t>
      </w:r>
      <w:r w:rsidRPr="00211D07">
        <w:rPr>
          <w:rFonts w:ascii="Tahoma" w:hAnsi="Tahoma" w:cs="Tahoma" w:hint="cs"/>
          <w:sz w:val="18"/>
          <w:szCs w:val="18"/>
          <w:rtl/>
        </w:rPr>
        <w:t>ש</w:t>
      </w:r>
      <w:r w:rsidRPr="00211D07">
        <w:rPr>
          <w:rFonts w:ascii="Tahoma" w:hAnsi="Tahoma" w:cs="Tahoma"/>
          <w:sz w:val="18"/>
          <w:szCs w:val="18"/>
          <w:rtl/>
        </w:rPr>
        <w:t>הם מתנסים</w:t>
      </w:r>
      <w:r w:rsidRPr="00211D07">
        <w:rPr>
          <w:rFonts w:ascii="Tahoma" w:hAnsi="Tahoma" w:cs="Tahoma" w:hint="cs"/>
          <w:sz w:val="18"/>
          <w:szCs w:val="18"/>
          <w:rtl/>
        </w:rPr>
        <w:t xml:space="preserve"> </w:t>
      </w:r>
      <w:r w:rsidRPr="00211D07">
        <w:rPr>
          <w:rFonts w:ascii="Tahoma" w:hAnsi="Tahoma" w:cs="Tahoma"/>
          <w:sz w:val="18"/>
          <w:szCs w:val="18"/>
          <w:rtl/>
        </w:rPr>
        <w:t>בהם.</w:t>
      </w:r>
      <w:r w:rsidRPr="00211D07">
        <w:rPr>
          <w:rFonts w:ascii="Tahoma" w:hAnsi="Tahoma" w:cs="Tahoma" w:hint="cs"/>
          <w:sz w:val="18"/>
          <w:szCs w:val="18"/>
          <w:rtl/>
        </w:rPr>
        <w:t xml:space="preserve"> </w:t>
      </w:r>
      <w:r w:rsidRPr="00211D07">
        <w:rPr>
          <w:rFonts w:ascii="Tahoma" w:hAnsi="Tahoma" w:cs="Tahoma"/>
          <w:sz w:val="18"/>
          <w:szCs w:val="18"/>
          <w:rtl/>
        </w:rPr>
        <w:t>מנהלי בתי הספר ה</w:t>
      </w:r>
      <w:r w:rsidRPr="00211D07">
        <w:rPr>
          <w:rFonts w:ascii="Tahoma" w:hAnsi="Tahoma" w:cs="Tahoma" w:hint="cs"/>
          <w:sz w:val="18"/>
          <w:szCs w:val="18"/>
          <w:rtl/>
        </w:rPr>
        <w:t>ם ה</w:t>
      </w:r>
      <w:r w:rsidRPr="00211D07">
        <w:rPr>
          <w:rFonts w:ascii="Tahoma" w:hAnsi="Tahoma" w:cs="Tahoma"/>
          <w:sz w:val="18"/>
          <w:szCs w:val="18"/>
          <w:rtl/>
        </w:rPr>
        <w:t>אחר</w:t>
      </w:r>
      <w:r w:rsidRPr="00211D07">
        <w:rPr>
          <w:rFonts w:ascii="Tahoma" w:hAnsi="Tahoma" w:cs="Tahoma" w:hint="cs"/>
          <w:sz w:val="18"/>
          <w:szCs w:val="18"/>
          <w:rtl/>
        </w:rPr>
        <w:t>א</w:t>
      </w:r>
      <w:r w:rsidRPr="00211D07">
        <w:rPr>
          <w:rFonts w:ascii="Tahoma" w:hAnsi="Tahoma" w:cs="Tahoma"/>
          <w:sz w:val="18"/>
          <w:szCs w:val="18"/>
          <w:rtl/>
        </w:rPr>
        <w:t>י</w:t>
      </w:r>
      <w:r w:rsidRPr="00211D07">
        <w:rPr>
          <w:rFonts w:ascii="Tahoma" w:hAnsi="Tahoma" w:cs="Tahoma" w:hint="cs"/>
          <w:sz w:val="18"/>
          <w:szCs w:val="18"/>
          <w:rtl/>
        </w:rPr>
        <w:t>ם</w:t>
      </w:r>
      <w:r w:rsidRPr="00211D07">
        <w:rPr>
          <w:rFonts w:ascii="Tahoma" w:hAnsi="Tahoma" w:cs="Tahoma"/>
          <w:sz w:val="18"/>
          <w:szCs w:val="18"/>
          <w:rtl/>
        </w:rPr>
        <w:t xml:space="preserve"> ליישום </w:t>
      </w:r>
      <w:r w:rsidRPr="00211D07">
        <w:rPr>
          <w:rFonts w:ascii="Tahoma" w:hAnsi="Tahoma" w:cs="Tahoma" w:hint="cs"/>
          <w:sz w:val="18"/>
          <w:szCs w:val="18"/>
          <w:rtl/>
        </w:rPr>
        <w:t>ה</w:t>
      </w:r>
      <w:r w:rsidRPr="00211D07">
        <w:rPr>
          <w:rFonts w:ascii="Tahoma" w:hAnsi="Tahoma" w:cs="Tahoma"/>
          <w:sz w:val="18"/>
          <w:szCs w:val="18"/>
          <w:rtl/>
        </w:rPr>
        <w:t>ת</w:t>
      </w:r>
      <w:r w:rsidRPr="00211D07">
        <w:rPr>
          <w:rFonts w:ascii="Tahoma" w:hAnsi="Tahoma" w:cs="Tahoma" w:hint="cs"/>
          <w:sz w:val="18"/>
          <w:szCs w:val="18"/>
          <w:rtl/>
        </w:rPr>
        <w:t>ו</w:t>
      </w:r>
      <w:r w:rsidRPr="00211D07">
        <w:rPr>
          <w:rFonts w:ascii="Tahoma" w:hAnsi="Tahoma" w:cs="Tahoma"/>
          <w:sz w:val="18"/>
          <w:szCs w:val="18"/>
          <w:rtl/>
        </w:rPr>
        <w:t>כנית "כישורי חיים"</w:t>
      </w:r>
      <w:r w:rsidRPr="00211D07">
        <w:rPr>
          <w:rFonts w:ascii="Tahoma" w:hAnsi="Tahoma" w:cs="Tahoma" w:hint="cs"/>
          <w:sz w:val="18"/>
          <w:szCs w:val="18"/>
          <w:rtl/>
        </w:rPr>
        <w:t>,</w:t>
      </w:r>
      <w:r w:rsidRPr="00211D07">
        <w:rPr>
          <w:rFonts w:ascii="Tahoma" w:hAnsi="Tahoma" w:cs="Tahoma"/>
          <w:sz w:val="18"/>
          <w:szCs w:val="18"/>
          <w:rtl/>
        </w:rPr>
        <w:t xml:space="preserve"> והם קובעים מה</w:t>
      </w:r>
      <w:r w:rsidRPr="00211D07">
        <w:rPr>
          <w:rFonts w:ascii="Tahoma" w:hAnsi="Tahoma" w:cs="Tahoma" w:hint="cs"/>
          <w:sz w:val="18"/>
          <w:szCs w:val="18"/>
          <w:rtl/>
        </w:rPr>
        <w:t>ם</w:t>
      </w:r>
      <w:r w:rsidRPr="00211D07">
        <w:rPr>
          <w:rFonts w:ascii="Tahoma" w:hAnsi="Tahoma" w:cs="Tahoma"/>
          <w:sz w:val="18"/>
          <w:szCs w:val="18"/>
          <w:rtl/>
        </w:rPr>
        <w:t xml:space="preserve"> הנושאים שיילמדו </w:t>
      </w:r>
      <w:r w:rsidRPr="00211D07">
        <w:rPr>
          <w:rFonts w:ascii="Tahoma" w:hAnsi="Tahoma" w:cs="Tahoma" w:hint="cs"/>
          <w:sz w:val="18"/>
          <w:szCs w:val="18"/>
          <w:rtl/>
        </w:rPr>
        <w:t>מ</w:t>
      </w:r>
      <w:r w:rsidRPr="00211D07">
        <w:rPr>
          <w:rFonts w:ascii="Tahoma" w:hAnsi="Tahoma" w:cs="Tahoma"/>
          <w:sz w:val="18"/>
          <w:szCs w:val="18"/>
          <w:rtl/>
        </w:rPr>
        <w:t>מגוון הנושאים</w:t>
      </w:r>
      <w:r w:rsidRPr="00211D07">
        <w:rPr>
          <w:rFonts w:ascii="Tahoma" w:hAnsi="Tahoma" w:cs="Tahoma" w:hint="cs"/>
          <w:sz w:val="18"/>
          <w:szCs w:val="18"/>
          <w:rtl/>
        </w:rPr>
        <w:t xml:space="preserve"> המופיעים בה.</w:t>
      </w:r>
      <w:r w:rsidRPr="00211D07">
        <w:rPr>
          <w:rFonts w:ascii="Tahoma" w:hAnsi="Tahoma" w:cs="Tahoma"/>
          <w:sz w:val="18"/>
          <w:szCs w:val="18"/>
          <w:rtl/>
        </w:rPr>
        <w:t xml:space="preserve"> </w:t>
      </w:r>
      <w:r w:rsidRPr="00211D07">
        <w:rPr>
          <w:rFonts w:ascii="Tahoma" w:hAnsi="Tahoma" w:cs="Tahoma" w:hint="cs"/>
          <w:sz w:val="18"/>
          <w:szCs w:val="18"/>
          <w:rtl/>
        </w:rPr>
        <w:t>ב</w:t>
      </w:r>
      <w:r w:rsidRPr="00211D07">
        <w:rPr>
          <w:rFonts w:ascii="Tahoma" w:hAnsi="Tahoma" w:cs="Tahoma"/>
          <w:sz w:val="18"/>
          <w:szCs w:val="18"/>
          <w:rtl/>
        </w:rPr>
        <w:t>ת</w:t>
      </w:r>
      <w:r w:rsidRPr="00211D07">
        <w:rPr>
          <w:rFonts w:ascii="Tahoma" w:hAnsi="Tahoma" w:cs="Tahoma" w:hint="cs"/>
          <w:sz w:val="18"/>
          <w:szCs w:val="18"/>
          <w:rtl/>
        </w:rPr>
        <w:t>ו</w:t>
      </w:r>
      <w:r w:rsidRPr="00211D07">
        <w:rPr>
          <w:rFonts w:ascii="Tahoma" w:hAnsi="Tahoma" w:cs="Tahoma"/>
          <w:sz w:val="18"/>
          <w:szCs w:val="18"/>
          <w:rtl/>
        </w:rPr>
        <w:t>כנית</w:t>
      </w:r>
      <w:r w:rsidRPr="00211D07">
        <w:rPr>
          <w:rFonts w:ascii="Tahoma" w:hAnsi="Tahoma" w:cs="Tahoma" w:hint="cs"/>
          <w:sz w:val="18"/>
          <w:szCs w:val="18"/>
          <w:rtl/>
        </w:rPr>
        <w:t xml:space="preserve"> מועברות גם </w:t>
      </w:r>
      <w:r w:rsidRPr="00211D07">
        <w:rPr>
          <w:rFonts w:ascii="Tahoma" w:hAnsi="Tahoma" w:cs="Tahoma" w:hint="cs"/>
          <w:sz w:val="18"/>
          <w:szCs w:val="18"/>
          <w:rtl/>
        </w:rPr>
        <w:t>תוכניות</w:t>
      </w:r>
      <w:r w:rsidRPr="00211D07">
        <w:rPr>
          <w:rFonts w:ascii="Tahoma" w:hAnsi="Tahoma" w:cs="Tahoma" w:hint="cs"/>
          <w:sz w:val="18"/>
          <w:szCs w:val="18"/>
          <w:rtl/>
        </w:rPr>
        <w:t xml:space="preserve"> מניעה </w:t>
      </w:r>
      <w:r w:rsidRPr="00211D07">
        <w:rPr>
          <w:rFonts w:ascii="Tahoma" w:eastAsia="Times New Roman" w:hAnsi="Tahoma" w:cs="Tahoma" w:hint="cs"/>
          <w:sz w:val="18"/>
          <w:szCs w:val="18"/>
          <w:rtl/>
          <w:lang w:eastAsia="he-IL"/>
        </w:rPr>
        <w:t>להתמודדות עם התנהגויות סיכון</w:t>
      </w:r>
      <w:r>
        <w:rPr>
          <w:rStyle w:val="FootnoteReference0"/>
          <w:rFonts w:ascii="Tahoma" w:eastAsia="Times New Roman" w:hAnsi="Tahoma" w:cs="Tahoma"/>
          <w:sz w:val="18"/>
          <w:szCs w:val="18"/>
          <w:rtl/>
          <w:lang w:eastAsia="he-IL"/>
        </w:rPr>
        <w:footnoteReference w:id="74"/>
      </w:r>
      <w:r w:rsidRPr="00211D07">
        <w:rPr>
          <w:rFonts w:ascii="Tahoma" w:eastAsia="Times New Roman" w:hAnsi="Tahoma" w:cs="Tahoma" w:hint="cs"/>
          <w:sz w:val="18"/>
          <w:szCs w:val="18"/>
          <w:rtl/>
          <w:lang w:eastAsia="he-IL"/>
        </w:rPr>
        <w:t xml:space="preserve">. </w:t>
      </w:r>
    </w:p>
    <w:p w:rsidR="009B6D36" w:rsidRPr="00211D07" w:rsidP="00211D07">
      <w:pPr>
        <w:spacing w:line="240" w:lineRule="exact"/>
        <w:ind w:right="2268"/>
        <w:jc w:val="both"/>
        <w:rPr>
          <w:rFonts w:ascii="Tahoma" w:eastAsia="Times New Roman" w:hAnsi="Tahoma" w:cs="Tahoma"/>
          <w:sz w:val="18"/>
          <w:szCs w:val="18"/>
          <w:lang w:eastAsia="he-IL"/>
        </w:rPr>
      </w:pPr>
    </w:p>
    <w:p w:rsidR="009B6D36" w:rsidRPr="00211D07" w:rsidP="00211D07">
      <w:pPr>
        <w:spacing w:line="240" w:lineRule="exact"/>
        <w:ind w:right="2268"/>
        <w:jc w:val="both"/>
        <w:rPr>
          <w:rFonts w:ascii="Tahoma" w:eastAsia="Times New Roman" w:hAnsi="Tahoma" w:cs="Tahoma"/>
          <w:sz w:val="18"/>
          <w:szCs w:val="18"/>
          <w:rtl/>
          <w:lang w:eastAsia="he-IL"/>
        </w:rPr>
      </w:pPr>
    </w:p>
    <w:p w:rsidR="009B6D36" w:rsidRPr="00000B2A" w:rsidP="00211D07">
      <w:pPr>
        <w:pStyle w:val="KOT4"/>
        <w:rPr>
          <w:rtl/>
        </w:rPr>
      </w:pPr>
      <w:r>
        <w:rPr>
          <w:rFonts w:hint="cs"/>
          <w:rtl/>
        </w:rPr>
        <w:t>מינוי</w:t>
      </w:r>
      <w:r w:rsidRPr="00000B2A">
        <w:rPr>
          <w:rFonts w:hint="cs"/>
          <w:rtl/>
        </w:rPr>
        <w:t xml:space="preserve"> מ</w:t>
      </w:r>
      <w:r>
        <w:rPr>
          <w:rFonts w:hint="cs"/>
          <w:rtl/>
        </w:rPr>
        <w:t>מ</w:t>
      </w:r>
      <w:r w:rsidRPr="00000B2A">
        <w:rPr>
          <w:rFonts w:hint="cs"/>
          <w:rtl/>
        </w:rPr>
        <w:t>ו</w:t>
      </w:r>
      <w:r>
        <w:rPr>
          <w:rFonts w:hint="cs"/>
          <w:rtl/>
        </w:rPr>
        <w:t>ני</w:t>
      </w:r>
      <w:r w:rsidRPr="00000B2A">
        <w:rPr>
          <w:rFonts w:hint="cs"/>
          <w:rtl/>
        </w:rPr>
        <w:t xml:space="preserve">ם בית </w:t>
      </w:r>
      <w:r w:rsidRPr="00000B2A">
        <w:rPr>
          <w:rFonts w:hint="cs"/>
          <w:rtl/>
        </w:rPr>
        <w:t>ספריים</w:t>
      </w:r>
    </w:p>
    <w:p w:rsidR="009B6D36" w:rsidRPr="00211D07" w:rsidP="00211D07">
      <w:pPr>
        <w:spacing w:line="240" w:lineRule="exact"/>
        <w:ind w:right="2268"/>
        <w:jc w:val="both"/>
        <w:rPr>
          <w:rFonts w:ascii="Tahoma" w:hAnsi="Tahoma" w:cs="Tahoma"/>
          <w:sz w:val="18"/>
          <w:szCs w:val="18"/>
          <w:rtl/>
        </w:rPr>
      </w:pPr>
      <w:r w:rsidRPr="00211D07">
        <w:rPr>
          <w:rFonts w:ascii="Tahoma" w:hAnsi="Tahoma" w:cs="Tahoma" w:hint="cs"/>
          <w:sz w:val="18"/>
          <w:szCs w:val="18"/>
          <w:rtl/>
        </w:rPr>
        <w:t xml:space="preserve">משרד החינוך רואה חשיבות רבה בהפעלת מערכי התערבות בנושא השימוש לרעה בסמים, אלכוהול וטבק בצורה רחבה ומעמיקה. לפיכך החליט משרד </w:t>
      </w:r>
      <w:r w:rsidRPr="00211D07">
        <w:rPr>
          <w:rFonts w:ascii="Tahoma" w:hAnsi="Tahoma" w:cs="Tahoma" w:hint="cs"/>
          <w:sz w:val="18"/>
          <w:szCs w:val="18"/>
          <w:rtl/>
        </w:rPr>
        <w:t xml:space="preserve">החינוך החל בינואר 2004 לתקצב ממונה בית ספרי שירכז את הפעילות </w:t>
      </w:r>
      <w:r w:rsidRPr="00211D07">
        <w:rPr>
          <w:rFonts w:ascii="Tahoma" w:hAnsi="Tahoma" w:cs="Tahoma"/>
          <w:sz w:val="18"/>
          <w:szCs w:val="18"/>
          <w:rtl/>
        </w:rPr>
        <w:t xml:space="preserve">למניעת השימוש לרעה בסמים, אלכוהול וטבק </w:t>
      </w:r>
      <w:r w:rsidRPr="00211D07">
        <w:rPr>
          <w:rFonts w:ascii="Tahoma" w:hAnsi="Tahoma" w:cs="Tahoma" w:hint="cs"/>
          <w:sz w:val="18"/>
          <w:szCs w:val="18"/>
          <w:rtl/>
        </w:rPr>
        <w:t xml:space="preserve">(להלן - מב"ס) במוסדות החינוך העל-יסודיים. </w:t>
      </w:r>
    </w:p>
    <w:p w:rsidR="009B6D36" w:rsidRPr="00211D07" w:rsidP="00211D07">
      <w:pPr>
        <w:spacing w:line="240" w:lineRule="exact"/>
        <w:ind w:right="2268"/>
        <w:jc w:val="both"/>
        <w:rPr>
          <w:rFonts w:ascii="Tahoma" w:hAnsi="Tahoma" w:cs="Tahoma"/>
          <w:sz w:val="18"/>
          <w:szCs w:val="18"/>
          <w:rtl/>
        </w:rPr>
      </w:pPr>
      <w:r w:rsidRPr="00211D07">
        <w:rPr>
          <w:rFonts w:ascii="Tahoma" w:hAnsi="Tahoma" w:cs="Tahoma" w:hint="cs"/>
          <w:sz w:val="18"/>
          <w:szCs w:val="18"/>
          <w:rtl/>
        </w:rPr>
        <w:t>לפי חוזר מנכ"ל משרד החינוך</w:t>
      </w:r>
      <w:r>
        <w:rPr>
          <w:rStyle w:val="FootnoteReference0"/>
          <w:rFonts w:ascii="Tahoma" w:hAnsi="Tahoma" w:cs="Tahoma"/>
          <w:sz w:val="18"/>
          <w:szCs w:val="18"/>
          <w:rtl/>
        </w:rPr>
        <w:footnoteReference w:id="75"/>
      </w:r>
      <w:r w:rsidRPr="00211D07">
        <w:rPr>
          <w:rFonts w:ascii="Tahoma" w:hAnsi="Tahoma" w:cs="Tahoma" w:hint="cs"/>
          <w:sz w:val="18"/>
          <w:szCs w:val="18"/>
          <w:rtl/>
        </w:rPr>
        <w:t xml:space="preserve"> יש </w:t>
      </w:r>
      <w:r w:rsidRPr="00211D07">
        <w:rPr>
          <w:rFonts w:ascii="Tahoma" w:hAnsi="Tahoma" w:cs="Tahoma" w:hint="cs"/>
          <w:sz w:val="18"/>
          <w:szCs w:val="18"/>
          <w:rtl/>
        </w:rPr>
        <w:t>למב"ס</w:t>
      </w:r>
      <w:r w:rsidRPr="00211D07">
        <w:rPr>
          <w:rFonts w:ascii="Tahoma" w:hAnsi="Tahoma" w:cs="Tahoma" w:hint="cs"/>
          <w:sz w:val="18"/>
          <w:szCs w:val="18"/>
          <w:rtl/>
        </w:rPr>
        <w:t xml:space="preserve"> תפקיד מרכזי בבית הספר. הוא נדרש, בין היתר, לשלב את הנושא בפעילות בכל שכבות הגיל בבית הספר; לארגן השתלמויות לצוותים החינוכיים; ליזום פעילויות בנושא עם ההורים והקהילה; לקדם </w:t>
      </w:r>
      <w:r w:rsidRPr="00211D07">
        <w:rPr>
          <w:rFonts w:ascii="Tahoma" w:hAnsi="Tahoma" w:cs="Tahoma" w:hint="cs"/>
          <w:sz w:val="18"/>
          <w:szCs w:val="18"/>
          <w:rtl/>
        </w:rPr>
        <w:t>תוכניות</w:t>
      </w:r>
      <w:r w:rsidRPr="00211D07">
        <w:rPr>
          <w:rFonts w:ascii="Tahoma" w:hAnsi="Tahoma" w:cs="Tahoma" w:hint="cs"/>
          <w:sz w:val="18"/>
          <w:szCs w:val="18"/>
          <w:rtl/>
        </w:rPr>
        <w:t xml:space="preserve"> ומעורבות יחד עם התלמידים; להשתתף בפורומים שונים מטעם הרשות למלחמה בסמים או מטעם משרד החינוך בתחום הסמים ועוד. </w:t>
      </w:r>
    </w:p>
    <w:p w:rsidR="009B6D36" w:rsidRPr="00211D07" w:rsidP="00E76FAB">
      <w:pPr>
        <w:pStyle w:val="ListParagraph"/>
        <w:numPr>
          <w:ilvl w:val="0"/>
          <w:numId w:val="8"/>
        </w:numPr>
        <w:autoSpaceDE/>
        <w:autoSpaceDN/>
        <w:adjustRightInd/>
        <w:spacing w:line="240" w:lineRule="exact"/>
        <w:ind w:left="340" w:right="2268" w:hanging="340"/>
        <w:rPr>
          <w:sz w:val="18"/>
          <w:szCs w:val="18"/>
        </w:rPr>
      </w:pPr>
      <w:r w:rsidRPr="00211D07">
        <w:rPr>
          <w:rFonts w:hint="cs"/>
          <w:sz w:val="18"/>
          <w:szCs w:val="18"/>
          <w:rtl/>
        </w:rPr>
        <w:t xml:space="preserve">בביקורת עלה כי </w:t>
      </w:r>
      <w:r w:rsidRPr="00211D07">
        <w:rPr>
          <w:sz w:val="18"/>
          <w:szCs w:val="18"/>
          <w:rtl/>
        </w:rPr>
        <w:t>ב</w:t>
      </w:r>
      <w:r w:rsidRPr="00211D07">
        <w:rPr>
          <w:rFonts w:hint="cs"/>
          <w:sz w:val="18"/>
          <w:szCs w:val="18"/>
          <w:rtl/>
        </w:rPr>
        <w:t xml:space="preserve">שנת הלימודים </w:t>
      </w:r>
      <w:r w:rsidRPr="00211D07">
        <w:rPr>
          <w:rFonts w:hint="cs"/>
          <w:sz w:val="18"/>
          <w:szCs w:val="18"/>
          <w:rtl/>
        </w:rPr>
        <w:t>התשע"ח</w:t>
      </w:r>
      <w:r w:rsidRPr="00211D07">
        <w:rPr>
          <w:rFonts w:hint="cs"/>
          <w:sz w:val="18"/>
          <w:szCs w:val="18"/>
          <w:rtl/>
        </w:rPr>
        <w:t xml:space="preserve"> (</w:t>
      </w:r>
      <w:r w:rsidRPr="00211D07">
        <w:rPr>
          <w:sz w:val="18"/>
          <w:szCs w:val="18"/>
          <w:rtl/>
        </w:rPr>
        <w:t>ספטמבר 201</w:t>
      </w:r>
      <w:r w:rsidRPr="00211D07">
        <w:rPr>
          <w:rFonts w:hint="cs"/>
          <w:sz w:val="18"/>
          <w:szCs w:val="18"/>
          <w:rtl/>
        </w:rPr>
        <w:t>7</w:t>
      </w:r>
      <w:r w:rsidRPr="00211D07">
        <w:rPr>
          <w:sz w:val="18"/>
          <w:szCs w:val="18"/>
          <w:rtl/>
        </w:rPr>
        <w:t xml:space="preserve"> </w:t>
      </w:r>
      <w:r w:rsidRPr="00211D07">
        <w:rPr>
          <w:rFonts w:hint="cs"/>
          <w:sz w:val="18"/>
          <w:szCs w:val="18"/>
          <w:rtl/>
        </w:rPr>
        <w:t>-</w:t>
      </w:r>
      <w:r w:rsidRPr="00211D07">
        <w:rPr>
          <w:sz w:val="18"/>
          <w:szCs w:val="18"/>
          <w:rtl/>
        </w:rPr>
        <w:t xml:space="preserve"> אוגוסט 201</w:t>
      </w:r>
      <w:r w:rsidRPr="00211D07">
        <w:rPr>
          <w:rFonts w:hint="cs"/>
          <w:sz w:val="18"/>
          <w:szCs w:val="18"/>
          <w:rtl/>
        </w:rPr>
        <w:t>8)</w:t>
      </w:r>
      <w:r w:rsidRPr="00211D07">
        <w:rPr>
          <w:sz w:val="18"/>
          <w:szCs w:val="18"/>
          <w:rtl/>
        </w:rPr>
        <w:t xml:space="preserve"> פעלו בישראל כ-2,</w:t>
      </w:r>
      <w:r w:rsidRPr="00211D07">
        <w:rPr>
          <w:rFonts w:hint="cs"/>
          <w:sz w:val="18"/>
          <w:szCs w:val="18"/>
          <w:rtl/>
        </w:rPr>
        <w:t>0</w:t>
      </w:r>
      <w:r w:rsidRPr="00211D07">
        <w:rPr>
          <w:sz w:val="18"/>
          <w:szCs w:val="18"/>
          <w:rtl/>
        </w:rPr>
        <w:t>00 בתי ספר על-יסודיים</w:t>
      </w:r>
      <w:r w:rsidRPr="00211D07">
        <w:rPr>
          <w:rFonts w:hint="cs"/>
          <w:sz w:val="18"/>
          <w:szCs w:val="18"/>
          <w:rtl/>
        </w:rPr>
        <w:t xml:space="preserve"> אך היו בהם</w:t>
      </w:r>
      <w:r w:rsidRPr="00211D07">
        <w:rPr>
          <w:sz w:val="18"/>
          <w:szCs w:val="18"/>
          <w:rtl/>
        </w:rPr>
        <w:t xml:space="preserve"> רק 1,</w:t>
      </w:r>
      <w:r w:rsidRPr="00211D07">
        <w:rPr>
          <w:rFonts w:hint="cs"/>
          <w:sz w:val="18"/>
          <w:szCs w:val="18"/>
          <w:rtl/>
        </w:rPr>
        <w:t>173</w:t>
      </w:r>
      <w:r w:rsidRPr="00211D07">
        <w:rPr>
          <w:sz w:val="18"/>
          <w:szCs w:val="18"/>
          <w:rtl/>
        </w:rPr>
        <w:t xml:space="preserve"> </w:t>
      </w:r>
      <w:r w:rsidRPr="00211D07">
        <w:rPr>
          <w:sz w:val="18"/>
          <w:szCs w:val="18"/>
          <w:rtl/>
        </w:rPr>
        <w:t>מב"סים</w:t>
      </w:r>
      <w:r w:rsidRPr="00211D07">
        <w:rPr>
          <w:rFonts w:hint="cs"/>
          <w:sz w:val="18"/>
          <w:szCs w:val="18"/>
          <w:rtl/>
        </w:rPr>
        <w:t xml:space="preserve">. להלן בתרשים 5 התפלגות בתי הספר העל-יסודיים שבהם פעלו </w:t>
      </w:r>
      <w:r w:rsidRPr="00211D07">
        <w:rPr>
          <w:rFonts w:hint="cs"/>
          <w:sz w:val="18"/>
          <w:szCs w:val="18"/>
          <w:rtl/>
        </w:rPr>
        <w:t>מב"סים</w:t>
      </w:r>
      <w:r w:rsidRPr="00211D07">
        <w:rPr>
          <w:rFonts w:hint="cs"/>
          <w:sz w:val="18"/>
          <w:szCs w:val="18"/>
          <w:rtl/>
        </w:rPr>
        <w:t xml:space="preserve"> לפי מגזרים:</w:t>
      </w:r>
    </w:p>
    <w:p w:rsidR="009B6D36" w:rsidRPr="00E9129B" w:rsidP="00E9129B">
      <w:pPr>
        <w:pStyle w:val="tab-name"/>
        <w:rPr>
          <w:b/>
          <w:bCs/>
        </w:rPr>
      </w:pPr>
      <w:r w:rsidRPr="00211D07">
        <w:rPr>
          <w:rFonts w:hint="eastAsia"/>
          <w:rtl/>
        </w:rPr>
        <w:t>תרשים</w:t>
      </w:r>
      <w:r w:rsidRPr="00211D07">
        <w:rPr>
          <w:rtl/>
        </w:rPr>
        <w:t xml:space="preserve"> </w:t>
      </w:r>
      <w:r w:rsidRPr="00211D07">
        <w:rPr>
          <w:rFonts w:hint="cs"/>
          <w:rtl/>
        </w:rPr>
        <w:t>5</w:t>
      </w:r>
      <w:r w:rsidRPr="00211D07">
        <w:rPr>
          <w:rtl/>
        </w:rPr>
        <w:t xml:space="preserve">: </w:t>
      </w:r>
      <w:r w:rsidRPr="00E9129B">
        <w:rPr>
          <w:rFonts w:hint="eastAsia"/>
          <w:b/>
          <w:bCs/>
          <w:rtl/>
        </w:rPr>
        <w:t>התפלגות</w:t>
      </w:r>
      <w:r w:rsidRPr="00E9129B">
        <w:rPr>
          <w:b/>
          <w:bCs/>
          <w:rtl/>
        </w:rPr>
        <w:t xml:space="preserve"> </w:t>
      </w:r>
      <w:r w:rsidRPr="00E9129B">
        <w:rPr>
          <w:rFonts w:hint="eastAsia"/>
          <w:b/>
          <w:bCs/>
          <w:rtl/>
        </w:rPr>
        <w:t>בתי</w:t>
      </w:r>
      <w:r w:rsidRPr="00E9129B">
        <w:rPr>
          <w:b/>
          <w:bCs/>
          <w:rtl/>
        </w:rPr>
        <w:t xml:space="preserve"> </w:t>
      </w:r>
      <w:r w:rsidRPr="00E9129B">
        <w:rPr>
          <w:rFonts w:hint="eastAsia"/>
          <w:b/>
          <w:bCs/>
          <w:rtl/>
        </w:rPr>
        <w:t>הספר</w:t>
      </w:r>
      <w:r w:rsidRPr="00E9129B">
        <w:rPr>
          <w:b/>
          <w:bCs/>
          <w:rtl/>
        </w:rPr>
        <w:t xml:space="preserve"> </w:t>
      </w:r>
      <w:r w:rsidRPr="00E9129B">
        <w:rPr>
          <w:rFonts w:hint="eastAsia"/>
          <w:b/>
          <w:bCs/>
          <w:rtl/>
        </w:rPr>
        <w:t>העל</w:t>
      </w:r>
      <w:r w:rsidRPr="00E9129B">
        <w:rPr>
          <w:b/>
          <w:bCs/>
          <w:rtl/>
        </w:rPr>
        <w:t>-</w:t>
      </w:r>
      <w:r w:rsidRPr="00E9129B">
        <w:rPr>
          <w:rFonts w:hint="eastAsia"/>
          <w:b/>
          <w:bCs/>
          <w:rtl/>
        </w:rPr>
        <w:t>יסודיים</w:t>
      </w:r>
      <w:r w:rsidRPr="00E9129B">
        <w:rPr>
          <w:b/>
          <w:bCs/>
          <w:rtl/>
        </w:rPr>
        <w:t xml:space="preserve"> </w:t>
      </w:r>
      <w:r w:rsidRPr="00E9129B">
        <w:rPr>
          <w:rFonts w:hint="eastAsia"/>
          <w:b/>
          <w:bCs/>
          <w:rtl/>
        </w:rPr>
        <w:t>שבהם</w:t>
      </w:r>
      <w:r w:rsidRPr="00E9129B">
        <w:rPr>
          <w:b/>
          <w:bCs/>
          <w:rtl/>
        </w:rPr>
        <w:t xml:space="preserve"> </w:t>
      </w:r>
      <w:r w:rsidRPr="00E9129B">
        <w:rPr>
          <w:rFonts w:hint="eastAsia"/>
          <w:b/>
          <w:bCs/>
          <w:rtl/>
        </w:rPr>
        <w:t>פעל</w:t>
      </w:r>
      <w:r w:rsidRPr="00E9129B">
        <w:rPr>
          <w:b/>
          <w:bCs/>
          <w:rtl/>
        </w:rPr>
        <w:t xml:space="preserve"> </w:t>
      </w:r>
      <w:r w:rsidRPr="00E9129B">
        <w:rPr>
          <w:rFonts w:hint="eastAsia"/>
          <w:b/>
          <w:bCs/>
          <w:rtl/>
        </w:rPr>
        <w:t>מב</w:t>
      </w:r>
      <w:r w:rsidRPr="00E9129B">
        <w:rPr>
          <w:b/>
          <w:bCs/>
          <w:rtl/>
        </w:rPr>
        <w:t>"ס</w:t>
      </w:r>
      <w:r w:rsidRPr="00E9129B">
        <w:rPr>
          <w:rFonts w:hint="cs"/>
          <w:b/>
          <w:bCs/>
          <w:rtl/>
        </w:rPr>
        <w:t>,</w:t>
      </w:r>
      <w:r w:rsidRPr="00E9129B">
        <w:rPr>
          <w:b/>
          <w:bCs/>
          <w:rtl/>
        </w:rPr>
        <w:t xml:space="preserve"> לפי מגזרים</w:t>
      </w:r>
      <w:r w:rsidRPr="00E9129B">
        <w:rPr>
          <w:rFonts w:hint="cs"/>
          <w:b/>
          <w:bCs/>
          <w:rtl/>
        </w:rPr>
        <w:t xml:space="preserve">, </w:t>
      </w:r>
      <w:r w:rsidRPr="00E9129B">
        <w:rPr>
          <w:rFonts w:hint="cs"/>
          <w:b/>
          <w:bCs/>
          <w:rtl/>
        </w:rPr>
        <w:t>התשע"ח</w:t>
      </w:r>
    </w:p>
    <w:p w:rsidR="00E9129B" w:rsidRPr="00211D07" w:rsidP="0095721D">
      <w:pPr>
        <w:spacing w:line="240" w:lineRule="atLeast"/>
        <w:jc w:val="both"/>
        <w:rPr>
          <w:rFonts w:ascii="Tahoma" w:hAnsi="Tahoma" w:cs="Tahoma"/>
          <w:sz w:val="18"/>
          <w:szCs w:val="18"/>
          <w:rtl/>
        </w:rPr>
      </w:pPr>
      <w:r>
        <w:rPr>
          <w:rFonts w:ascii="Tahoma" w:hAnsi="Tahoma" w:cs="Tahoma"/>
          <w:noProof/>
          <w:sz w:val="18"/>
          <w:szCs w:val="18"/>
          <w:rtl/>
        </w:rPr>
        <w:drawing>
          <wp:inline distT="0" distB="0" distL="0" distR="0">
            <wp:extent cx="3962400" cy="2648712"/>
            <wp:effectExtent l="0" t="0" r="0" b="0"/>
            <wp:docPr id="13" name="Picture 13" descr="מתוך 676 מוסדות במגזר החרדי לא פעל מב&quot;ס ב-581 מוסדות, מתוך 621 מוסדות במגזר הממלכתי לא פעל מב&quot;ס ב-31 מוסדות, מתוך 392 מוסדות במגזר הערבי, הבדואי והצ'רקסי לא פעל מב&quot;ס ב-142 מוסדות, ומתוך 329 מוסדות בחינוך הממלכתי-דתי לא פעל מב&quot;ס ב-91 מוסדו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535318" name="28 - 223 - אינפו 5.jpg"/>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62400" cy="2648712"/>
                    </a:xfrm>
                    <a:prstGeom prst="rect">
                      <a:avLst/>
                    </a:prstGeom>
                  </pic:spPr>
                </pic:pic>
              </a:graphicData>
            </a:graphic>
          </wp:inline>
        </w:drawing>
      </w:r>
    </w:p>
    <w:p w:rsidR="009B6D36" w:rsidRPr="00211D07" w:rsidP="00E9129B">
      <w:pPr>
        <w:pStyle w:val="text-source"/>
        <w:rPr>
          <w:rFonts w:eastAsia="Calibri"/>
          <w:rtl/>
        </w:rPr>
      </w:pPr>
      <w:r w:rsidRPr="00211D07">
        <w:rPr>
          <w:rFonts w:eastAsia="Calibri" w:hint="eastAsia"/>
          <w:rtl/>
        </w:rPr>
        <w:t>על</w:t>
      </w:r>
      <w:r w:rsidRPr="00211D07">
        <w:rPr>
          <w:rFonts w:eastAsia="Calibri"/>
          <w:rtl/>
        </w:rPr>
        <w:t xml:space="preserve"> </w:t>
      </w:r>
      <w:r w:rsidRPr="00211D07">
        <w:rPr>
          <w:rFonts w:eastAsia="Calibri" w:hint="eastAsia"/>
          <w:rtl/>
        </w:rPr>
        <w:t>פי</w:t>
      </w:r>
      <w:r w:rsidRPr="00211D07">
        <w:rPr>
          <w:rFonts w:eastAsia="Calibri"/>
          <w:rtl/>
        </w:rPr>
        <w:t xml:space="preserve"> </w:t>
      </w:r>
      <w:r w:rsidRPr="00211D07">
        <w:rPr>
          <w:rFonts w:eastAsia="Calibri" w:hint="eastAsia"/>
          <w:rtl/>
        </w:rPr>
        <w:t>נתוני</w:t>
      </w:r>
      <w:r w:rsidRPr="00211D07">
        <w:rPr>
          <w:rFonts w:eastAsia="Calibri" w:hint="cs"/>
          <w:rtl/>
        </w:rPr>
        <w:t xml:space="preserve"> משרד החינוך, בעיבוד משרד מבקר המדינה.</w:t>
      </w:r>
    </w:p>
    <w:p w:rsidR="009B6D36" w:rsidRPr="00211D07" w:rsidP="00335CD4">
      <w:pPr>
        <w:spacing w:after="240" w:line="240" w:lineRule="exact"/>
        <w:ind w:left="340" w:right="2268"/>
        <w:jc w:val="both"/>
        <w:rPr>
          <w:rFonts w:ascii="Tahoma" w:hAnsi="Tahoma" w:cs="Tahoma"/>
          <w:sz w:val="18"/>
          <w:szCs w:val="18"/>
          <w:rtl/>
        </w:rPr>
      </w:pPr>
      <w:r>
        <w:rPr>
          <w:rFonts w:ascii="Tahoma" w:hAnsi="Tahoma" w:cs="Tahoma" w:hint="cs"/>
          <w:sz w:val="18"/>
          <w:szCs w:val="18"/>
          <w:rtl/>
        </w:rPr>
        <w:t>מהתרשים עולה</w:t>
      </w:r>
      <w:r w:rsidRPr="00211D07">
        <w:rPr>
          <w:rFonts w:ascii="Tahoma" w:hAnsi="Tahoma" w:cs="Tahoma" w:hint="cs"/>
          <w:sz w:val="18"/>
          <w:szCs w:val="18"/>
          <w:rtl/>
        </w:rPr>
        <w:t xml:space="preserve"> כי המחסור העיקרי </w:t>
      </w:r>
      <w:r w:rsidRPr="00211D07">
        <w:rPr>
          <w:rFonts w:ascii="Tahoma" w:hAnsi="Tahoma" w:cs="Tahoma" w:hint="cs"/>
          <w:sz w:val="18"/>
          <w:szCs w:val="18"/>
          <w:rtl/>
        </w:rPr>
        <w:t>במב"סים</w:t>
      </w:r>
      <w:r w:rsidRPr="00211D07">
        <w:rPr>
          <w:rFonts w:ascii="Tahoma" w:hAnsi="Tahoma" w:cs="Tahoma" w:hint="cs"/>
          <w:sz w:val="18"/>
          <w:szCs w:val="18"/>
          <w:rtl/>
        </w:rPr>
        <w:t xml:space="preserve"> הוא במגזר החרדי, הערבי </w:t>
      </w:r>
      <w:r w:rsidRPr="00211D07">
        <w:rPr>
          <w:rFonts w:ascii="Tahoma" w:hAnsi="Tahoma" w:cs="Tahoma" w:hint="cs"/>
          <w:sz w:val="18"/>
          <w:szCs w:val="18"/>
          <w:rtl/>
        </w:rPr>
        <w:t>ובחמ"ד</w:t>
      </w:r>
      <w:r w:rsidRPr="00211D07">
        <w:rPr>
          <w:rFonts w:ascii="Tahoma" w:hAnsi="Tahoma" w:cs="Tahoma" w:hint="cs"/>
          <w:sz w:val="18"/>
          <w:szCs w:val="18"/>
          <w:rtl/>
        </w:rPr>
        <w:t xml:space="preserve"> (חינוך ממלכתי דתי). אשר למגזר החרדי - חשוב לציין כי על פי נתוני השירות להתמכרויות לשנת 2016 רק 1.5% מהמטופלים הם מהמגזר החרדי. בסיכום השנתי של פעילותו לשנת 2016 ציין השירות כי "בישובים </w:t>
      </w:r>
      <w:r w:rsidRPr="00211D07">
        <w:rPr>
          <w:rFonts w:ascii="Tahoma" w:hAnsi="Tahoma" w:cs="Tahoma" w:hint="cs"/>
          <w:sz w:val="18"/>
          <w:szCs w:val="18"/>
          <w:rtl/>
        </w:rPr>
        <w:t>דתיים וחרדיים ישנה אוכלוסייה רבה בעיקר צעירה אשר מצויה על רצף ההתמכרות ושאינה פונה לקבל טיפול"</w:t>
      </w:r>
      <w:r>
        <w:rPr>
          <w:rStyle w:val="FootnoteReference0"/>
          <w:rFonts w:ascii="Tahoma" w:hAnsi="Tahoma" w:cs="Tahoma"/>
          <w:sz w:val="18"/>
          <w:szCs w:val="18"/>
          <w:rtl/>
        </w:rPr>
        <w:footnoteReference w:id="76"/>
      </w:r>
      <w:r w:rsidRPr="00211D07">
        <w:rPr>
          <w:rFonts w:ascii="Tahoma" w:hAnsi="Tahoma" w:cs="Tahoma" w:hint="cs"/>
          <w:sz w:val="18"/>
          <w:szCs w:val="18"/>
          <w:rtl/>
        </w:rPr>
        <w:t xml:space="preserve">. אשר למגזר הערבי - שיעור התלמידים </w:t>
      </w:r>
      <w:r w:rsidRPr="00211D07">
        <w:rPr>
          <w:rFonts w:ascii="Tahoma" w:hAnsi="Tahoma" w:cs="Tahoma"/>
          <w:sz w:val="18"/>
          <w:szCs w:val="18"/>
          <w:rtl/>
        </w:rPr>
        <w:t xml:space="preserve">בכיתות י'-י"ב </w:t>
      </w:r>
      <w:r w:rsidRPr="00211D07">
        <w:rPr>
          <w:rFonts w:ascii="Tahoma" w:hAnsi="Tahoma" w:cs="Tahoma" w:hint="cs"/>
          <w:sz w:val="18"/>
          <w:szCs w:val="18"/>
          <w:rtl/>
        </w:rPr>
        <w:t xml:space="preserve">שדיווחו </w:t>
      </w:r>
      <w:r w:rsidRPr="00211D07">
        <w:rPr>
          <w:rFonts w:ascii="Tahoma" w:hAnsi="Tahoma" w:cs="Tahoma"/>
          <w:sz w:val="18"/>
          <w:szCs w:val="18"/>
          <w:rtl/>
        </w:rPr>
        <w:t xml:space="preserve">על שימוש </w:t>
      </w:r>
      <w:r w:rsidRPr="00211D07">
        <w:rPr>
          <w:rFonts w:ascii="Tahoma" w:hAnsi="Tahoma" w:cs="Tahoma" w:hint="cs"/>
          <w:sz w:val="18"/>
          <w:szCs w:val="18"/>
          <w:rtl/>
        </w:rPr>
        <w:t>בסמים</w:t>
      </w:r>
      <w:r>
        <w:rPr>
          <w:rFonts w:ascii="Tahoma" w:hAnsi="Tahoma" w:cs="Tahoma"/>
          <w:sz w:val="18"/>
          <w:szCs w:val="18"/>
          <w:vertAlign w:val="superscript"/>
          <w:rtl/>
        </w:rPr>
        <w:footnoteReference w:id="77"/>
      </w:r>
      <w:r w:rsidRPr="00211D07">
        <w:rPr>
          <w:rFonts w:ascii="Tahoma" w:hAnsi="Tahoma" w:cs="Tahoma" w:hint="cs"/>
          <w:sz w:val="18"/>
          <w:szCs w:val="18"/>
          <w:rtl/>
        </w:rPr>
        <w:t xml:space="preserve"> היה גבוה יותר בקרב בנים מהמגזר הערבי לעומת הבנים במגזר היהודי, אך</w:t>
      </w:r>
      <w:r w:rsidRPr="00211D07">
        <w:rPr>
          <w:rFonts w:ascii="Tahoma" w:hAnsi="Tahoma" w:cs="Tahoma"/>
          <w:sz w:val="18"/>
          <w:szCs w:val="18"/>
          <w:rtl/>
        </w:rPr>
        <w:t xml:space="preserve"> שיעור התלמידים בכיתות ו'-י"ב שדיווחו על שתי</w:t>
      </w:r>
      <w:r w:rsidRPr="00211D07">
        <w:rPr>
          <w:rFonts w:ascii="Tahoma" w:hAnsi="Tahoma" w:cs="Tahoma" w:hint="cs"/>
          <w:sz w:val="18"/>
          <w:szCs w:val="18"/>
          <w:rtl/>
        </w:rPr>
        <w:t>י</w:t>
      </w:r>
      <w:r w:rsidRPr="00211D07">
        <w:rPr>
          <w:rFonts w:ascii="Tahoma" w:hAnsi="Tahoma" w:cs="Tahoma"/>
          <w:sz w:val="18"/>
          <w:szCs w:val="18"/>
          <w:rtl/>
        </w:rPr>
        <w:t>ה מופרזת היה דומה בקרב הבנים במגזר היהודי והערבי</w:t>
      </w:r>
      <w:r>
        <w:rPr>
          <w:rFonts w:ascii="Tahoma" w:hAnsi="Tahoma" w:cs="Tahoma"/>
          <w:sz w:val="18"/>
          <w:szCs w:val="18"/>
          <w:vertAlign w:val="superscript"/>
          <w:rtl/>
        </w:rPr>
        <w:footnoteReference w:id="78"/>
      </w:r>
      <w:r w:rsidRPr="00211D07">
        <w:rPr>
          <w:rFonts w:ascii="Tahoma" w:hAnsi="Tahoma" w:cs="Tahoma"/>
          <w:sz w:val="18"/>
          <w:szCs w:val="18"/>
          <w:rtl/>
        </w:rPr>
        <w:t xml:space="preserve">. </w:t>
      </w:r>
      <w:r w:rsidRPr="00211D07">
        <w:rPr>
          <w:rFonts w:ascii="Tahoma" w:hAnsi="Tahoma" w:cs="Tahoma" w:hint="cs"/>
          <w:sz w:val="18"/>
          <w:szCs w:val="18"/>
          <w:rtl/>
        </w:rPr>
        <w:t xml:space="preserve">אשר </w:t>
      </w:r>
      <w:r w:rsidRPr="00211D07">
        <w:rPr>
          <w:rFonts w:ascii="Tahoma" w:hAnsi="Tahoma" w:cs="Tahoma" w:hint="cs"/>
          <w:sz w:val="18"/>
          <w:szCs w:val="18"/>
          <w:rtl/>
        </w:rPr>
        <w:t>לחמ"ד</w:t>
      </w:r>
      <w:r w:rsidRPr="00211D07">
        <w:rPr>
          <w:rFonts w:ascii="Tahoma" w:hAnsi="Tahoma" w:cs="Tahoma" w:hint="cs"/>
          <w:sz w:val="18"/>
          <w:szCs w:val="18"/>
          <w:rtl/>
        </w:rPr>
        <w:t xml:space="preserve"> - במחקר משנת 2014</w:t>
      </w:r>
      <w:r>
        <w:rPr>
          <w:rStyle w:val="FootnoteReference0"/>
          <w:rFonts w:ascii="Tahoma" w:hAnsi="Tahoma" w:cs="Tahoma"/>
          <w:sz w:val="18"/>
          <w:szCs w:val="18"/>
          <w:rtl/>
        </w:rPr>
        <w:footnoteReference w:id="79"/>
      </w:r>
      <w:r w:rsidRPr="00211D07">
        <w:rPr>
          <w:rFonts w:ascii="Tahoma" w:hAnsi="Tahoma" w:cs="Tahoma" w:hint="cs"/>
          <w:sz w:val="18"/>
          <w:szCs w:val="18"/>
          <w:rtl/>
        </w:rPr>
        <w:t xml:space="preserve"> עלה כי שיעור התלמידים בכיתות ו' ו-ח' שדיווחו על שתייה מופרזת היה גבוה יותר בקרב בנים הלומדים </w:t>
      </w:r>
      <w:r w:rsidRPr="00211D07">
        <w:rPr>
          <w:rFonts w:ascii="Tahoma" w:hAnsi="Tahoma" w:cs="Tahoma" w:hint="cs"/>
          <w:sz w:val="18"/>
          <w:szCs w:val="18"/>
          <w:rtl/>
        </w:rPr>
        <w:t>בחמ"ד</w:t>
      </w:r>
      <w:r w:rsidRPr="00211D07">
        <w:rPr>
          <w:rFonts w:ascii="Tahoma" w:hAnsi="Tahoma" w:cs="Tahoma" w:hint="cs"/>
          <w:sz w:val="18"/>
          <w:szCs w:val="18"/>
          <w:rtl/>
        </w:rPr>
        <w:t xml:space="preserve"> לעומת בנים הלומדים בחינוך הממלכתי. שיעור התלמידים בכיתות י'-י"ב שדיווחו כי השתכרו אי פעם היה דומה בקרב הבנים הלומדים </w:t>
      </w:r>
      <w:r w:rsidRPr="00211D07">
        <w:rPr>
          <w:rFonts w:ascii="Tahoma" w:hAnsi="Tahoma" w:cs="Tahoma" w:hint="cs"/>
          <w:sz w:val="18"/>
          <w:szCs w:val="18"/>
          <w:rtl/>
        </w:rPr>
        <w:t>בחמ"ד</w:t>
      </w:r>
      <w:r w:rsidRPr="00211D07">
        <w:rPr>
          <w:rFonts w:ascii="Tahoma" w:hAnsi="Tahoma" w:cs="Tahoma" w:hint="cs"/>
          <w:sz w:val="18"/>
          <w:szCs w:val="18"/>
          <w:rtl/>
        </w:rPr>
        <w:t xml:space="preserve"> לבנים הלומדים בחינוך הממלכתי - כ-40%.</w:t>
      </w:r>
      <w:r w:rsidRPr="0012789B" w:rsidR="00290C9B">
        <w:rPr>
          <w:rFonts w:cs="Tahoma"/>
          <w:noProof/>
          <w:sz w:val="17"/>
          <w:szCs w:val="17"/>
          <w:rtl/>
        </w:rPr>
        <mc:AlternateContent>
          <mc:Choice Requires="wps">
            <w:drawing>
              <wp:anchor distT="0" distB="0" distL="114300" distR="114300" simplePos="0" relativeHeight="251660288" behindDoc="1" locked="0" layoutInCell="1" allowOverlap="1">
                <wp:simplePos x="0" y="0"/>
                <wp:positionH relativeFrom="margin">
                  <wp:posOffset>-431800</wp:posOffset>
                </wp:positionH>
                <wp:positionV relativeFrom="margin">
                  <wp:align>top</wp:align>
                </wp:positionV>
                <wp:extent cx="1620000" cy="4140000"/>
                <wp:effectExtent l="0" t="0" r="0" b="0"/>
                <wp:wrapNone/>
                <wp:docPr id="15"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290C9B" w:rsidRPr="00373C5D" w:rsidP="00290C9B">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81937652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621225"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290C9B" w:rsidRPr="00881D99" w:rsidP="00290C9B">
                            <w:pPr>
                              <w:spacing w:after="0" w:line="240" w:lineRule="auto"/>
                              <w:rPr>
                                <w:color w:val="0B5294"/>
                                <w:spacing w:val="-4"/>
                                <w:sz w:val="24"/>
                                <w:szCs w:val="24"/>
                                <w:rtl/>
                                <w:cs/>
                              </w:rPr>
                            </w:pPr>
                            <w:r w:rsidRPr="00335CD4">
                              <w:rPr>
                                <w:rFonts w:cs="Tahoma" w:hint="eastAsia"/>
                                <w:color w:val="0B5294"/>
                                <w:spacing w:val="-4"/>
                                <w:sz w:val="24"/>
                                <w:szCs w:val="24"/>
                                <w:rtl/>
                              </w:rPr>
                              <w:t>שיעור</w:t>
                            </w:r>
                            <w:r w:rsidRPr="00335CD4">
                              <w:rPr>
                                <w:rFonts w:cs="Tahoma"/>
                                <w:color w:val="0B5294"/>
                                <w:spacing w:val="-4"/>
                                <w:sz w:val="24"/>
                                <w:szCs w:val="24"/>
                                <w:rtl/>
                              </w:rPr>
                              <w:t xml:space="preserve"> </w:t>
                            </w:r>
                            <w:r w:rsidRPr="00335CD4">
                              <w:rPr>
                                <w:rFonts w:cs="Tahoma" w:hint="eastAsia"/>
                                <w:color w:val="0B5294"/>
                                <w:spacing w:val="-4"/>
                                <w:sz w:val="24"/>
                                <w:szCs w:val="24"/>
                                <w:rtl/>
                              </w:rPr>
                              <w:t>התלמידים</w:t>
                            </w:r>
                            <w:r w:rsidRPr="00335CD4">
                              <w:rPr>
                                <w:rFonts w:cs="Tahoma"/>
                                <w:color w:val="0B5294"/>
                                <w:spacing w:val="-4"/>
                                <w:sz w:val="24"/>
                                <w:szCs w:val="24"/>
                                <w:rtl/>
                              </w:rPr>
                              <w:t xml:space="preserve"> </w:t>
                            </w:r>
                            <w:r w:rsidRPr="00335CD4">
                              <w:rPr>
                                <w:rFonts w:cs="Tahoma" w:hint="eastAsia"/>
                                <w:color w:val="0B5294"/>
                                <w:spacing w:val="-4"/>
                                <w:sz w:val="24"/>
                                <w:szCs w:val="24"/>
                                <w:rtl/>
                              </w:rPr>
                              <w:t>בכיתות</w:t>
                            </w:r>
                            <w:r w:rsidRPr="00335CD4">
                              <w:rPr>
                                <w:rFonts w:cs="Tahoma"/>
                                <w:color w:val="0B5294"/>
                                <w:spacing w:val="-4"/>
                                <w:sz w:val="24"/>
                                <w:szCs w:val="24"/>
                                <w:rtl/>
                              </w:rPr>
                              <w:t xml:space="preserve"> </w:t>
                            </w:r>
                            <w:r w:rsidRPr="00335CD4">
                              <w:rPr>
                                <w:rFonts w:cs="Tahoma" w:hint="eastAsia"/>
                                <w:color w:val="0B5294"/>
                                <w:spacing w:val="-4"/>
                                <w:sz w:val="24"/>
                                <w:szCs w:val="24"/>
                                <w:rtl/>
                              </w:rPr>
                              <w:t>י</w:t>
                            </w:r>
                            <w:r w:rsidRPr="00335CD4">
                              <w:rPr>
                                <w:rFonts w:cs="Tahoma"/>
                                <w:color w:val="0B5294"/>
                                <w:spacing w:val="-4"/>
                                <w:sz w:val="24"/>
                                <w:szCs w:val="24"/>
                                <w:rtl/>
                              </w:rPr>
                              <w:t>'-</w:t>
                            </w:r>
                            <w:r w:rsidRPr="00335CD4">
                              <w:rPr>
                                <w:rFonts w:cs="Tahoma" w:hint="eastAsia"/>
                                <w:color w:val="0B5294"/>
                                <w:spacing w:val="-4"/>
                                <w:sz w:val="24"/>
                                <w:szCs w:val="24"/>
                                <w:rtl/>
                              </w:rPr>
                              <w:t>י</w:t>
                            </w:r>
                            <w:r w:rsidRPr="00335CD4">
                              <w:rPr>
                                <w:rFonts w:cs="Tahoma"/>
                                <w:color w:val="0B5294"/>
                                <w:spacing w:val="-4"/>
                                <w:sz w:val="24"/>
                                <w:szCs w:val="24"/>
                                <w:rtl/>
                              </w:rPr>
                              <w:t>"</w:t>
                            </w:r>
                            <w:r w:rsidRPr="00335CD4">
                              <w:rPr>
                                <w:rFonts w:cs="Tahoma" w:hint="eastAsia"/>
                                <w:color w:val="0B5294"/>
                                <w:spacing w:val="-4"/>
                                <w:sz w:val="24"/>
                                <w:szCs w:val="24"/>
                                <w:rtl/>
                              </w:rPr>
                              <w:t>ב</w:t>
                            </w:r>
                            <w:r w:rsidRPr="00335CD4">
                              <w:rPr>
                                <w:rFonts w:cs="Tahoma"/>
                                <w:color w:val="0B5294"/>
                                <w:spacing w:val="-4"/>
                                <w:sz w:val="24"/>
                                <w:szCs w:val="24"/>
                                <w:rtl/>
                              </w:rPr>
                              <w:t xml:space="preserve"> </w:t>
                            </w:r>
                            <w:r w:rsidRPr="00335CD4">
                              <w:rPr>
                                <w:rFonts w:cs="Tahoma" w:hint="eastAsia"/>
                                <w:color w:val="0B5294"/>
                                <w:spacing w:val="-4"/>
                                <w:sz w:val="24"/>
                                <w:szCs w:val="24"/>
                                <w:rtl/>
                              </w:rPr>
                              <w:t>שדיווחו</w:t>
                            </w:r>
                            <w:r w:rsidRPr="00335CD4">
                              <w:rPr>
                                <w:rFonts w:cs="Tahoma"/>
                                <w:color w:val="0B5294"/>
                                <w:spacing w:val="-4"/>
                                <w:sz w:val="24"/>
                                <w:szCs w:val="24"/>
                                <w:rtl/>
                              </w:rPr>
                              <w:t xml:space="preserve"> </w:t>
                            </w:r>
                            <w:r w:rsidRPr="00335CD4">
                              <w:rPr>
                                <w:rFonts w:cs="Tahoma" w:hint="eastAsia"/>
                                <w:color w:val="0B5294"/>
                                <w:spacing w:val="-4"/>
                                <w:sz w:val="24"/>
                                <w:szCs w:val="24"/>
                                <w:rtl/>
                              </w:rPr>
                              <w:t>על</w:t>
                            </w:r>
                            <w:r w:rsidRPr="00335CD4">
                              <w:rPr>
                                <w:rFonts w:cs="Tahoma"/>
                                <w:color w:val="0B5294"/>
                                <w:spacing w:val="-4"/>
                                <w:sz w:val="24"/>
                                <w:szCs w:val="24"/>
                                <w:rtl/>
                              </w:rPr>
                              <w:t xml:space="preserve"> </w:t>
                            </w:r>
                            <w:r w:rsidRPr="00335CD4">
                              <w:rPr>
                                <w:rFonts w:cs="Tahoma" w:hint="eastAsia"/>
                                <w:color w:val="0B5294"/>
                                <w:spacing w:val="-4"/>
                                <w:sz w:val="24"/>
                                <w:szCs w:val="24"/>
                                <w:rtl/>
                              </w:rPr>
                              <w:t>שימוש</w:t>
                            </w:r>
                            <w:r w:rsidRPr="00335CD4">
                              <w:rPr>
                                <w:rFonts w:cs="Tahoma"/>
                                <w:color w:val="0B5294"/>
                                <w:spacing w:val="-4"/>
                                <w:sz w:val="24"/>
                                <w:szCs w:val="24"/>
                                <w:rtl/>
                              </w:rPr>
                              <w:t xml:space="preserve"> </w:t>
                            </w:r>
                            <w:r w:rsidRPr="00335CD4">
                              <w:rPr>
                                <w:rFonts w:cs="Tahoma" w:hint="eastAsia"/>
                                <w:color w:val="0B5294"/>
                                <w:spacing w:val="-4"/>
                                <w:sz w:val="24"/>
                                <w:szCs w:val="24"/>
                                <w:rtl/>
                              </w:rPr>
                              <w:t>בסמים</w:t>
                            </w:r>
                            <w:r w:rsidRPr="00335CD4">
                              <w:rPr>
                                <w:rFonts w:cs="Tahoma"/>
                                <w:color w:val="0B5294"/>
                                <w:spacing w:val="-4"/>
                                <w:sz w:val="24"/>
                                <w:szCs w:val="24"/>
                                <w:rtl/>
                              </w:rPr>
                              <w:t xml:space="preserve"> </w:t>
                            </w:r>
                            <w:r w:rsidRPr="00335CD4">
                              <w:rPr>
                                <w:rFonts w:cs="Tahoma" w:hint="eastAsia"/>
                                <w:color w:val="0B5294"/>
                                <w:spacing w:val="-4"/>
                                <w:sz w:val="24"/>
                                <w:szCs w:val="24"/>
                                <w:rtl/>
                              </w:rPr>
                              <w:t>היה</w:t>
                            </w:r>
                            <w:r w:rsidRPr="00335CD4">
                              <w:rPr>
                                <w:rFonts w:cs="Tahoma"/>
                                <w:color w:val="0B5294"/>
                                <w:spacing w:val="-4"/>
                                <w:sz w:val="24"/>
                                <w:szCs w:val="24"/>
                                <w:rtl/>
                              </w:rPr>
                              <w:t xml:space="preserve"> </w:t>
                            </w:r>
                            <w:r w:rsidRPr="00335CD4">
                              <w:rPr>
                                <w:rFonts w:cs="Tahoma" w:hint="eastAsia"/>
                                <w:color w:val="0B5294"/>
                                <w:spacing w:val="-4"/>
                                <w:sz w:val="24"/>
                                <w:szCs w:val="24"/>
                                <w:rtl/>
                              </w:rPr>
                              <w:t>גבוה</w:t>
                            </w:r>
                            <w:r w:rsidRPr="00335CD4">
                              <w:rPr>
                                <w:rFonts w:cs="Tahoma"/>
                                <w:color w:val="0B5294"/>
                                <w:spacing w:val="-4"/>
                                <w:sz w:val="24"/>
                                <w:szCs w:val="24"/>
                                <w:rtl/>
                              </w:rPr>
                              <w:t xml:space="preserve"> </w:t>
                            </w:r>
                            <w:r w:rsidRPr="00335CD4">
                              <w:rPr>
                                <w:rFonts w:cs="Tahoma" w:hint="eastAsia"/>
                                <w:color w:val="0B5294"/>
                                <w:spacing w:val="-4"/>
                                <w:sz w:val="24"/>
                                <w:szCs w:val="24"/>
                                <w:rtl/>
                              </w:rPr>
                              <w:t>יותר</w:t>
                            </w:r>
                            <w:r w:rsidRPr="00335CD4">
                              <w:rPr>
                                <w:rFonts w:cs="Tahoma"/>
                                <w:color w:val="0B5294"/>
                                <w:spacing w:val="-4"/>
                                <w:sz w:val="24"/>
                                <w:szCs w:val="24"/>
                                <w:rtl/>
                              </w:rPr>
                              <w:t xml:space="preserve"> </w:t>
                            </w:r>
                            <w:r w:rsidRPr="00335CD4">
                              <w:rPr>
                                <w:rFonts w:cs="Tahoma" w:hint="eastAsia"/>
                                <w:color w:val="0B5294"/>
                                <w:spacing w:val="-4"/>
                                <w:sz w:val="24"/>
                                <w:szCs w:val="24"/>
                                <w:rtl/>
                              </w:rPr>
                              <w:t>בקרב</w:t>
                            </w:r>
                            <w:r w:rsidRPr="00335CD4">
                              <w:rPr>
                                <w:rFonts w:cs="Tahoma"/>
                                <w:color w:val="0B5294"/>
                                <w:spacing w:val="-4"/>
                                <w:sz w:val="24"/>
                                <w:szCs w:val="24"/>
                                <w:rtl/>
                              </w:rPr>
                              <w:t xml:space="preserve"> </w:t>
                            </w:r>
                            <w:r w:rsidRPr="00335CD4">
                              <w:rPr>
                                <w:rFonts w:cs="Tahoma" w:hint="eastAsia"/>
                                <w:color w:val="0B5294"/>
                                <w:spacing w:val="-4"/>
                                <w:sz w:val="24"/>
                                <w:szCs w:val="24"/>
                                <w:rtl/>
                              </w:rPr>
                              <w:t>בנים</w:t>
                            </w:r>
                            <w:r w:rsidRPr="00335CD4">
                              <w:rPr>
                                <w:rFonts w:cs="Tahoma"/>
                                <w:color w:val="0B5294"/>
                                <w:spacing w:val="-4"/>
                                <w:sz w:val="24"/>
                                <w:szCs w:val="24"/>
                                <w:rtl/>
                              </w:rPr>
                              <w:t xml:space="preserve"> </w:t>
                            </w:r>
                            <w:r w:rsidRPr="00335CD4">
                              <w:rPr>
                                <w:rFonts w:cs="Tahoma" w:hint="eastAsia"/>
                                <w:color w:val="0B5294"/>
                                <w:spacing w:val="-4"/>
                                <w:sz w:val="24"/>
                                <w:szCs w:val="24"/>
                                <w:rtl/>
                              </w:rPr>
                              <w:t>מהמגזר</w:t>
                            </w:r>
                            <w:r w:rsidRPr="00335CD4">
                              <w:rPr>
                                <w:rFonts w:cs="Tahoma"/>
                                <w:color w:val="0B5294"/>
                                <w:spacing w:val="-4"/>
                                <w:sz w:val="24"/>
                                <w:szCs w:val="24"/>
                                <w:rtl/>
                              </w:rPr>
                              <w:t xml:space="preserve"> </w:t>
                            </w:r>
                            <w:r w:rsidRPr="00335CD4">
                              <w:rPr>
                                <w:rFonts w:cs="Tahoma" w:hint="eastAsia"/>
                                <w:color w:val="0B5294"/>
                                <w:spacing w:val="-4"/>
                                <w:sz w:val="24"/>
                                <w:szCs w:val="24"/>
                                <w:rtl/>
                              </w:rPr>
                              <w:t>הערבי</w:t>
                            </w:r>
                            <w:r w:rsidRPr="00335CD4">
                              <w:rPr>
                                <w:rFonts w:cs="Tahoma"/>
                                <w:color w:val="0B5294"/>
                                <w:spacing w:val="-4"/>
                                <w:sz w:val="24"/>
                                <w:szCs w:val="24"/>
                                <w:rtl/>
                              </w:rPr>
                              <w:t xml:space="preserve"> </w:t>
                            </w:r>
                            <w:r w:rsidRPr="00335CD4">
                              <w:rPr>
                                <w:rFonts w:cs="Tahoma" w:hint="eastAsia"/>
                                <w:color w:val="0B5294"/>
                                <w:spacing w:val="-4"/>
                                <w:sz w:val="24"/>
                                <w:szCs w:val="24"/>
                                <w:rtl/>
                              </w:rPr>
                              <w:t>לעומת</w:t>
                            </w:r>
                            <w:r w:rsidRPr="00335CD4">
                              <w:rPr>
                                <w:rFonts w:cs="Tahoma"/>
                                <w:color w:val="0B5294"/>
                                <w:spacing w:val="-4"/>
                                <w:sz w:val="24"/>
                                <w:szCs w:val="24"/>
                                <w:rtl/>
                              </w:rPr>
                              <w:t xml:space="preserve"> </w:t>
                            </w:r>
                            <w:r w:rsidRPr="00335CD4">
                              <w:rPr>
                                <w:rFonts w:cs="Tahoma" w:hint="eastAsia"/>
                                <w:color w:val="0B5294"/>
                                <w:spacing w:val="-4"/>
                                <w:sz w:val="24"/>
                                <w:szCs w:val="24"/>
                                <w:rtl/>
                              </w:rPr>
                              <w:t>בנים</w:t>
                            </w:r>
                            <w:r w:rsidRPr="00335CD4">
                              <w:rPr>
                                <w:rFonts w:cs="Tahoma"/>
                                <w:color w:val="0B5294"/>
                                <w:spacing w:val="-4"/>
                                <w:sz w:val="24"/>
                                <w:szCs w:val="24"/>
                                <w:rtl/>
                              </w:rPr>
                              <w:t xml:space="preserve"> </w:t>
                            </w:r>
                            <w:r w:rsidRPr="00335CD4">
                              <w:rPr>
                                <w:rFonts w:cs="Tahoma" w:hint="eastAsia"/>
                                <w:color w:val="0B5294"/>
                                <w:spacing w:val="-4"/>
                                <w:sz w:val="24"/>
                                <w:szCs w:val="24"/>
                                <w:rtl/>
                              </w:rPr>
                              <w:t>במגזר</w:t>
                            </w:r>
                            <w:r w:rsidRPr="00335CD4">
                              <w:rPr>
                                <w:rFonts w:cs="Tahoma"/>
                                <w:color w:val="0B5294"/>
                                <w:spacing w:val="-4"/>
                                <w:sz w:val="24"/>
                                <w:szCs w:val="24"/>
                                <w:rtl/>
                              </w:rPr>
                              <w:t xml:space="preserve"> </w:t>
                            </w:r>
                            <w:r w:rsidRPr="00335CD4">
                              <w:rPr>
                                <w:rFonts w:cs="Tahoma" w:hint="eastAsia"/>
                                <w:color w:val="0B5294"/>
                                <w:spacing w:val="-4"/>
                                <w:sz w:val="24"/>
                                <w:szCs w:val="24"/>
                                <w:rtl/>
                              </w:rPr>
                              <w:t>היהודי</w:t>
                            </w:r>
                            <w:r w:rsidRPr="00335CD4">
                              <w:rPr>
                                <w:rFonts w:cs="Tahoma"/>
                                <w:color w:val="0B5294"/>
                                <w:spacing w:val="-4"/>
                                <w:sz w:val="24"/>
                                <w:szCs w:val="24"/>
                                <w:rtl/>
                              </w:rPr>
                              <w:t xml:space="preserve">; </w:t>
                            </w:r>
                            <w:r w:rsidRPr="00335CD4">
                              <w:rPr>
                                <w:rFonts w:cs="Tahoma" w:hint="eastAsia"/>
                                <w:color w:val="0B5294"/>
                                <w:spacing w:val="-4"/>
                                <w:sz w:val="24"/>
                                <w:szCs w:val="24"/>
                                <w:rtl/>
                              </w:rPr>
                              <w:t>שיעור</w:t>
                            </w:r>
                            <w:r w:rsidRPr="00335CD4">
                              <w:rPr>
                                <w:rFonts w:cs="Tahoma"/>
                                <w:color w:val="0B5294"/>
                                <w:spacing w:val="-4"/>
                                <w:sz w:val="24"/>
                                <w:szCs w:val="24"/>
                                <w:rtl/>
                              </w:rPr>
                              <w:t xml:space="preserve"> </w:t>
                            </w:r>
                            <w:r w:rsidRPr="00335CD4">
                              <w:rPr>
                                <w:rFonts w:cs="Tahoma" w:hint="eastAsia"/>
                                <w:color w:val="0B5294"/>
                                <w:spacing w:val="-4"/>
                                <w:sz w:val="24"/>
                                <w:szCs w:val="24"/>
                                <w:rtl/>
                              </w:rPr>
                              <w:t>התלמידים</w:t>
                            </w:r>
                            <w:r w:rsidRPr="00335CD4">
                              <w:rPr>
                                <w:rFonts w:cs="Tahoma"/>
                                <w:color w:val="0B5294"/>
                                <w:spacing w:val="-4"/>
                                <w:sz w:val="24"/>
                                <w:szCs w:val="24"/>
                                <w:rtl/>
                              </w:rPr>
                              <w:t xml:space="preserve"> </w:t>
                            </w:r>
                            <w:r w:rsidRPr="00335CD4">
                              <w:rPr>
                                <w:rFonts w:cs="Tahoma" w:hint="eastAsia"/>
                                <w:color w:val="0B5294"/>
                                <w:spacing w:val="-4"/>
                                <w:sz w:val="24"/>
                                <w:szCs w:val="24"/>
                                <w:rtl/>
                              </w:rPr>
                              <w:t>בכיתות</w:t>
                            </w:r>
                            <w:r w:rsidRPr="00335CD4">
                              <w:rPr>
                                <w:rFonts w:cs="Tahoma"/>
                                <w:color w:val="0B5294"/>
                                <w:spacing w:val="-4"/>
                                <w:sz w:val="24"/>
                                <w:szCs w:val="24"/>
                                <w:rtl/>
                              </w:rPr>
                              <w:t xml:space="preserve"> </w:t>
                            </w:r>
                            <w:r w:rsidRPr="00335CD4">
                              <w:rPr>
                                <w:rFonts w:cs="Tahoma" w:hint="eastAsia"/>
                                <w:color w:val="0B5294"/>
                                <w:spacing w:val="-4"/>
                                <w:sz w:val="24"/>
                                <w:szCs w:val="24"/>
                                <w:rtl/>
                              </w:rPr>
                              <w:t>ו</w:t>
                            </w:r>
                            <w:r w:rsidRPr="00335CD4">
                              <w:rPr>
                                <w:rFonts w:cs="Tahoma"/>
                                <w:color w:val="0B5294"/>
                                <w:spacing w:val="-4"/>
                                <w:sz w:val="24"/>
                                <w:szCs w:val="24"/>
                                <w:rtl/>
                              </w:rPr>
                              <w:t xml:space="preserve">' </w:t>
                            </w:r>
                            <w:r w:rsidRPr="00335CD4">
                              <w:rPr>
                                <w:rFonts w:cs="Tahoma" w:hint="eastAsia"/>
                                <w:color w:val="0B5294"/>
                                <w:spacing w:val="-4"/>
                                <w:sz w:val="24"/>
                                <w:szCs w:val="24"/>
                                <w:rtl/>
                              </w:rPr>
                              <w:t>ו</w:t>
                            </w:r>
                            <w:r w:rsidRPr="00335CD4">
                              <w:rPr>
                                <w:rFonts w:cs="Tahoma"/>
                                <w:color w:val="0B5294"/>
                                <w:spacing w:val="-4"/>
                                <w:sz w:val="24"/>
                                <w:szCs w:val="24"/>
                                <w:rtl/>
                              </w:rPr>
                              <w:t>-</w:t>
                            </w:r>
                            <w:r w:rsidRPr="00335CD4">
                              <w:rPr>
                                <w:rFonts w:cs="Tahoma" w:hint="eastAsia"/>
                                <w:color w:val="0B5294"/>
                                <w:spacing w:val="-4"/>
                                <w:sz w:val="24"/>
                                <w:szCs w:val="24"/>
                                <w:rtl/>
                              </w:rPr>
                              <w:t>ח</w:t>
                            </w:r>
                            <w:r w:rsidRPr="00335CD4">
                              <w:rPr>
                                <w:rFonts w:cs="Tahoma"/>
                                <w:color w:val="0B5294"/>
                                <w:spacing w:val="-4"/>
                                <w:sz w:val="24"/>
                                <w:szCs w:val="24"/>
                                <w:rtl/>
                              </w:rPr>
                              <w:t xml:space="preserve">' </w:t>
                            </w:r>
                            <w:r w:rsidRPr="00335CD4">
                              <w:rPr>
                                <w:rFonts w:cs="Tahoma" w:hint="eastAsia"/>
                                <w:color w:val="0B5294"/>
                                <w:spacing w:val="-4"/>
                                <w:sz w:val="24"/>
                                <w:szCs w:val="24"/>
                                <w:rtl/>
                              </w:rPr>
                              <w:t>שדיווחו</w:t>
                            </w:r>
                            <w:r w:rsidRPr="00335CD4">
                              <w:rPr>
                                <w:rFonts w:cs="Tahoma"/>
                                <w:color w:val="0B5294"/>
                                <w:spacing w:val="-4"/>
                                <w:sz w:val="24"/>
                                <w:szCs w:val="24"/>
                                <w:rtl/>
                              </w:rPr>
                              <w:t xml:space="preserve"> </w:t>
                            </w:r>
                            <w:r w:rsidRPr="00335CD4">
                              <w:rPr>
                                <w:rFonts w:cs="Tahoma" w:hint="eastAsia"/>
                                <w:color w:val="0B5294"/>
                                <w:spacing w:val="-4"/>
                                <w:sz w:val="24"/>
                                <w:szCs w:val="24"/>
                                <w:rtl/>
                              </w:rPr>
                              <w:t>על</w:t>
                            </w:r>
                            <w:r w:rsidRPr="00335CD4">
                              <w:rPr>
                                <w:rFonts w:cs="Tahoma"/>
                                <w:color w:val="0B5294"/>
                                <w:spacing w:val="-4"/>
                                <w:sz w:val="24"/>
                                <w:szCs w:val="24"/>
                                <w:rtl/>
                              </w:rPr>
                              <w:t xml:space="preserve"> </w:t>
                            </w:r>
                            <w:r w:rsidRPr="00335CD4">
                              <w:rPr>
                                <w:rFonts w:cs="Tahoma" w:hint="eastAsia"/>
                                <w:color w:val="0B5294"/>
                                <w:spacing w:val="-4"/>
                                <w:sz w:val="24"/>
                                <w:szCs w:val="24"/>
                                <w:rtl/>
                              </w:rPr>
                              <w:t>שתייה</w:t>
                            </w:r>
                            <w:r w:rsidRPr="00335CD4">
                              <w:rPr>
                                <w:rFonts w:cs="Tahoma"/>
                                <w:color w:val="0B5294"/>
                                <w:spacing w:val="-4"/>
                                <w:sz w:val="24"/>
                                <w:szCs w:val="24"/>
                                <w:rtl/>
                              </w:rPr>
                              <w:t xml:space="preserve"> </w:t>
                            </w:r>
                            <w:r w:rsidRPr="00335CD4">
                              <w:rPr>
                                <w:rFonts w:cs="Tahoma" w:hint="eastAsia"/>
                                <w:color w:val="0B5294"/>
                                <w:spacing w:val="-4"/>
                                <w:sz w:val="24"/>
                                <w:szCs w:val="24"/>
                                <w:rtl/>
                              </w:rPr>
                              <w:t>מופרזת</w:t>
                            </w:r>
                            <w:r w:rsidRPr="00335CD4">
                              <w:rPr>
                                <w:rFonts w:cs="Tahoma"/>
                                <w:color w:val="0B5294"/>
                                <w:spacing w:val="-4"/>
                                <w:sz w:val="24"/>
                                <w:szCs w:val="24"/>
                                <w:rtl/>
                              </w:rPr>
                              <w:t xml:space="preserve"> </w:t>
                            </w:r>
                            <w:r w:rsidRPr="00335CD4">
                              <w:rPr>
                                <w:rFonts w:cs="Tahoma" w:hint="eastAsia"/>
                                <w:color w:val="0B5294"/>
                                <w:spacing w:val="-4"/>
                                <w:sz w:val="24"/>
                                <w:szCs w:val="24"/>
                                <w:rtl/>
                              </w:rPr>
                              <w:t>היה</w:t>
                            </w:r>
                            <w:r w:rsidRPr="00335CD4">
                              <w:rPr>
                                <w:rFonts w:cs="Tahoma"/>
                                <w:color w:val="0B5294"/>
                                <w:spacing w:val="-4"/>
                                <w:sz w:val="24"/>
                                <w:szCs w:val="24"/>
                                <w:rtl/>
                              </w:rPr>
                              <w:t xml:space="preserve"> </w:t>
                            </w:r>
                            <w:r w:rsidRPr="00335CD4">
                              <w:rPr>
                                <w:rFonts w:cs="Tahoma" w:hint="eastAsia"/>
                                <w:color w:val="0B5294"/>
                                <w:spacing w:val="-4"/>
                                <w:sz w:val="24"/>
                                <w:szCs w:val="24"/>
                                <w:rtl/>
                              </w:rPr>
                              <w:t>גבוה</w:t>
                            </w:r>
                            <w:r w:rsidRPr="00335CD4">
                              <w:rPr>
                                <w:rFonts w:cs="Tahoma"/>
                                <w:color w:val="0B5294"/>
                                <w:spacing w:val="-4"/>
                                <w:sz w:val="24"/>
                                <w:szCs w:val="24"/>
                                <w:rtl/>
                              </w:rPr>
                              <w:t xml:space="preserve"> </w:t>
                            </w:r>
                            <w:r w:rsidRPr="00335CD4">
                              <w:rPr>
                                <w:rFonts w:cs="Tahoma" w:hint="eastAsia"/>
                                <w:color w:val="0B5294"/>
                                <w:spacing w:val="-4"/>
                                <w:sz w:val="24"/>
                                <w:szCs w:val="24"/>
                                <w:rtl/>
                              </w:rPr>
                              <w:t>יותר</w:t>
                            </w:r>
                            <w:r w:rsidRPr="00335CD4">
                              <w:rPr>
                                <w:rFonts w:cs="Tahoma"/>
                                <w:color w:val="0B5294"/>
                                <w:spacing w:val="-4"/>
                                <w:sz w:val="24"/>
                                <w:szCs w:val="24"/>
                                <w:rtl/>
                              </w:rPr>
                              <w:t xml:space="preserve"> </w:t>
                            </w:r>
                            <w:r w:rsidRPr="00335CD4">
                              <w:rPr>
                                <w:rFonts w:cs="Tahoma" w:hint="eastAsia"/>
                                <w:color w:val="0B5294"/>
                                <w:spacing w:val="-4"/>
                                <w:sz w:val="24"/>
                                <w:szCs w:val="24"/>
                                <w:rtl/>
                              </w:rPr>
                              <w:t>בקרב</w:t>
                            </w:r>
                            <w:r w:rsidRPr="00335CD4">
                              <w:rPr>
                                <w:rFonts w:cs="Tahoma"/>
                                <w:color w:val="0B5294"/>
                                <w:spacing w:val="-4"/>
                                <w:sz w:val="24"/>
                                <w:szCs w:val="24"/>
                                <w:rtl/>
                              </w:rPr>
                              <w:t xml:space="preserve"> </w:t>
                            </w:r>
                            <w:r w:rsidRPr="00335CD4">
                              <w:rPr>
                                <w:rFonts w:cs="Tahoma" w:hint="eastAsia"/>
                                <w:color w:val="0B5294"/>
                                <w:spacing w:val="-4"/>
                                <w:sz w:val="24"/>
                                <w:szCs w:val="24"/>
                                <w:rtl/>
                              </w:rPr>
                              <w:t>בנים</w:t>
                            </w:r>
                            <w:r w:rsidRPr="00335CD4">
                              <w:rPr>
                                <w:rFonts w:cs="Tahoma"/>
                                <w:color w:val="0B5294"/>
                                <w:spacing w:val="-4"/>
                                <w:sz w:val="24"/>
                                <w:szCs w:val="24"/>
                                <w:rtl/>
                              </w:rPr>
                              <w:t xml:space="preserve"> </w:t>
                            </w:r>
                            <w:r w:rsidRPr="00335CD4">
                              <w:rPr>
                                <w:rFonts w:cs="Tahoma" w:hint="eastAsia"/>
                                <w:color w:val="0B5294"/>
                                <w:spacing w:val="-4"/>
                                <w:sz w:val="24"/>
                                <w:szCs w:val="24"/>
                                <w:rtl/>
                              </w:rPr>
                              <w:t>הלומדים</w:t>
                            </w:r>
                            <w:r w:rsidRPr="00335CD4">
                              <w:rPr>
                                <w:rFonts w:cs="Tahoma"/>
                                <w:color w:val="0B5294"/>
                                <w:spacing w:val="-4"/>
                                <w:sz w:val="24"/>
                                <w:szCs w:val="24"/>
                                <w:rtl/>
                              </w:rPr>
                              <w:t xml:space="preserve"> </w:t>
                            </w:r>
                            <w:r w:rsidRPr="00335CD4">
                              <w:rPr>
                                <w:rFonts w:cs="Tahoma" w:hint="eastAsia"/>
                                <w:color w:val="0B5294"/>
                                <w:spacing w:val="-4"/>
                                <w:sz w:val="24"/>
                                <w:szCs w:val="24"/>
                                <w:rtl/>
                              </w:rPr>
                              <w:t>בחינוך</w:t>
                            </w:r>
                            <w:r w:rsidRPr="00335CD4">
                              <w:rPr>
                                <w:rFonts w:cs="Tahoma"/>
                                <w:color w:val="0B5294"/>
                                <w:spacing w:val="-4"/>
                                <w:sz w:val="24"/>
                                <w:szCs w:val="24"/>
                                <w:rtl/>
                              </w:rPr>
                              <w:t xml:space="preserve"> </w:t>
                            </w:r>
                            <w:r w:rsidRPr="00335CD4">
                              <w:rPr>
                                <w:rFonts w:cs="Tahoma" w:hint="eastAsia"/>
                                <w:color w:val="0B5294"/>
                                <w:spacing w:val="-4"/>
                                <w:sz w:val="24"/>
                                <w:szCs w:val="24"/>
                                <w:rtl/>
                              </w:rPr>
                              <w:t>הממלכתי</w:t>
                            </w:r>
                            <w:r w:rsidRPr="00335CD4">
                              <w:rPr>
                                <w:rFonts w:cs="Tahoma"/>
                                <w:color w:val="0B5294"/>
                                <w:spacing w:val="-4"/>
                                <w:sz w:val="24"/>
                                <w:szCs w:val="24"/>
                                <w:rtl/>
                              </w:rPr>
                              <w:t xml:space="preserve"> </w:t>
                            </w:r>
                            <w:r w:rsidRPr="00335CD4">
                              <w:rPr>
                                <w:rFonts w:cs="Tahoma" w:hint="eastAsia"/>
                                <w:color w:val="0B5294"/>
                                <w:spacing w:val="-4"/>
                                <w:sz w:val="24"/>
                                <w:szCs w:val="24"/>
                                <w:rtl/>
                              </w:rPr>
                              <w:t>דתי</w:t>
                            </w:r>
                            <w:r w:rsidRPr="00335CD4">
                              <w:rPr>
                                <w:rFonts w:cs="Tahoma"/>
                                <w:color w:val="0B5294"/>
                                <w:spacing w:val="-4"/>
                                <w:sz w:val="24"/>
                                <w:szCs w:val="24"/>
                                <w:rtl/>
                              </w:rPr>
                              <w:t xml:space="preserve"> </w:t>
                            </w:r>
                            <w:r w:rsidRPr="00335CD4">
                              <w:rPr>
                                <w:rFonts w:cs="Tahoma" w:hint="eastAsia"/>
                                <w:color w:val="0B5294"/>
                                <w:spacing w:val="-4"/>
                                <w:sz w:val="24"/>
                                <w:szCs w:val="24"/>
                                <w:rtl/>
                              </w:rPr>
                              <w:t>לעומת</w:t>
                            </w:r>
                            <w:r w:rsidRPr="00335CD4">
                              <w:rPr>
                                <w:rFonts w:cs="Tahoma"/>
                                <w:color w:val="0B5294"/>
                                <w:spacing w:val="-4"/>
                                <w:sz w:val="24"/>
                                <w:szCs w:val="24"/>
                                <w:rtl/>
                              </w:rPr>
                              <w:t xml:space="preserve"> </w:t>
                            </w:r>
                            <w:r w:rsidRPr="00335CD4">
                              <w:rPr>
                                <w:rFonts w:cs="Tahoma" w:hint="eastAsia"/>
                                <w:color w:val="0B5294"/>
                                <w:spacing w:val="-4"/>
                                <w:sz w:val="24"/>
                                <w:szCs w:val="24"/>
                                <w:rtl/>
                              </w:rPr>
                              <w:t>בנים</w:t>
                            </w:r>
                            <w:r w:rsidRPr="00335CD4">
                              <w:rPr>
                                <w:rFonts w:cs="Tahoma"/>
                                <w:color w:val="0B5294"/>
                                <w:spacing w:val="-4"/>
                                <w:sz w:val="24"/>
                                <w:szCs w:val="24"/>
                                <w:rtl/>
                              </w:rPr>
                              <w:t xml:space="preserve"> </w:t>
                            </w:r>
                            <w:r w:rsidRPr="00335CD4">
                              <w:rPr>
                                <w:rFonts w:cs="Tahoma" w:hint="eastAsia"/>
                                <w:color w:val="0B5294"/>
                                <w:spacing w:val="-4"/>
                                <w:sz w:val="24"/>
                                <w:szCs w:val="24"/>
                                <w:rtl/>
                              </w:rPr>
                              <w:t>הלומדים</w:t>
                            </w:r>
                            <w:r w:rsidRPr="00335CD4">
                              <w:rPr>
                                <w:rFonts w:cs="Tahoma"/>
                                <w:color w:val="0B5294"/>
                                <w:spacing w:val="-4"/>
                                <w:sz w:val="24"/>
                                <w:szCs w:val="24"/>
                                <w:rtl/>
                              </w:rPr>
                              <w:t xml:space="preserve"> </w:t>
                            </w:r>
                            <w:r w:rsidRPr="00335CD4">
                              <w:rPr>
                                <w:rFonts w:cs="Tahoma" w:hint="eastAsia"/>
                                <w:color w:val="0B5294"/>
                                <w:spacing w:val="-4"/>
                                <w:sz w:val="24"/>
                                <w:szCs w:val="24"/>
                                <w:rtl/>
                              </w:rPr>
                              <w:t>בחינוך</w:t>
                            </w:r>
                            <w:r w:rsidRPr="00335CD4">
                              <w:rPr>
                                <w:rFonts w:cs="Tahoma"/>
                                <w:color w:val="0B5294"/>
                                <w:spacing w:val="-4"/>
                                <w:sz w:val="24"/>
                                <w:szCs w:val="24"/>
                                <w:rtl/>
                              </w:rPr>
                              <w:t xml:space="preserve"> </w:t>
                            </w:r>
                            <w:r w:rsidRPr="00335CD4">
                              <w:rPr>
                                <w:rFonts w:cs="Tahoma" w:hint="eastAsia"/>
                                <w:color w:val="0B5294"/>
                                <w:spacing w:val="-4"/>
                                <w:sz w:val="24"/>
                                <w:szCs w:val="24"/>
                                <w:rtl/>
                              </w:rPr>
                              <w:t>הממלכתי</w:t>
                            </w:r>
                          </w:p>
                          <w:p w:rsidR="00290C9B" w:rsidRPr="00373C5D" w:rsidP="00290C9B">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34328028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380856"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9"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5168" filled="f" stroked="f">
                <v:textbox>
                  <w:txbxContent>
                    <w:p w:rsidR="00290C9B" w:rsidRPr="00373C5D" w:rsidP="00290C9B">
                      <w:pPr>
                        <w:spacing w:line="240" w:lineRule="atLeast"/>
                        <w:rPr>
                          <w:rFonts w:cs="Tahoma"/>
                          <w:b/>
                          <w:bCs/>
                          <w:color w:val="0B5294"/>
                          <w:sz w:val="48"/>
                          <w:szCs w:val="48"/>
                          <w:rtl/>
                        </w:rPr>
                      </w:pPr>
                      <w:drawing>
                        <wp:inline distT="0" distB="0" distL="0" distR="0">
                          <wp:extent cx="311150" cy="256800"/>
                          <wp:effectExtent l="0" t="0" r="0" b="0"/>
                          <wp:docPr id="1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397266"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290C9B" w:rsidRPr="00881D99" w:rsidP="00290C9B">
                      <w:pPr>
                        <w:spacing w:after="0" w:line="240" w:lineRule="auto"/>
                        <w:rPr>
                          <w:color w:val="0B5294"/>
                          <w:spacing w:val="-4"/>
                          <w:sz w:val="24"/>
                          <w:szCs w:val="24"/>
                          <w:rtl/>
                          <w:cs/>
                        </w:rPr>
                      </w:pPr>
                      <w:r w:rsidRPr="00335CD4">
                        <w:rPr>
                          <w:rFonts w:cs="Tahoma" w:hint="eastAsia"/>
                          <w:color w:val="0B5294"/>
                          <w:spacing w:val="-4"/>
                          <w:sz w:val="24"/>
                          <w:szCs w:val="24"/>
                          <w:rtl/>
                        </w:rPr>
                        <w:t>שיעור</w:t>
                      </w:r>
                      <w:r w:rsidRPr="00335CD4">
                        <w:rPr>
                          <w:rFonts w:cs="Tahoma"/>
                          <w:color w:val="0B5294"/>
                          <w:spacing w:val="-4"/>
                          <w:sz w:val="24"/>
                          <w:szCs w:val="24"/>
                          <w:rtl/>
                        </w:rPr>
                        <w:t xml:space="preserve"> </w:t>
                      </w:r>
                      <w:r w:rsidRPr="00335CD4">
                        <w:rPr>
                          <w:rFonts w:cs="Tahoma" w:hint="eastAsia"/>
                          <w:color w:val="0B5294"/>
                          <w:spacing w:val="-4"/>
                          <w:sz w:val="24"/>
                          <w:szCs w:val="24"/>
                          <w:rtl/>
                        </w:rPr>
                        <w:t>התלמידים</w:t>
                      </w:r>
                      <w:r w:rsidRPr="00335CD4">
                        <w:rPr>
                          <w:rFonts w:cs="Tahoma"/>
                          <w:color w:val="0B5294"/>
                          <w:spacing w:val="-4"/>
                          <w:sz w:val="24"/>
                          <w:szCs w:val="24"/>
                          <w:rtl/>
                        </w:rPr>
                        <w:t xml:space="preserve"> </w:t>
                      </w:r>
                      <w:r w:rsidRPr="00335CD4">
                        <w:rPr>
                          <w:rFonts w:cs="Tahoma" w:hint="eastAsia"/>
                          <w:color w:val="0B5294"/>
                          <w:spacing w:val="-4"/>
                          <w:sz w:val="24"/>
                          <w:szCs w:val="24"/>
                          <w:rtl/>
                        </w:rPr>
                        <w:t>בכיתות</w:t>
                      </w:r>
                      <w:r w:rsidRPr="00335CD4">
                        <w:rPr>
                          <w:rFonts w:cs="Tahoma"/>
                          <w:color w:val="0B5294"/>
                          <w:spacing w:val="-4"/>
                          <w:sz w:val="24"/>
                          <w:szCs w:val="24"/>
                          <w:rtl/>
                        </w:rPr>
                        <w:t xml:space="preserve"> </w:t>
                      </w:r>
                      <w:r w:rsidRPr="00335CD4">
                        <w:rPr>
                          <w:rFonts w:cs="Tahoma" w:hint="eastAsia"/>
                          <w:color w:val="0B5294"/>
                          <w:spacing w:val="-4"/>
                          <w:sz w:val="24"/>
                          <w:szCs w:val="24"/>
                          <w:rtl/>
                        </w:rPr>
                        <w:t>י</w:t>
                      </w:r>
                      <w:r w:rsidRPr="00335CD4">
                        <w:rPr>
                          <w:rFonts w:cs="Tahoma"/>
                          <w:color w:val="0B5294"/>
                          <w:spacing w:val="-4"/>
                          <w:sz w:val="24"/>
                          <w:szCs w:val="24"/>
                          <w:rtl/>
                        </w:rPr>
                        <w:t>'-</w:t>
                      </w:r>
                      <w:r w:rsidRPr="00335CD4">
                        <w:rPr>
                          <w:rFonts w:cs="Tahoma" w:hint="eastAsia"/>
                          <w:color w:val="0B5294"/>
                          <w:spacing w:val="-4"/>
                          <w:sz w:val="24"/>
                          <w:szCs w:val="24"/>
                          <w:rtl/>
                        </w:rPr>
                        <w:t>י</w:t>
                      </w:r>
                      <w:r w:rsidRPr="00335CD4">
                        <w:rPr>
                          <w:rFonts w:cs="Tahoma"/>
                          <w:color w:val="0B5294"/>
                          <w:spacing w:val="-4"/>
                          <w:sz w:val="24"/>
                          <w:szCs w:val="24"/>
                          <w:rtl/>
                        </w:rPr>
                        <w:t>"</w:t>
                      </w:r>
                      <w:r w:rsidRPr="00335CD4">
                        <w:rPr>
                          <w:rFonts w:cs="Tahoma" w:hint="eastAsia"/>
                          <w:color w:val="0B5294"/>
                          <w:spacing w:val="-4"/>
                          <w:sz w:val="24"/>
                          <w:szCs w:val="24"/>
                          <w:rtl/>
                        </w:rPr>
                        <w:t>ב</w:t>
                      </w:r>
                      <w:r w:rsidRPr="00335CD4">
                        <w:rPr>
                          <w:rFonts w:cs="Tahoma"/>
                          <w:color w:val="0B5294"/>
                          <w:spacing w:val="-4"/>
                          <w:sz w:val="24"/>
                          <w:szCs w:val="24"/>
                          <w:rtl/>
                        </w:rPr>
                        <w:t xml:space="preserve"> </w:t>
                      </w:r>
                      <w:r w:rsidRPr="00335CD4">
                        <w:rPr>
                          <w:rFonts w:cs="Tahoma" w:hint="eastAsia"/>
                          <w:color w:val="0B5294"/>
                          <w:spacing w:val="-4"/>
                          <w:sz w:val="24"/>
                          <w:szCs w:val="24"/>
                          <w:rtl/>
                        </w:rPr>
                        <w:t>שדיווחו</w:t>
                      </w:r>
                      <w:r w:rsidRPr="00335CD4">
                        <w:rPr>
                          <w:rFonts w:cs="Tahoma"/>
                          <w:color w:val="0B5294"/>
                          <w:spacing w:val="-4"/>
                          <w:sz w:val="24"/>
                          <w:szCs w:val="24"/>
                          <w:rtl/>
                        </w:rPr>
                        <w:t xml:space="preserve"> </w:t>
                      </w:r>
                      <w:r w:rsidRPr="00335CD4">
                        <w:rPr>
                          <w:rFonts w:cs="Tahoma" w:hint="eastAsia"/>
                          <w:color w:val="0B5294"/>
                          <w:spacing w:val="-4"/>
                          <w:sz w:val="24"/>
                          <w:szCs w:val="24"/>
                          <w:rtl/>
                        </w:rPr>
                        <w:t>על</w:t>
                      </w:r>
                      <w:r w:rsidRPr="00335CD4">
                        <w:rPr>
                          <w:rFonts w:cs="Tahoma"/>
                          <w:color w:val="0B5294"/>
                          <w:spacing w:val="-4"/>
                          <w:sz w:val="24"/>
                          <w:szCs w:val="24"/>
                          <w:rtl/>
                        </w:rPr>
                        <w:t xml:space="preserve"> </w:t>
                      </w:r>
                      <w:r w:rsidRPr="00335CD4">
                        <w:rPr>
                          <w:rFonts w:cs="Tahoma" w:hint="eastAsia"/>
                          <w:color w:val="0B5294"/>
                          <w:spacing w:val="-4"/>
                          <w:sz w:val="24"/>
                          <w:szCs w:val="24"/>
                          <w:rtl/>
                        </w:rPr>
                        <w:t>שימוש</w:t>
                      </w:r>
                      <w:r w:rsidRPr="00335CD4">
                        <w:rPr>
                          <w:rFonts w:cs="Tahoma"/>
                          <w:color w:val="0B5294"/>
                          <w:spacing w:val="-4"/>
                          <w:sz w:val="24"/>
                          <w:szCs w:val="24"/>
                          <w:rtl/>
                        </w:rPr>
                        <w:t xml:space="preserve"> </w:t>
                      </w:r>
                      <w:r w:rsidRPr="00335CD4">
                        <w:rPr>
                          <w:rFonts w:cs="Tahoma" w:hint="eastAsia"/>
                          <w:color w:val="0B5294"/>
                          <w:spacing w:val="-4"/>
                          <w:sz w:val="24"/>
                          <w:szCs w:val="24"/>
                          <w:rtl/>
                        </w:rPr>
                        <w:t>בסמים</w:t>
                      </w:r>
                      <w:r w:rsidRPr="00335CD4">
                        <w:rPr>
                          <w:rFonts w:cs="Tahoma"/>
                          <w:color w:val="0B5294"/>
                          <w:spacing w:val="-4"/>
                          <w:sz w:val="24"/>
                          <w:szCs w:val="24"/>
                          <w:rtl/>
                        </w:rPr>
                        <w:t xml:space="preserve"> </w:t>
                      </w:r>
                      <w:r w:rsidRPr="00335CD4">
                        <w:rPr>
                          <w:rFonts w:cs="Tahoma" w:hint="eastAsia"/>
                          <w:color w:val="0B5294"/>
                          <w:spacing w:val="-4"/>
                          <w:sz w:val="24"/>
                          <w:szCs w:val="24"/>
                          <w:rtl/>
                        </w:rPr>
                        <w:t>היה</w:t>
                      </w:r>
                      <w:r w:rsidRPr="00335CD4">
                        <w:rPr>
                          <w:rFonts w:cs="Tahoma"/>
                          <w:color w:val="0B5294"/>
                          <w:spacing w:val="-4"/>
                          <w:sz w:val="24"/>
                          <w:szCs w:val="24"/>
                          <w:rtl/>
                        </w:rPr>
                        <w:t xml:space="preserve"> </w:t>
                      </w:r>
                      <w:r w:rsidRPr="00335CD4">
                        <w:rPr>
                          <w:rFonts w:cs="Tahoma" w:hint="eastAsia"/>
                          <w:color w:val="0B5294"/>
                          <w:spacing w:val="-4"/>
                          <w:sz w:val="24"/>
                          <w:szCs w:val="24"/>
                          <w:rtl/>
                        </w:rPr>
                        <w:t>גבוה</w:t>
                      </w:r>
                      <w:r w:rsidRPr="00335CD4">
                        <w:rPr>
                          <w:rFonts w:cs="Tahoma"/>
                          <w:color w:val="0B5294"/>
                          <w:spacing w:val="-4"/>
                          <w:sz w:val="24"/>
                          <w:szCs w:val="24"/>
                          <w:rtl/>
                        </w:rPr>
                        <w:t xml:space="preserve"> </w:t>
                      </w:r>
                      <w:r w:rsidRPr="00335CD4">
                        <w:rPr>
                          <w:rFonts w:cs="Tahoma" w:hint="eastAsia"/>
                          <w:color w:val="0B5294"/>
                          <w:spacing w:val="-4"/>
                          <w:sz w:val="24"/>
                          <w:szCs w:val="24"/>
                          <w:rtl/>
                        </w:rPr>
                        <w:t>יותר</w:t>
                      </w:r>
                      <w:r w:rsidRPr="00335CD4">
                        <w:rPr>
                          <w:rFonts w:cs="Tahoma"/>
                          <w:color w:val="0B5294"/>
                          <w:spacing w:val="-4"/>
                          <w:sz w:val="24"/>
                          <w:szCs w:val="24"/>
                          <w:rtl/>
                        </w:rPr>
                        <w:t xml:space="preserve"> </w:t>
                      </w:r>
                      <w:r w:rsidRPr="00335CD4">
                        <w:rPr>
                          <w:rFonts w:cs="Tahoma" w:hint="eastAsia"/>
                          <w:color w:val="0B5294"/>
                          <w:spacing w:val="-4"/>
                          <w:sz w:val="24"/>
                          <w:szCs w:val="24"/>
                          <w:rtl/>
                        </w:rPr>
                        <w:t>בקרב</w:t>
                      </w:r>
                      <w:r w:rsidRPr="00335CD4">
                        <w:rPr>
                          <w:rFonts w:cs="Tahoma"/>
                          <w:color w:val="0B5294"/>
                          <w:spacing w:val="-4"/>
                          <w:sz w:val="24"/>
                          <w:szCs w:val="24"/>
                          <w:rtl/>
                        </w:rPr>
                        <w:t xml:space="preserve"> </w:t>
                      </w:r>
                      <w:r w:rsidRPr="00335CD4">
                        <w:rPr>
                          <w:rFonts w:cs="Tahoma" w:hint="eastAsia"/>
                          <w:color w:val="0B5294"/>
                          <w:spacing w:val="-4"/>
                          <w:sz w:val="24"/>
                          <w:szCs w:val="24"/>
                          <w:rtl/>
                        </w:rPr>
                        <w:t>בנים</w:t>
                      </w:r>
                      <w:r w:rsidRPr="00335CD4">
                        <w:rPr>
                          <w:rFonts w:cs="Tahoma"/>
                          <w:color w:val="0B5294"/>
                          <w:spacing w:val="-4"/>
                          <w:sz w:val="24"/>
                          <w:szCs w:val="24"/>
                          <w:rtl/>
                        </w:rPr>
                        <w:t xml:space="preserve"> </w:t>
                      </w:r>
                      <w:r w:rsidRPr="00335CD4">
                        <w:rPr>
                          <w:rFonts w:cs="Tahoma" w:hint="eastAsia"/>
                          <w:color w:val="0B5294"/>
                          <w:spacing w:val="-4"/>
                          <w:sz w:val="24"/>
                          <w:szCs w:val="24"/>
                          <w:rtl/>
                        </w:rPr>
                        <w:t>מהמגזר</w:t>
                      </w:r>
                      <w:r w:rsidRPr="00335CD4">
                        <w:rPr>
                          <w:rFonts w:cs="Tahoma"/>
                          <w:color w:val="0B5294"/>
                          <w:spacing w:val="-4"/>
                          <w:sz w:val="24"/>
                          <w:szCs w:val="24"/>
                          <w:rtl/>
                        </w:rPr>
                        <w:t xml:space="preserve"> </w:t>
                      </w:r>
                      <w:r w:rsidRPr="00335CD4">
                        <w:rPr>
                          <w:rFonts w:cs="Tahoma" w:hint="eastAsia"/>
                          <w:color w:val="0B5294"/>
                          <w:spacing w:val="-4"/>
                          <w:sz w:val="24"/>
                          <w:szCs w:val="24"/>
                          <w:rtl/>
                        </w:rPr>
                        <w:t>הערבי</w:t>
                      </w:r>
                      <w:r w:rsidRPr="00335CD4">
                        <w:rPr>
                          <w:rFonts w:cs="Tahoma"/>
                          <w:color w:val="0B5294"/>
                          <w:spacing w:val="-4"/>
                          <w:sz w:val="24"/>
                          <w:szCs w:val="24"/>
                          <w:rtl/>
                        </w:rPr>
                        <w:t xml:space="preserve"> </w:t>
                      </w:r>
                      <w:r w:rsidRPr="00335CD4">
                        <w:rPr>
                          <w:rFonts w:cs="Tahoma" w:hint="eastAsia"/>
                          <w:color w:val="0B5294"/>
                          <w:spacing w:val="-4"/>
                          <w:sz w:val="24"/>
                          <w:szCs w:val="24"/>
                          <w:rtl/>
                        </w:rPr>
                        <w:t>לעומת</w:t>
                      </w:r>
                      <w:r w:rsidRPr="00335CD4">
                        <w:rPr>
                          <w:rFonts w:cs="Tahoma"/>
                          <w:color w:val="0B5294"/>
                          <w:spacing w:val="-4"/>
                          <w:sz w:val="24"/>
                          <w:szCs w:val="24"/>
                          <w:rtl/>
                        </w:rPr>
                        <w:t xml:space="preserve"> </w:t>
                      </w:r>
                      <w:r w:rsidRPr="00335CD4">
                        <w:rPr>
                          <w:rFonts w:cs="Tahoma" w:hint="eastAsia"/>
                          <w:color w:val="0B5294"/>
                          <w:spacing w:val="-4"/>
                          <w:sz w:val="24"/>
                          <w:szCs w:val="24"/>
                          <w:rtl/>
                        </w:rPr>
                        <w:t>בנים</w:t>
                      </w:r>
                      <w:r w:rsidRPr="00335CD4">
                        <w:rPr>
                          <w:rFonts w:cs="Tahoma"/>
                          <w:color w:val="0B5294"/>
                          <w:spacing w:val="-4"/>
                          <w:sz w:val="24"/>
                          <w:szCs w:val="24"/>
                          <w:rtl/>
                        </w:rPr>
                        <w:t xml:space="preserve"> </w:t>
                      </w:r>
                      <w:r w:rsidRPr="00335CD4">
                        <w:rPr>
                          <w:rFonts w:cs="Tahoma" w:hint="eastAsia"/>
                          <w:color w:val="0B5294"/>
                          <w:spacing w:val="-4"/>
                          <w:sz w:val="24"/>
                          <w:szCs w:val="24"/>
                          <w:rtl/>
                        </w:rPr>
                        <w:t>במגזר</w:t>
                      </w:r>
                      <w:r w:rsidRPr="00335CD4">
                        <w:rPr>
                          <w:rFonts w:cs="Tahoma"/>
                          <w:color w:val="0B5294"/>
                          <w:spacing w:val="-4"/>
                          <w:sz w:val="24"/>
                          <w:szCs w:val="24"/>
                          <w:rtl/>
                        </w:rPr>
                        <w:t xml:space="preserve"> </w:t>
                      </w:r>
                      <w:r w:rsidRPr="00335CD4">
                        <w:rPr>
                          <w:rFonts w:cs="Tahoma" w:hint="eastAsia"/>
                          <w:color w:val="0B5294"/>
                          <w:spacing w:val="-4"/>
                          <w:sz w:val="24"/>
                          <w:szCs w:val="24"/>
                          <w:rtl/>
                        </w:rPr>
                        <w:t>היהודי</w:t>
                      </w:r>
                      <w:r w:rsidRPr="00335CD4">
                        <w:rPr>
                          <w:rFonts w:cs="Tahoma"/>
                          <w:color w:val="0B5294"/>
                          <w:spacing w:val="-4"/>
                          <w:sz w:val="24"/>
                          <w:szCs w:val="24"/>
                          <w:rtl/>
                        </w:rPr>
                        <w:t xml:space="preserve">; </w:t>
                      </w:r>
                      <w:r w:rsidRPr="00335CD4">
                        <w:rPr>
                          <w:rFonts w:cs="Tahoma" w:hint="eastAsia"/>
                          <w:color w:val="0B5294"/>
                          <w:spacing w:val="-4"/>
                          <w:sz w:val="24"/>
                          <w:szCs w:val="24"/>
                          <w:rtl/>
                        </w:rPr>
                        <w:t>שיעור</w:t>
                      </w:r>
                      <w:r w:rsidRPr="00335CD4">
                        <w:rPr>
                          <w:rFonts w:cs="Tahoma"/>
                          <w:color w:val="0B5294"/>
                          <w:spacing w:val="-4"/>
                          <w:sz w:val="24"/>
                          <w:szCs w:val="24"/>
                          <w:rtl/>
                        </w:rPr>
                        <w:t xml:space="preserve"> </w:t>
                      </w:r>
                      <w:r w:rsidRPr="00335CD4">
                        <w:rPr>
                          <w:rFonts w:cs="Tahoma" w:hint="eastAsia"/>
                          <w:color w:val="0B5294"/>
                          <w:spacing w:val="-4"/>
                          <w:sz w:val="24"/>
                          <w:szCs w:val="24"/>
                          <w:rtl/>
                        </w:rPr>
                        <w:t>התלמידים</w:t>
                      </w:r>
                      <w:r w:rsidRPr="00335CD4">
                        <w:rPr>
                          <w:rFonts w:cs="Tahoma"/>
                          <w:color w:val="0B5294"/>
                          <w:spacing w:val="-4"/>
                          <w:sz w:val="24"/>
                          <w:szCs w:val="24"/>
                          <w:rtl/>
                        </w:rPr>
                        <w:t xml:space="preserve"> </w:t>
                      </w:r>
                      <w:r w:rsidRPr="00335CD4">
                        <w:rPr>
                          <w:rFonts w:cs="Tahoma" w:hint="eastAsia"/>
                          <w:color w:val="0B5294"/>
                          <w:spacing w:val="-4"/>
                          <w:sz w:val="24"/>
                          <w:szCs w:val="24"/>
                          <w:rtl/>
                        </w:rPr>
                        <w:t>בכיתות</w:t>
                      </w:r>
                      <w:r w:rsidRPr="00335CD4">
                        <w:rPr>
                          <w:rFonts w:cs="Tahoma"/>
                          <w:color w:val="0B5294"/>
                          <w:spacing w:val="-4"/>
                          <w:sz w:val="24"/>
                          <w:szCs w:val="24"/>
                          <w:rtl/>
                        </w:rPr>
                        <w:t xml:space="preserve"> </w:t>
                      </w:r>
                      <w:r w:rsidRPr="00335CD4">
                        <w:rPr>
                          <w:rFonts w:cs="Tahoma" w:hint="eastAsia"/>
                          <w:color w:val="0B5294"/>
                          <w:spacing w:val="-4"/>
                          <w:sz w:val="24"/>
                          <w:szCs w:val="24"/>
                          <w:rtl/>
                        </w:rPr>
                        <w:t>ו</w:t>
                      </w:r>
                      <w:r w:rsidRPr="00335CD4">
                        <w:rPr>
                          <w:rFonts w:cs="Tahoma"/>
                          <w:color w:val="0B5294"/>
                          <w:spacing w:val="-4"/>
                          <w:sz w:val="24"/>
                          <w:szCs w:val="24"/>
                          <w:rtl/>
                        </w:rPr>
                        <w:t xml:space="preserve">' </w:t>
                      </w:r>
                      <w:r w:rsidRPr="00335CD4">
                        <w:rPr>
                          <w:rFonts w:cs="Tahoma" w:hint="eastAsia"/>
                          <w:color w:val="0B5294"/>
                          <w:spacing w:val="-4"/>
                          <w:sz w:val="24"/>
                          <w:szCs w:val="24"/>
                          <w:rtl/>
                        </w:rPr>
                        <w:t>ו</w:t>
                      </w:r>
                      <w:r w:rsidRPr="00335CD4">
                        <w:rPr>
                          <w:rFonts w:cs="Tahoma"/>
                          <w:color w:val="0B5294"/>
                          <w:spacing w:val="-4"/>
                          <w:sz w:val="24"/>
                          <w:szCs w:val="24"/>
                          <w:rtl/>
                        </w:rPr>
                        <w:t>-</w:t>
                      </w:r>
                      <w:r w:rsidRPr="00335CD4">
                        <w:rPr>
                          <w:rFonts w:cs="Tahoma" w:hint="eastAsia"/>
                          <w:color w:val="0B5294"/>
                          <w:spacing w:val="-4"/>
                          <w:sz w:val="24"/>
                          <w:szCs w:val="24"/>
                          <w:rtl/>
                        </w:rPr>
                        <w:t>ח</w:t>
                      </w:r>
                      <w:r w:rsidRPr="00335CD4">
                        <w:rPr>
                          <w:rFonts w:cs="Tahoma"/>
                          <w:color w:val="0B5294"/>
                          <w:spacing w:val="-4"/>
                          <w:sz w:val="24"/>
                          <w:szCs w:val="24"/>
                          <w:rtl/>
                        </w:rPr>
                        <w:t xml:space="preserve">' </w:t>
                      </w:r>
                      <w:r w:rsidRPr="00335CD4">
                        <w:rPr>
                          <w:rFonts w:cs="Tahoma" w:hint="eastAsia"/>
                          <w:color w:val="0B5294"/>
                          <w:spacing w:val="-4"/>
                          <w:sz w:val="24"/>
                          <w:szCs w:val="24"/>
                          <w:rtl/>
                        </w:rPr>
                        <w:t>שדיווחו</w:t>
                      </w:r>
                      <w:r w:rsidRPr="00335CD4">
                        <w:rPr>
                          <w:rFonts w:cs="Tahoma"/>
                          <w:color w:val="0B5294"/>
                          <w:spacing w:val="-4"/>
                          <w:sz w:val="24"/>
                          <w:szCs w:val="24"/>
                          <w:rtl/>
                        </w:rPr>
                        <w:t xml:space="preserve"> </w:t>
                      </w:r>
                      <w:r w:rsidRPr="00335CD4">
                        <w:rPr>
                          <w:rFonts w:cs="Tahoma" w:hint="eastAsia"/>
                          <w:color w:val="0B5294"/>
                          <w:spacing w:val="-4"/>
                          <w:sz w:val="24"/>
                          <w:szCs w:val="24"/>
                          <w:rtl/>
                        </w:rPr>
                        <w:t>על</w:t>
                      </w:r>
                      <w:r w:rsidRPr="00335CD4">
                        <w:rPr>
                          <w:rFonts w:cs="Tahoma"/>
                          <w:color w:val="0B5294"/>
                          <w:spacing w:val="-4"/>
                          <w:sz w:val="24"/>
                          <w:szCs w:val="24"/>
                          <w:rtl/>
                        </w:rPr>
                        <w:t xml:space="preserve"> </w:t>
                      </w:r>
                      <w:r w:rsidRPr="00335CD4">
                        <w:rPr>
                          <w:rFonts w:cs="Tahoma" w:hint="eastAsia"/>
                          <w:color w:val="0B5294"/>
                          <w:spacing w:val="-4"/>
                          <w:sz w:val="24"/>
                          <w:szCs w:val="24"/>
                          <w:rtl/>
                        </w:rPr>
                        <w:t>שתייה</w:t>
                      </w:r>
                      <w:r w:rsidRPr="00335CD4">
                        <w:rPr>
                          <w:rFonts w:cs="Tahoma"/>
                          <w:color w:val="0B5294"/>
                          <w:spacing w:val="-4"/>
                          <w:sz w:val="24"/>
                          <w:szCs w:val="24"/>
                          <w:rtl/>
                        </w:rPr>
                        <w:t xml:space="preserve"> </w:t>
                      </w:r>
                      <w:r w:rsidRPr="00335CD4">
                        <w:rPr>
                          <w:rFonts w:cs="Tahoma" w:hint="eastAsia"/>
                          <w:color w:val="0B5294"/>
                          <w:spacing w:val="-4"/>
                          <w:sz w:val="24"/>
                          <w:szCs w:val="24"/>
                          <w:rtl/>
                        </w:rPr>
                        <w:t>מופרזת</w:t>
                      </w:r>
                      <w:r w:rsidRPr="00335CD4">
                        <w:rPr>
                          <w:rFonts w:cs="Tahoma"/>
                          <w:color w:val="0B5294"/>
                          <w:spacing w:val="-4"/>
                          <w:sz w:val="24"/>
                          <w:szCs w:val="24"/>
                          <w:rtl/>
                        </w:rPr>
                        <w:t xml:space="preserve"> </w:t>
                      </w:r>
                      <w:r w:rsidRPr="00335CD4">
                        <w:rPr>
                          <w:rFonts w:cs="Tahoma" w:hint="eastAsia"/>
                          <w:color w:val="0B5294"/>
                          <w:spacing w:val="-4"/>
                          <w:sz w:val="24"/>
                          <w:szCs w:val="24"/>
                          <w:rtl/>
                        </w:rPr>
                        <w:t>היה</w:t>
                      </w:r>
                      <w:r w:rsidRPr="00335CD4">
                        <w:rPr>
                          <w:rFonts w:cs="Tahoma"/>
                          <w:color w:val="0B5294"/>
                          <w:spacing w:val="-4"/>
                          <w:sz w:val="24"/>
                          <w:szCs w:val="24"/>
                          <w:rtl/>
                        </w:rPr>
                        <w:t xml:space="preserve"> </w:t>
                      </w:r>
                      <w:r w:rsidRPr="00335CD4">
                        <w:rPr>
                          <w:rFonts w:cs="Tahoma" w:hint="eastAsia"/>
                          <w:color w:val="0B5294"/>
                          <w:spacing w:val="-4"/>
                          <w:sz w:val="24"/>
                          <w:szCs w:val="24"/>
                          <w:rtl/>
                        </w:rPr>
                        <w:t>גבוה</w:t>
                      </w:r>
                      <w:r w:rsidRPr="00335CD4">
                        <w:rPr>
                          <w:rFonts w:cs="Tahoma"/>
                          <w:color w:val="0B5294"/>
                          <w:spacing w:val="-4"/>
                          <w:sz w:val="24"/>
                          <w:szCs w:val="24"/>
                          <w:rtl/>
                        </w:rPr>
                        <w:t xml:space="preserve"> </w:t>
                      </w:r>
                      <w:r w:rsidRPr="00335CD4">
                        <w:rPr>
                          <w:rFonts w:cs="Tahoma" w:hint="eastAsia"/>
                          <w:color w:val="0B5294"/>
                          <w:spacing w:val="-4"/>
                          <w:sz w:val="24"/>
                          <w:szCs w:val="24"/>
                          <w:rtl/>
                        </w:rPr>
                        <w:t>יותר</w:t>
                      </w:r>
                      <w:r w:rsidRPr="00335CD4">
                        <w:rPr>
                          <w:rFonts w:cs="Tahoma"/>
                          <w:color w:val="0B5294"/>
                          <w:spacing w:val="-4"/>
                          <w:sz w:val="24"/>
                          <w:szCs w:val="24"/>
                          <w:rtl/>
                        </w:rPr>
                        <w:t xml:space="preserve"> </w:t>
                      </w:r>
                      <w:r w:rsidRPr="00335CD4">
                        <w:rPr>
                          <w:rFonts w:cs="Tahoma" w:hint="eastAsia"/>
                          <w:color w:val="0B5294"/>
                          <w:spacing w:val="-4"/>
                          <w:sz w:val="24"/>
                          <w:szCs w:val="24"/>
                          <w:rtl/>
                        </w:rPr>
                        <w:t>בקרב</w:t>
                      </w:r>
                      <w:r w:rsidRPr="00335CD4">
                        <w:rPr>
                          <w:rFonts w:cs="Tahoma"/>
                          <w:color w:val="0B5294"/>
                          <w:spacing w:val="-4"/>
                          <w:sz w:val="24"/>
                          <w:szCs w:val="24"/>
                          <w:rtl/>
                        </w:rPr>
                        <w:t xml:space="preserve"> </w:t>
                      </w:r>
                      <w:r w:rsidRPr="00335CD4">
                        <w:rPr>
                          <w:rFonts w:cs="Tahoma" w:hint="eastAsia"/>
                          <w:color w:val="0B5294"/>
                          <w:spacing w:val="-4"/>
                          <w:sz w:val="24"/>
                          <w:szCs w:val="24"/>
                          <w:rtl/>
                        </w:rPr>
                        <w:t>בנים</w:t>
                      </w:r>
                      <w:r w:rsidRPr="00335CD4">
                        <w:rPr>
                          <w:rFonts w:cs="Tahoma"/>
                          <w:color w:val="0B5294"/>
                          <w:spacing w:val="-4"/>
                          <w:sz w:val="24"/>
                          <w:szCs w:val="24"/>
                          <w:rtl/>
                        </w:rPr>
                        <w:t xml:space="preserve"> </w:t>
                      </w:r>
                      <w:r w:rsidRPr="00335CD4">
                        <w:rPr>
                          <w:rFonts w:cs="Tahoma" w:hint="eastAsia"/>
                          <w:color w:val="0B5294"/>
                          <w:spacing w:val="-4"/>
                          <w:sz w:val="24"/>
                          <w:szCs w:val="24"/>
                          <w:rtl/>
                        </w:rPr>
                        <w:t>הלומדים</w:t>
                      </w:r>
                      <w:r w:rsidRPr="00335CD4">
                        <w:rPr>
                          <w:rFonts w:cs="Tahoma"/>
                          <w:color w:val="0B5294"/>
                          <w:spacing w:val="-4"/>
                          <w:sz w:val="24"/>
                          <w:szCs w:val="24"/>
                          <w:rtl/>
                        </w:rPr>
                        <w:t xml:space="preserve"> </w:t>
                      </w:r>
                      <w:r w:rsidRPr="00335CD4">
                        <w:rPr>
                          <w:rFonts w:cs="Tahoma" w:hint="eastAsia"/>
                          <w:color w:val="0B5294"/>
                          <w:spacing w:val="-4"/>
                          <w:sz w:val="24"/>
                          <w:szCs w:val="24"/>
                          <w:rtl/>
                        </w:rPr>
                        <w:t>בחינוך</w:t>
                      </w:r>
                      <w:r w:rsidRPr="00335CD4">
                        <w:rPr>
                          <w:rFonts w:cs="Tahoma"/>
                          <w:color w:val="0B5294"/>
                          <w:spacing w:val="-4"/>
                          <w:sz w:val="24"/>
                          <w:szCs w:val="24"/>
                          <w:rtl/>
                        </w:rPr>
                        <w:t xml:space="preserve"> </w:t>
                      </w:r>
                      <w:r w:rsidRPr="00335CD4">
                        <w:rPr>
                          <w:rFonts w:cs="Tahoma" w:hint="eastAsia"/>
                          <w:color w:val="0B5294"/>
                          <w:spacing w:val="-4"/>
                          <w:sz w:val="24"/>
                          <w:szCs w:val="24"/>
                          <w:rtl/>
                        </w:rPr>
                        <w:t>הממלכתי</w:t>
                      </w:r>
                      <w:r w:rsidRPr="00335CD4">
                        <w:rPr>
                          <w:rFonts w:cs="Tahoma"/>
                          <w:color w:val="0B5294"/>
                          <w:spacing w:val="-4"/>
                          <w:sz w:val="24"/>
                          <w:szCs w:val="24"/>
                          <w:rtl/>
                        </w:rPr>
                        <w:t xml:space="preserve"> </w:t>
                      </w:r>
                      <w:r w:rsidRPr="00335CD4">
                        <w:rPr>
                          <w:rFonts w:cs="Tahoma" w:hint="eastAsia"/>
                          <w:color w:val="0B5294"/>
                          <w:spacing w:val="-4"/>
                          <w:sz w:val="24"/>
                          <w:szCs w:val="24"/>
                          <w:rtl/>
                        </w:rPr>
                        <w:t>דתי</w:t>
                      </w:r>
                      <w:r w:rsidRPr="00335CD4">
                        <w:rPr>
                          <w:rFonts w:cs="Tahoma"/>
                          <w:color w:val="0B5294"/>
                          <w:spacing w:val="-4"/>
                          <w:sz w:val="24"/>
                          <w:szCs w:val="24"/>
                          <w:rtl/>
                        </w:rPr>
                        <w:t xml:space="preserve"> </w:t>
                      </w:r>
                      <w:r w:rsidRPr="00335CD4">
                        <w:rPr>
                          <w:rFonts w:cs="Tahoma" w:hint="eastAsia"/>
                          <w:color w:val="0B5294"/>
                          <w:spacing w:val="-4"/>
                          <w:sz w:val="24"/>
                          <w:szCs w:val="24"/>
                          <w:rtl/>
                        </w:rPr>
                        <w:t>לעומת</w:t>
                      </w:r>
                      <w:r w:rsidRPr="00335CD4">
                        <w:rPr>
                          <w:rFonts w:cs="Tahoma"/>
                          <w:color w:val="0B5294"/>
                          <w:spacing w:val="-4"/>
                          <w:sz w:val="24"/>
                          <w:szCs w:val="24"/>
                          <w:rtl/>
                        </w:rPr>
                        <w:t xml:space="preserve"> </w:t>
                      </w:r>
                      <w:r w:rsidRPr="00335CD4">
                        <w:rPr>
                          <w:rFonts w:cs="Tahoma" w:hint="eastAsia"/>
                          <w:color w:val="0B5294"/>
                          <w:spacing w:val="-4"/>
                          <w:sz w:val="24"/>
                          <w:szCs w:val="24"/>
                          <w:rtl/>
                        </w:rPr>
                        <w:t>בנים</w:t>
                      </w:r>
                      <w:r w:rsidRPr="00335CD4">
                        <w:rPr>
                          <w:rFonts w:cs="Tahoma"/>
                          <w:color w:val="0B5294"/>
                          <w:spacing w:val="-4"/>
                          <w:sz w:val="24"/>
                          <w:szCs w:val="24"/>
                          <w:rtl/>
                        </w:rPr>
                        <w:t xml:space="preserve"> </w:t>
                      </w:r>
                      <w:r w:rsidRPr="00335CD4">
                        <w:rPr>
                          <w:rFonts w:cs="Tahoma" w:hint="eastAsia"/>
                          <w:color w:val="0B5294"/>
                          <w:spacing w:val="-4"/>
                          <w:sz w:val="24"/>
                          <w:szCs w:val="24"/>
                          <w:rtl/>
                        </w:rPr>
                        <w:t>הלומדים</w:t>
                      </w:r>
                      <w:r w:rsidRPr="00335CD4">
                        <w:rPr>
                          <w:rFonts w:cs="Tahoma"/>
                          <w:color w:val="0B5294"/>
                          <w:spacing w:val="-4"/>
                          <w:sz w:val="24"/>
                          <w:szCs w:val="24"/>
                          <w:rtl/>
                        </w:rPr>
                        <w:t xml:space="preserve"> </w:t>
                      </w:r>
                      <w:r w:rsidRPr="00335CD4">
                        <w:rPr>
                          <w:rFonts w:cs="Tahoma" w:hint="eastAsia"/>
                          <w:color w:val="0B5294"/>
                          <w:spacing w:val="-4"/>
                          <w:sz w:val="24"/>
                          <w:szCs w:val="24"/>
                          <w:rtl/>
                        </w:rPr>
                        <w:t>בחינוך</w:t>
                      </w:r>
                      <w:r w:rsidRPr="00335CD4">
                        <w:rPr>
                          <w:rFonts w:cs="Tahoma"/>
                          <w:color w:val="0B5294"/>
                          <w:spacing w:val="-4"/>
                          <w:sz w:val="24"/>
                          <w:szCs w:val="24"/>
                          <w:rtl/>
                        </w:rPr>
                        <w:t xml:space="preserve"> </w:t>
                      </w:r>
                      <w:r w:rsidRPr="00335CD4">
                        <w:rPr>
                          <w:rFonts w:cs="Tahoma" w:hint="eastAsia"/>
                          <w:color w:val="0B5294"/>
                          <w:spacing w:val="-4"/>
                          <w:sz w:val="24"/>
                          <w:szCs w:val="24"/>
                          <w:rtl/>
                        </w:rPr>
                        <w:t>הממלכתי</w:t>
                      </w:r>
                    </w:p>
                    <w:p w:rsidR="00290C9B" w:rsidRPr="00373C5D" w:rsidP="00290C9B">
                      <w:pPr>
                        <w:spacing w:before="120" w:after="0" w:line="240" w:lineRule="atLeast"/>
                        <w:rPr>
                          <w:rFonts w:cs="Tahoma"/>
                          <w:b/>
                          <w:bCs/>
                          <w:color w:val="0B5294"/>
                          <w:sz w:val="48"/>
                          <w:szCs w:val="48"/>
                          <w:rtl/>
                        </w:rPr>
                      </w:pPr>
                      <w:drawing>
                        <wp:inline distT="0" distB="0" distL="0" distR="0">
                          <wp:extent cx="288000" cy="31337"/>
                          <wp:effectExtent l="0" t="0" r="0" b="6985"/>
                          <wp:docPr id="1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904360"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9B6D36" w:rsidRPr="00211D07" w:rsidP="00E9129B">
      <w:pPr>
        <w:pStyle w:val="RESHET"/>
        <w:ind w:left="567"/>
        <w:rPr>
          <w:rtl/>
        </w:rPr>
      </w:pPr>
      <w:r w:rsidRPr="00211D07">
        <w:rPr>
          <w:rFonts w:hint="cs"/>
          <w:rtl/>
        </w:rPr>
        <w:t xml:space="preserve">משרד מבקר המדינה מעיר למשרד החינוך כי נוכח הדמיון בדפוסי השימוש בחומרים ממכרים בחינוך הממלכתי, בחינוך הממלכתי דתי ובמגזר הערבי - עליו לפעול ביתר שאת כלפי מנהלי בתי הספר במגזרים אלו ולהמריצם למנות </w:t>
      </w:r>
      <w:r w:rsidRPr="00211D07">
        <w:rPr>
          <w:rtl/>
        </w:rPr>
        <w:t>מב"סים</w:t>
      </w:r>
      <w:r w:rsidRPr="00211D07">
        <w:rPr>
          <w:rtl/>
        </w:rPr>
        <w:t xml:space="preserve"> במוסדותיהם</w:t>
      </w:r>
      <w:r w:rsidRPr="00211D07">
        <w:rPr>
          <w:rFonts w:hint="cs"/>
          <w:rtl/>
        </w:rPr>
        <w:t xml:space="preserve">. אשר למגזר החרדי - יש לבחון את היקף התופעה ולפעול בעניין מינוי מב"ס בהתאם לכך בקרב מנהלי בתי הספר במגזר זה. </w:t>
      </w:r>
    </w:p>
    <w:p w:rsidR="009B6D36" w:rsidRPr="00211D07" w:rsidP="00E9129B">
      <w:pPr>
        <w:spacing w:before="180" w:line="240" w:lineRule="exact"/>
        <w:ind w:left="340" w:right="2268"/>
        <w:jc w:val="both"/>
        <w:rPr>
          <w:rFonts w:ascii="Tahoma" w:hAnsi="Tahoma" w:cs="Tahoma"/>
          <w:b/>
          <w:bCs/>
          <w:sz w:val="18"/>
          <w:szCs w:val="18"/>
          <w:rtl/>
        </w:rPr>
      </w:pPr>
      <w:r w:rsidRPr="00211D07">
        <w:rPr>
          <w:rFonts w:ascii="Tahoma" w:hAnsi="Tahoma" w:cs="Tahoma"/>
          <w:sz w:val="18"/>
          <w:szCs w:val="18"/>
          <w:rtl/>
        </w:rPr>
        <w:t>משרד ה</w:t>
      </w:r>
      <w:r w:rsidRPr="00211D07">
        <w:rPr>
          <w:rFonts w:ascii="Tahoma" w:hAnsi="Tahoma" w:cs="Tahoma" w:hint="cs"/>
          <w:sz w:val="18"/>
          <w:szCs w:val="18"/>
          <w:rtl/>
        </w:rPr>
        <w:t>חינוך</w:t>
      </w:r>
      <w:r w:rsidRPr="00211D07">
        <w:rPr>
          <w:rFonts w:ascii="Tahoma" w:hAnsi="Tahoma" w:cs="Tahoma"/>
          <w:sz w:val="18"/>
          <w:szCs w:val="18"/>
          <w:rtl/>
        </w:rPr>
        <w:t xml:space="preserve"> מסר בתשובתו מנובמבר 201</w:t>
      </w:r>
      <w:r w:rsidRPr="00211D07">
        <w:rPr>
          <w:rFonts w:ascii="Tahoma" w:hAnsi="Tahoma" w:cs="Tahoma" w:hint="cs"/>
          <w:sz w:val="18"/>
          <w:szCs w:val="18"/>
          <w:rtl/>
        </w:rPr>
        <w:t>8</w:t>
      </w:r>
      <w:r w:rsidRPr="00211D07">
        <w:rPr>
          <w:rFonts w:ascii="Tahoma" w:hAnsi="Tahoma" w:cs="Tahoma"/>
          <w:sz w:val="18"/>
          <w:szCs w:val="18"/>
          <w:rtl/>
        </w:rPr>
        <w:t xml:space="preserve"> כי בשנת הלימודים </w:t>
      </w:r>
      <w:r w:rsidRPr="00211D07">
        <w:rPr>
          <w:rFonts w:ascii="Tahoma" w:hAnsi="Tahoma" w:cs="Tahoma" w:hint="cs"/>
          <w:sz w:val="18"/>
          <w:szCs w:val="18"/>
          <w:rtl/>
        </w:rPr>
        <w:t>ה</w:t>
      </w:r>
      <w:r w:rsidRPr="00211D07">
        <w:rPr>
          <w:rFonts w:ascii="Tahoma" w:hAnsi="Tahoma" w:cs="Tahoma"/>
          <w:sz w:val="18"/>
          <w:szCs w:val="18"/>
          <w:rtl/>
        </w:rPr>
        <w:t>תשע"ט</w:t>
      </w:r>
      <w:r w:rsidRPr="00211D07">
        <w:rPr>
          <w:rFonts w:ascii="Tahoma" w:hAnsi="Tahoma" w:cs="Tahoma" w:hint="cs"/>
          <w:sz w:val="18"/>
          <w:szCs w:val="18"/>
          <w:rtl/>
        </w:rPr>
        <w:t xml:space="preserve"> (</w:t>
      </w:r>
      <w:r w:rsidRPr="00211D07">
        <w:rPr>
          <w:rFonts w:ascii="Tahoma" w:hAnsi="Tahoma" w:cs="Tahoma"/>
          <w:sz w:val="18"/>
          <w:szCs w:val="18"/>
          <w:rtl/>
        </w:rPr>
        <w:t>ספטמבר 201</w:t>
      </w:r>
      <w:r w:rsidRPr="00211D07">
        <w:rPr>
          <w:rFonts w:ascii="Tahoma" w:hAnsi="Tahoma" w:cs="Tahoma" w:hint="cs"/>
          <w:sz w:val="18"/>
          <w:szCs w:val="18"/>
          <w:rtl/>
        </w:rPr>
        <w:t>8</w:t>
      </w:r>
      <w:r w:rsidRPr="00211D07">
        <w:rPr>
          <w:rFonts w:ascii="Tahoma" w:hAnsi="Tahoma" w:cs="Tahoma"/>
          <w:sz w:val="18"/>
          <w:szCs w:val="18"/>
          <w:rtl/>
        </w:rPr>
        <w:t xml:space="preserve"> </w:t>
      </w:r>
      <w:r w:rsidRPr="00211D07">
        <w:rPr>
          <w:rFonts w:ascii="Tahoma" w:hAnsi="Tahoma" w:cs="Tahoma" w:hint="cs"/>
          <w:sz w:val="18"/>
          <w:szCs w:val="18"/>
          <w:rtl/>
        </w:rPr>
        <w:t>-</w:t>
      </w:r>
      <w:r w:rsidRPr="00211D07">
        <w:rPr>
          <w:rFonts w:ascii="Tahoma" w:hAnsi="Tahoma" w:cs="Tahoma"/>
          <w:sz w:val="18"/>
          <w:szCs w:val="18"/>
          <w:rtl/>
        </w:rPr>
        <w:t xml:space="preserve"> אוגוסט 201</w:t>
      </w:r>
      <w:r w:rsidRPr="00211D07">
        <w:rPr>
          <w:rFonts w:ascii="Tahoma" w:hAnsi="Tahoma" w:cs="Tahoma" w:hint="cs"/>
          <w:sz w:val="18"/>
          <w:szCs w:val="18"/>
          <w:rtl/>
        </w:rPr>
        <w:t>9)</w:t>
      </w:r>
      <w:r w:rsidRPr="00211D07">
        <w:rPr>
          <w:rFonts w:ascii="Tahoma" w:hAnsi="Tahoma" w:cs="Tahoma"/>
          <w:sz w:val="18"/>
          <w:szCs w:val="18"/>
          <w:rtl/>
        </w:rPr>
        <w:t xml:space="preserve"> </w:t>
      </w:r>
      <w:r w:rsidRPr="00211D07">
        <w:rPr>
          <w:rFonts w:ascii="Tahoma" w:hAnsi="Tahoma" w:cs="Tahoma" w:hint="cs"/>
          <w:sz w:val="18"/>
          <w:szCs w:val="18"/>
          <w:rtl/>
        </w:rPr>
        <w:t xml:space="preserve">חל גידול במספר </w:t>
      </w:r>
      <w:r w:rsidRPr="00211D07">
        <w:rPr>
          <w:rFonts w:ascii="Tahoma" w:hAnsi="Tahoma" w:cs="Tahoma" w:hint="cs"/>
          <w:sz w:val="18"/>
          <w:szCs w:val="18"/>
          <w:rtl/>
        </w:rPr>
        <w:t>המב"סים</w:t>
      </w:r>
      <w:r w:rsidRPr="00211D07">
        <w:rPr>
          <w:rFonts w:ascii="Tahoma" w:hAnsi="Tahoma" w:cs="Tahoma" w:hint="cs"/>
          <w:sz w:val="18"/>
          <w:szCs w:val="18"/>
          <w:rtl/>
        </w:rPr>
        <w:t xml:space="preserve"> - מונו </w:t>
      </w:r>
      <w:r w:rsidRPr="00211D07">
        <w:rPr>
          <w:rFonts w:ascii="Tahoma" w:hAnsi="Tahoma" w:cs="Tahoma"/>
          <w:sz w:val="18"/>
          <w:szCs w:val="18"/>
          <w:rtl/>
        </w:rPr>
        <w:t>1</w:t>
      </w:r>
      <w:r w:rsidRPr="00211D07">
        <w:rPr>
          <w:rFonts w:ascii="Tahoma" w:hAnsi="Tahoma" w:cs="Tahoma" w:hint="cs"/>
          <w:sz w:val="18"/>
          <w:szCs w:val="18"/>
          <w:rtl/>
        </w:rPr>
        <w:t>,</w:t>
      </w:r>
      <w:r w:rsidRPr="00211D07">
        <w:rPr>
          <w:rFonts w:ascii="Tahoma" w:hAnsi="Tahoma" w:cs="Tahoma"/>
          <w:sz w:val="18"/>
          <w:szCs w:val="18"/>
          <w:rtl/>
        </w:rPr>
        <w:t xml:space="preserve">300 </w:t>
      </w:r>
      <w:r w:rsidRPr="00211D07">
        <w:rPr>
          <w:rFonts w:ascii="Tahoma" w:hAnsi="Tahoma" w:cs="Tahoma"/>
          <w:sz w:val="18"/>
          <w:szCs w:val="18"/>
          <w:rtl/>
        </w:rPr>
        <w:t>מב"סים</w:t>
      </w:r>
      <w:r w:rsidRPr="00211D07">
        <w:rPr>
          <w:rFonts w:ascii="Tahoma" w:hAnsi="Tahoma" w:cs="Tahoma" w:hint="cs"/>
          <w:sz w:val="18"/>
          <w:szCs w:val="18"/>
          <w:rtl/>
        </w:rPr>
        <w:t xml:space="preserve"> - "</w:t>
      </w:r>
      <w:r w:rsidRPr="00211D07">
        <w:rPr>
          <w:rFonts w:ascii="Tahoma" w:hAnsi="Tahoma" w:cs="Tahoma"/>
          <w:sz w:val="18"/>
          <w:szCs w:val="18"/>
          <w:rtl/>
        </w:rPr>
        <w:t xml:space="preserve">כשהגידול בא לידי ביטוי גם במגזר הערבי, </w:t>
      </w:r>
      <w:r w:rsidRPr="00211D07">
        <w:rPr>
          <w:rFonts w:ascii="Tahoma" w:hAnsi="Tahoma" w:cs="Tahoma"/>
          <w:sz w:val="18"/>
          <w:szCs w:val="18"/>
          <w:rtl/>
        </w:rPr>
        <w:t>בחמ"ד</w:t>
      </w:r>
      <w:r w:rsidRPr="00211D07">
        <w:rPr>
          <w:rFonts w:ascii="Tahoma" w:hAnsi="Tahoma" w:cs="Tahoma"/>
          <w:sz w:val="18"/>
          <w:szCs w:val="18"/>
          <w:rtl/>
        </w:rPr>
        <w:t xml:space="preserve"> ובמגזר החרדי</w:t>
      </w:r>
      <w:r w:rsidRPr="00211D07">
        <w:rPr>
          <w:rFonts w:ascii="Tahoma" w:hAnsi="Tahoma" w:cs="Tahoma" w:hint="cs"/>
          <w:sz w:val="18"/>
          <w:szCs w:val="18"/>
          <w:rtl/>
        </w:rPr>
        <w:t xml:space="preserve">" והוסיף כי הוא </w:t>
      </w:r>
      <w:r w:rsidRPr="00211D07">
        <w:rPr>
          <w:rFonts w:ascii="Tahoma" w:hAnsi="Tahoma" w:cs="Tahoma"/>
          <w:sz w:val="18"/>
          <w:szCs w:val="18"/>
          <w:rtl/>
        </w:rPr>
        <w:t xml:space="preserve">פועל </w:t>
      </w:r>
      <w:r w:rsidRPr="00211D07">
        <w:rPr>
          <w:rFonts w:ascii="Tahoma" w:hAnsi="Tahoma" w:cs="Tahoma" w:hint="cs"/>
          <w:sz w:val="18"/>
          <w:szCs w:val="18"/>
          <w:rtl/>
        </w:rPr>
        <w:t>"</w:t>
      </w:r>
      <w:r w:rsidRPr="00211D07">
        <w:rPr>
          <w:rFonts w:ascii="Tahoma" w:hAnsi="Tahoma" w:cs="Tahoma"/>
          <w:sz w:val="18"/>
          <w:szCs w:val="18"/>
          <w:rtl/>
        </w:rPr>
        <w:t xml:space="preserve">להגדיל את מספר </w:t>
      </w:r>
      <w:r w:rsidRPr="00211D07">
        <w:rPr>
          <w:rFonts w:ascii="Tahoma" w:hAnsi="Tahoma" w:cs="Tahoma"/>
          <w:sz w:val="18"/>
          <w:szCs w:val="18"/>
          <w:rtl/>
        </w:rPr>
        <w:t>המב"סים</w:t>
      </w:r>
      <w:r w:rsidRPr="00211D07">
        <w:rPr>
          <w:rFonts w:ascii="Tahoma" w:hAnsi="Tahoma" w:cs="Tahoma"/>
          <w:sz w:val="18"/>
          <w:szCs w:val="18"/>
          <w:rtl/>
        </w:rPr>
        <w:t xml:space="preserve"> ב</w:t>
      </w:r>
      <w:r w:rsidRPr="00211D07">
        <w:rPr>
          <w:rFonts w:ascii="Tahoma" w:hAnsi="Tahoma" w:cs="Tahoma" w:hint="cs"/>
          <w:sz w:val="18"/>
          <w:szCs w:val="18"/>
          <w:rtl/>
        </w:rPr>
        <w:t>-</w:t>
      </w:r>
      <w:r w:rsidRPr="00211D07">
        <w:rPr>
          <w:rFonts w:ascii="Tahoma" w:hAnsi="Tahoma" w:cs="Tahoma"/>
          <w:sz w:val="18"/>
          <w:szCs w:val="18"/>
          <w:rtl/>
        </w:rPr>
        <w:t>10% מדי שנה בבתי ספר נוספים העומדים בקריטריונים בכפוף למגבלות תקציב</w:t>
      </w:r>
      <w:r w:rsidRPr="00211D07">
        <w:rPr>
          <w:rFonts w:ascii="Tahoma" w:hAnsi="Tahoma" w:cs="Tahoma" w:hint="cs"/>
          <w:sz w:val="18"/>
          <w:szCs w:val="18"/>
          <w:rtl/>
        </w:rPr>
        <w:t>"</w:t>
      </w:r>
      <w:r w:rsidRPr="00211D07">
        <w:rPr>
          <w:rFonts w:ascii="Tahoma" w:hAnsi="Tahoma" w:cs="Tahoma"/>
          <w:sz w:val="18"/>
          <w:szCs w:val="18"/>
          <w:rtl/>
        </w:rPr>
        <w:t>.</w:t>
      </w:r>
    </w:p>
    <w:p w:rsidR="009B6D36" w:rsidRPr="00211D07" w:rsidP="00E76FAB">
      <w:pPr>
        <w:pStyle w:val="ListParagraph"/>
        <w:numPr>
          <w:ilvl w:val="0"/>
          <w:numId w:val="8"/>
        </w:numPr>
        <w:autoSpaceDE/>
        <w:autoSpaceDN/>
        <w:adjustRightInd/>
        <w:spacing w:after="240" w:line="240" w:lineRule="exact"/>
        <w:ind w:left="340" w:right="2268" w:hanging="340"/>
        <w:rPr>
          <w:sz w:val="18"/>
          <w:szCs w:val="18"/>
        </w:rPr>
      </w:pPr>
      <w:r w:rsidRPr="00211D07">
        <w:rPr>
          <w:rFonts w:hint="cs"/>
          <w:sz w:val="18"/>
          <w:szCs w:val="18"/>
          <w:rtl/>
        </w:rPr>
        <w:t xml:space="preserve">כדי לעקוב אחר פעילות </w:t>
      </w:r>
      <w:r w:rsidRPr="00211D07">
        <w:rPr>
          <w:rFonts w:hint="cs"/>
          <w:sz w:val="18"/>
          <w:szCs w:val="18"/>
          <w:rtl/>
        </w:rPr>
        <w:t>המב"סים</w:t>
      </w:r>
      <w:r w:rsidRPr="00211D07">
        <w:rPr>
          <w:rFonts w:hint="cs"/>
          <w:sz w:val="18"/>
          <w:szCs w:val="18"/>
          <w:rtl/>
        </w:rPr>
        <w:t xml:space="preserve"> בבתי הספר הנחה אותם משרד החינוך בחוזר המנכ"ל לדווח על פעילותם. </w:t>
      </w:r>
    </w:p>
    <w:p w:rsidR="009B6D36" w:rsidRPr="00E9129B" w:rsidP="00E9129B">
      <w:pPr>
        <w:pStyle w:val="RESHET"/>
        <w:ind w:left="567"/>
        <w:rPr>
          <w:sz w:val="18"/>
          <w:rtl/>
        </w:rPr>
      </w:pPr>
      <w:r w:rsidRPr="00E9129B">
        <w:rPr>
          <w:rFonts w:hint="cs"/>
          <w:sz w:val="18"/>
          <w:rtl/>
        </w:rPr>
        <w:t>לפי נתוני משרד החינוך שהועברו למשרד מבקר המדינה -</w:t>
      </w:r>
      <w:r w:rsidRPr="00E9129B">
        <w:rPr>
          <w:sz w:val="18"/>
          <w:rtl/>
        </w:rPr>
        <w:t xml:space="preserve"> בפועל</w:t>
      </w:r>
      <w:r w:rsidRPr="00E9129B">
        <w:rPr>
          <w:rFonts w:hint="cs"/>
          <w:sz w:val="18"/>
          <w:rtl/>
        </w:rPr>
        <w:t xml:space="preserve"> עמד שיעור הדיווח של </w:t>
      </w:r>
      <w:r w:rsidRPr="00E9129B">
        <w:rPr>
          <w:rFonts w:hint="cs"/>
          <w:sz w:val="18"/>
          <w:rtl/>
        </w:rPr>
        <w:t>המב"סים</w:t>
      </w:r>
      <w:r w:rsidRPr="00E9129B">
        <w:rPr>
          <w:rFonts w:hint="cs"/>
          <w:sz w:val="18"/>
          <w:rtl/>
        </w:rPr>
        <w:t xml:space="preserve"> בשנת תשע"ח על כ-46%. על משרד החינוך </w:t>
      </w:r>
      <w:r w:rsidRPr="00E9129B">
        <w:rPr>
          <w:sz w:val="18"/>
          <w:rtl/>
        </w:rPr>
        <w:t>לדרוש דיווחים שוטפים מ</w:t>
      </w:r>
      <w:r w:rsidRPr="00E9129B">
        <w:rPr>
          <w:rFonts w:hint="cs"/>
          <w:sz w:val="18"/>
          <w:rtl/>
        </w:rPr>
        <w:t xml:space="preserve">כלל </w:t>
      </w:r>
      <w:r w:rsidRPr="00E9129B">
        <w:rPr>
          <w:sz w:val="18"/>
          <w:rtl/>
        </w:rPr>
        <w:t>המב"ס</w:t>
      </w:r>
      <w:r w:rsidRPr="00E9129B">
        <w:rPr>
          <w:rFonts w:hint="cs"/>
          <w:sz w:val="18"/>
          <w:rtl/>
        </w:rPr>
        <w:t>ים</w:t>
      </w:r>
      <w:r w:rsidRPr="00E9129B">
        <w:rPr>
          <w:rFonts w:hint="cs"/>
          <w:sz w:val="18"/>
          <w:rtl/>
        </w:rPr>
        <w:t>.</w:t>
      </w:r>
    </w:p>
    <w:p w:rsidR="009B6D36" w:rsidRPr="00211D07" w:rsidP="00211D07">
      <w:pPr>
        <w:spacing w:line="240" w:lineRule="exact"/>
        <w:ind w:right="2268"/>
        <w:jc w:val="both"/>
        <w:rPr>
          <w:rFonts w:ascii="Tahoma" w:eastAsia="Times New Roman" w:hAnsi="Tahoma" w:cs="Tahoma"/>
          <w:sz w:val="18"/>
          <w:szCs w:val="18"/>
          <w:lang w:eastAsia="he-IL"/>
        </w:rPr>
      </w:pPr>
    </w:p>
    <w:p w:rsidR="009B6D36" w:rsidRPr="00211D07" w:rsidP="00211D07">
      <w:pPr>
        <w:spacing w:line="240" w:lineRule="exact"/>
        <w:ind w:right="2268"/>
        <w:jc w:val="both"/>
        <w:rPr>
          <w:rFonts w:ascii="Tahoma" w:eastAsia="Times New Roman" w:hAnsi="Tahoma" w:cs="Tahoma"/>
          <w:sz w:val="18"/>
          <w:szCs w:val="18"/>
          <w:rtl/>
          <w:lang w:eastAsia="he-IL"/>
        </w:rPr>
      </w:pPr>
    </w:p>
    <w:p w:rsidR="009B6D36" w:rsidP="00211D07">
      <w:pPr>
        <w:pStyle w:val="KOT4"/>
        <w:rPr>
          <w:rtl/>
        </w:rPr>
      </w:pPr>
      <w:r w:rsidRPr="00E93732">
        <w:rPr>
          <w:rFonts w:hint="cs"/>
          <w:rtl/>
        </w:rPr>
        <w:t xml:space="preserve">הפעלה </w:t>
      </w:r>
      <w:r>
        <w:rPr>
          <w:rFonts w:hint="cs"/>
          <w:rtl/>
        </w:rPr>
        <w:t xml:space="preserve">חלקית </w:t>
      </w:r>
      <w:r w:rsidRPr="00E93732">
        <w:rPr>
          <w:rFonts w:hint="cs"/>
          <w:rtl/>
        </w:rPr>
        <w:t xml:space="preserve">של </w:t>
      </w:r>
      <w:r w:rsidRPr="00E93732">
        <w:rPr>
          <w:rFonts w:hint="cs"/>
          <w:rtl/>
        </w:rPr>
        <w:t>ת</w:t>
      </w:r>
      <w:r>
        <w:rPr>
          <w:rFonts w:hint="cs"/>
          <w:rtl/>
        </w:rPr>
        <w:t>ו</w:t>
      </w:r>
      <w:r w:rsidRPr="00E93732">
        <w:rPr>
          <w:rFonts w:hint="cs"/>
          <w:rtl/>
        </w:rPr>
        <w:t>כניות</w:t>
      </w:r>
      <w:r w:rsidRPr="00E93732">
        <w:rPr>
          <w:rFonts w:hint="cs"/>
          <w:rtl/>
        </w:rPr>
        <w:t xml:space="preserve"> למניעת התמכרויות</w:t>
      </w:r>
    </w:p>
    <w:p w:rsidR="009B6D36" w:rsidRPr="00211D07" w:rsidP="00E76FAB">
      <w:pPr>
        <w:pStyle w:val="ListParagraph"/>
        <w:numPr>
          <w:ilvl w:val="0"/>
          <w:numId w:val="9"/>
        </w:numPr>
        <w:autoSpaceDE/>
        <w:autoSpaceDN/>
        <w:adjustRightInd/>
        <w:spacing w:after="240" w:line="240" w:lineRule="exact"/>
        <w:ind w:right="2268"/>
        <w:rPr>
          <w:rFonts w:eastAsia="Times New Roman"/>
          <w:sz w:val="18"/>
          <w:szCs w:val="18"/>
          <w:lang w:eastAsia="he-IL"/>
        </w:rPr>
      </w:pPr>
      <w:r w:rsidRPr="00211D07">
        <w:rPr>
          <w:rStyle w:val="Heading7Char"/>
          <w:rFonts w:ascii="Tahoma" w:hAnsi="Tahoma" w:cs="Tahoma"/>
          <w:sz w:val="18"/>
          <w:szCs w:val="18"/>
          <w:rtl/>
        </w:rPr>
        <w:t>תוכניות</w:t>
      </w:r>
      <w:r w:rsidRPr="00211D07">
        <w:rPr>
          <w:rStyle w:val="Heading7Char"/>
          <w:rFonts w:ascii="Tahoma" w:hAnsi="Tahoma" w:cs="Tahoma"/>
          <w:sz w:val="18"/>
          <w:szCs w:val="18"/>
          <w:rtl/>
        </w:rPr>
        <w:t xml:space="preserve"> למניעת שתייה מזיקה של אלכוהול</w:t>
      </w:r>
      <w:r w:rsidRPr="00211D07">
        <w:rPr>
          <w:rFonts w:hint="cs"/>
          <w:sz w:val="18"/>
          <w:szCs w:val="18"/>
          <w:rtl/>
        </w:rPr>
        <w:t>: במחקר שנערך בשנת 2014</w:t>
      </w:r>
      <w:r>
        <w:rPr>
          <w:sz w:val="18"/>
          <w:szCs w:val="18"/>
          <w:vertAlign w:val="superscript"/>
          <w:rtl/>
        </w:rPr>
        <w:footnoteReference w:id="80"/>
      </w:r>
      <w:r w:rsidRPr="00211D07">
        <w:rPr>
          <w:rFonts w:hint="cs"/>
          <w:sz w:val="18"/>
          <w:szCs w:val="18"/>
          <w:rtl/>
        </w:rPr>
        <w:t xml:space="preserve"> עלה כי </w:t>
      </w:r>
      <w:r w:rsidRPr="00211D07">
        <w:rPr>
          <w:sz w:val="18"/>
          <w:szCs w:val="18"/>
          <w:rtl/>
        </w:rPr>
        <w:t>23%</w:t>
      </w:r>
      <w:r w:rsidRPr="00211D07">
        <w:rPr>
          <w:rFonts w:hint="cs"/>
          <w:sz w:val="18"/>
          <w:szCs w:val="18"/>
          <w:rtl/>
        </w:rPr>
        <w:t xml:space="preserve"> </w:t>
      </w:r>
      <w:r w:rsidRPr="00211D07">
        <w:rPr>
          <w:sz w:val="18"/>
          <w:szCs w:val="18"/>
          <w:rtl/>
        </w:rPr>
        <w:t>מהבנים במגזר היהודי והערבי בכיתות ו'-י"ב ו-12.3% מהבנות במגזר היהודי דיווחו</w:t>
      </w:r>
      <w:r w:rsidRPr="00211D07">
        <w:rPr>
          <w:rFonts w:hint="cs"/>
          <w:sz w:val="18"/>
          <w:szCs w:val="18"/>
          <w:rtl/>
        </w:rPr>
        <w:t xml:space="preserve"> </w:t>
      </w:r>
      <w:r w:rsidRPr="00211D07">
        <w:rPr>
          <w:sz w:val="18"/>
          <w:szCs w:val="18"/>
          <w:rtl/>
        </w:rPr>
        <w:t xml:space="preserve">על </w:t>
      </w:r>
      <w:r w:rsidRPr="00211D07">
        <w:rPr>
          <w:rFonts w:hint="cs"/>
          <w:sz w:val="18"/>
          <w:szCs w:val="18"/>
          <w:rtl/>
        </w:rPr>
        <w:t xml:space="preserve">לפחות אירוע אחד של </w:t>
      </w:r>
      <w:r w:rsidRPr="00211D07">
        <w:rPr>
          <w:sz w:val="18"/>
          <w:szCs w:val="18"/>
          <w:rtl/>
        </w:rPr>
        <w:t>שתי</w:t>
      </w:r>
      <w:r w:rsidRPr="00211D07">
        <w:rPr>
          <w:rFonts w:hint="cs"/>
          <w:sz w:val="18"/>
          <w:szCs w:val="18"/>
          <w:rtl/>
        </w:rPr>
        <w:t>י</w:t>
      </w:r>
      <w:r w:rsidRPr="00211D07">
        <w:rPr>
          <w:sz w:val="18"/>
          <w:szCs w:val="18"/>
          <w:rtl/>
        </w:rPr>
        <w:t>ה מופרזת</w:t>
      </w:r>
      <w:r w:rsidRPr="00211D07">
        <w:rPr>
          <w:rFonts w:hint="cs"/>
          <w:sz w:val="18"/>
          <w:szCs w:val="18"/>
          <w:rtl/>
        </w:rPr>
        <w:t xml:space="preserve"> בחודש שקדם למחקר</w:t>
      </w:r>
      <w:r>
        <w:rPr>
          <w:sz w:val="18"/>
          <w:szCs w:val="18"/>
          <w:vertAlign w:val="superscript"/>
          <w:rtl/>
        </w:rPr>
        <w:footnoteReference w:id="81"/>
      </w:r>
      <w:r w:rsidRPr="00211D07">
        <w:rPr>
          <w:rFonts w:hint="cs"/>
          <w:sz w:val="18"/>
          <w:szCs w:val="18"/>
          <w:rtl/>
        </w:rPr>
        <w:t xml:space="preserve">. </w:t>
      </w:r>
      <w:r w:rsidRPr="00211D07">
        <w:rPr>
          <w:sz w:val="18"/>
          <w:szCs w:val="18"/>
          <w:rtl/>
        </w:rPr>
        <w:t>27.9% מהבנים במגזר היהודי</w:t>
      </w:r>
      <w:r w:rsidRPr="00211D07">
        <w:rPr>
          <w:rFonts w:hint="cs"/>
          <w:sz w:val="18"/>
          <w:szCs w:val="18"/>
          <w:rtl/>
        </w:rPr>
        <w:t xml:space="preserve"> </w:t>
      </w:r>
      <w:r w:rsidRPr="00211D07">
        <w:rPr>
          <w:sz w:val="18"/>
          <w:szCs w:val="18"/>
          <w:rtl/>
        </w:rPr>
        <w:t>14.6% מהבנות במגזר היהודי ו-12.9% מהבנים במגזר הערבי</w:t>
      </w:r>
      <w:r w:rsidRPr="00211D07">
        <w:rPr>
          <w:rFonts w:hint="cs"/>
          <w:sz w:val="18"/>
          <w:szCs w:val="18"/>
          <w:rtl/>
        </w:rPr>
        <w:t xml:space="preserve"> דווחו על השתכרות</w:t>
      </w:r>
      <w:r w:rsidRPr="00211D07">
        <w:rPr>
          <w:sz w:val="18"/>
          <w:szCs w:val="18"/>
          <w:rtl/>
        </w:rPr>
        <w:t xml:space="preserve"> לפחות פעם אחת בעבר.</w:t>
      </w:r>
    </w:p>
    <w:p w:rsidR="009B6D36" w:rsidRPr="00E9129B" w:rsidP="00E9129B">
      <w:pPr>
        <w:pStyle w:val="RESHET"/>
        <w:ind w:left="567"/>
        <w:rPr>
          <w:sz w:val="18"/>
          <w:rtl/>
        </w:rPr>
      </w:pPr>
      <w:r w:rsidRPr="00E9129B">
        <w:rPr>
          <w:sz w:val="18"/>
          <w:rtl/>
        </w:rPr>
        <w:t>מסקר שע</w:t>
      </w:r>
      <w:r w:rsidRPr="00E9129B">
        <w:rPr>
          <w:rFonts w:hint="cs"/>
          <w:sz w:val="18"/>
          <w:rtl/>
        </w:rPr>
        <w:t>רך</w:t>
      </w:r>
      <w:r w:rsidRPr="00E9129B">
        <w:rPr>
          <w:sz w:val="18"/>
          <w:rtl/>
        </w:rPr>
        <w:t xml:space="preserve"> משרד החינוך ב</w:t>
      </w:r>
      <w:r w:rsidRPr="00E9129B">
        <w:rPr>
          <w:rFonts w:hint="cs"/>
          <w:sz w:val="18"/>
          <w:rtl/>
        </w:rPr>
        <w:t>סוף שנת הלימודים תשע"ח בקרב יועצות חינוכיות בבתי הספר</w:t>
      </w:r>
      <w:r>
        <w:rPr>
          <w:sz w:val="18"/>
          <w:vertAlign w:val="superscript"/>
          <w:rtl/>
        </w:rPr>
        <w:footnoteReference w:id="82"/>
      </w:r>
      <w:r w:rsidRPr="00E9129B">
        <w:rPr>
          <w:rFonts w:hint="cs"/>
          <w:sz w:val="18"/>
          <w:rtl/>
        </w:rPr>
        <w:t xml:space="preserve"> בנוגע להפעלת </w:t>
      </w:r>
      <w:r w:rsidRPr="00E9129B">
        <w:rPr>
          <w:rFonts w:hint="cs"/>
          <w:sz w:val="18"/>
          <w:rtl/>
        </w:rPr>
        <w:t>תוכנית</w:t>
      </w:r>
      <w:r w:rsidRPr="00E9129B">
        <w:rPr>
          <w:rFonts w:hint="cs"/>
          <w:sz w:val="18"/>
          <w:rtl/>
        </w:rPr>
        <w:t xml:space="preserve"> כישורי חיים במוסדות החינוך (להלן - סקר היועצות) עלה כי 2</w:t>
      </w:r>
      <w:r w:rsidRPr="00E9129B">
        <w:rPr>
          <w:sz w:val="18"/>
          <w:rtl/>
        </w:rPr>
        <w:t>0% מהיועצות החינוכיות בחטיבות העליונות</w:t>
      </w:r>
      <w:r w:rsidRPr="00E9129B">
        <w:rPr>
          <w:rFonts w:hint="cs"/>
          <w:sz w:val="18"/>
          <w:rtl/>
        </w:rPr>
        <w:t xml:space="preserve">, 30% </w:t>
      </w:r>
      <w:r w:rsidRPr="00E9129B">
        <w:rPr>
          <w:sz w:val="18"/>
          <w:rtl/>
        </w:rPr>
        <w:t>מהיועצות בחטיבות הביניים</w:t>
      </w:r>
      <w:r w:rsidRPr="00E9129B">
        <w:rPr>
          <w:rFonts w:hint="cs"/>
          <w:sz w:val="18"/>
          <w:rtl/>
        </w:rPr>
        <w:t xml:space="preserve"> </w:t>
      </w:r>
      <w:r w:rsidR="00E9129B">
        <w:rPr>
          <w:sz w:val="18"/>
        </w:rPr>
        <w:br/>
      </w:r>
      <w:r w:rsidRPr="00E9129B">
        <w:rPr>
          <w:rFonts w:hint="cs"/>
          <w:sz w:val="18"/>
          <w:rtl/>
        </w:rPr>
        <w:t xml:space="preserve">ו-77% </w:t>
      </w:r>
      <w:r w:rsidRPr="00E9129B">
        <w:rPr>
          <w:sz w:val="18"/>
          <w:rtl/>
        </w:rPr>
        <w:t>מהיועצות החינוכיות בבתי הספר היסודיים</w:t>
      </w:r>
      <w:r w:rsidRPr="00E9129B">
        <w:rPr>
          <w:rFonts w:hint="cs"/>
          <w:sz w:val="18"/>
          <w:rtl/>
        </w:rPr>
        <w:t xml:space="preserve"> </w:t>
      </w:r>
      <w:r w:rsidRPr="00E9129B">
        <w:rPr>
          <w:sz w:val="18"/>
          <w:rtl/>
        </w:rPr>
        <w:t>לא הדגישו בעבודה עם התלמידים את מניעת השימוש באלכוהול.</w:t>
      </w:r>
    </w:p>
    <w:p w:rsidR="009B6D36" w:rsidRPr="00211D07" w:rsidP="00E76FAB">
      <w:pPr>
        <w:pStyle w:val="ListParagraph"/>
        <w:numPr>
          <w:ilvl w:val="0"/>
          <w:numId w:val="9"/>
        </w:numPr>
        <w:autoSpaceDE/>
        <w:autoSpaceDN/>
        <w:adjustRightInd/>
        <w:spacing w:before="180" w:after="240" w:line="240" w:lineRule="exact"/>
        <w:ind w:right="2268"/>
        <w:rPr>
          <w:sz w:val="18"/>
          <w:szCs w:val="18"/>
        </w:rPr>
      </w:pPr>
      <w:r w:rsidRPr="00211D07">
        <w:rPr>
          <w:rStyle w:val="Heading7Char"/>
          <w:rFonts w:ascii="Tahoma" w:hAnsi="Tahoma" w:cs="Tahoma"/>
          <w:sz w:val="18"/>
          <w:szCs w:val="18"/>
          <w:rtl/>
        </w:rPr>
        <w:t>תוכניות</w:t>
      </w:r>
      <w:r w:rsidRPr="00211D07">
        <w:rPr>
          <w:rStyle w:val="Heading7Char"/>
          <w:rFonts w:ascii="Tahoma" w:hAnsi="Tahoma" w:cs="Tahoma"/>
          <w:sz w:val="18"/>
          <w:szCs w:val="18"/>
          <w:rtl/>
        </w:rPr>
        <w:t xml:space="preserve"> למניעת שימוש בסמים: </w:t>
      </w:r>
      <w:r w:rsidRPr="00211D07">
        <w:rPr>
          <w:rFonts w:hint="cs"/>
          <w:sz w:val="18"/>
          <w:szCs w:val="18"/>
          <w:rtl/>
        </w:rPr>
        <w:t>ב</w:t>
      </w:r>
      <w:r w:rsidRPr="00211D07">
        <w:rPr>
          <w:sz w:val="18"/>
          <w:szCs w:val="18"/>
          <w:rtl/>
        </w:rPr>
        <w:t xml:space="preserve">שנים </w:t>
      </w:r>
      <w:r w:rsidRPr="00211D07">
        <w:rPr>
          <w:rFonts w:hint="cs"/>
          <w:sz w:val="18"/>
          <w:szCs w:val="18"/>
          <w:rtl/>
        </w:rPr>
        <w:t>2014-2011</w:t>
      </w:r>
      <w:r w:rsidRPr="00211D07">
        <w:rPr>
          <w:sz w:val="18"/>
          <w:szCs w:val="18"/>
          <w:rtl/>
        </w:rPr>
        <w:t xml:space="preserve"> חלה עלייה </w:t>
      </w:r>
      <w:r w:rsidRPr="00211D07">
        <w:rPr>
          <w:rFonts w:hint="cs"/>
          <w:sz w:val="18"/>
          <w:szCs w:val="18"/>
          <w:rtl/>
        </w:rPr>
        <w:t>של ממש</w:t>
      </w:r>
      <w:r w:rsidRPr="00211D07">
        <w:rPr>
          <w:sz w:val="18"/>
          <w:szCs w:val="18"/>
          <w:rtl/>
        </w:rPr>
        <w:t xml:space="preserve"> בשיעור בני הנוער שמדווחים על שימוש בסמים</w:t>
      </w:r>
      <w:r>
        <w:rPr>
          <w:sz w:val="18"/>
          <w:szCs w:val="18"/>
          <w:vertAlign w:val="superscript"/>
          <w:rtl/>
        </w:rPr>
        <w:footnoteReference w:id="83"/>
      </w:r>
      <w:r w:rsidRPr="00211D07">
        <w:rPr>
          <w:sz w:val="18"/>
          <w:szCs w:val="18"/>
          <w:rtl/>
        </w:rPr>
        <w:t>.</w:t>
      </w:r>
      <w:r w:rsidRPr="00211D07">
        <w:rPr>
          <w:rFonts w:hint="cs"/>
          <w:sz w:val="18"/>
          <w:szCs w:val="18"/>
          <w:rtl/>
        </w:rPr>
        <w:t xml:space="preserve"> במחקר שנערך בשנת 2014</w:t>
      </w:r>
      <w:r>
        <w:rPr>
          <w:sz w:val="18"/>
          <w:szCs w:val="18"/>
          <w:vertAlign w:val="superscript"/>
          <w:rtl/>
        </w:rPr>
        <w:footnoteReference w:id="84"/>
      </w:r>
      <w:r w:rsidRPr="00211D07">
        <w:rPr>
          <w:sz w:val="18"/>
          <w:szCs w:val="18"/>
          <w:rtl/>
        </w:rPr>
        <w:t xml:space="preserve"> </w:t>
      </w:r>
      <w:r w:rsidRPr="00211D07">
        <w:rPr>
          <w:rFonts w:hint="cs"/>
          <w:sz w:val="18"/>
          <w:szCs w:val="18"/>
          <w:rtl/>
        </w:rPr>
        <w:t xml:space="preserve">דיווחו </w:t>
      </w:r>
      <w:r w:rsidRPr="00211D07">
        <w:rPr>
          <w:sz w:val="18"/>
          <w:szCs w:val="18"/>
          <w:rtl/>
        </w:rPr>
        <w:t>14.6% מהבנים במגזר היהודי בכיתות י'-י"ב ו-19% מהבנים במגזר הערבי על שימוש בחשיש או מריחואנה לפחות פעם אחת בעבר</w:t>
      </w:r>
      <w:r w:rsidRPr="00211D07">
        <w:rPr>
          <w:rFonts w:hint="cs"/>
          <w:sz w:val="18"/>
          <w:szCs w:val="18"/>
          <w:rtl/>
        </w:rPr>
        <w:t>;</w:t>
      </w:r>
      <w:r w:rsidRPr="00211D07">
        <w:rPr>
          <w:sz w:val="18"/>
          <w:szCs w:val="18"/>
          <w:rtl/>
        </w:rPr>
        <w:t xml:space="preserve"> 4.7% מהבנים במגזר היהודי ו-20.7% מהבנים במגזר הער</w:t>
      </w:r>
      <w:r w:rsidRPr="00211D07">
        <w:rPr>
          <w:rFonts w:hint="cs"/>
          <w:sz w:val="18"/>
          <w:szCs w:val="18"/>
          <w:rtl/>
        </w:rPr>
        <w:t xml:space="preserve">בי דיווחו </w:t>
      </w:r>
      <w:r w:rsidRPr="00211D07">
        <w:rPr>
          <w:sz w:val="18"/>
          <w:szCs w:val="18"/>
          <w:rtl/>
        </w:rPr>
        <w:t>על שימוש באקסטזי או ב-</w:t>
      </w:r>
      <w:r w:rsidRPr="00211D07">
        <w:rPr>
          <w:sz w:val="18"/>
          <w:szCs w:val="18"/>
        </w:rPr>
        <w:t>LSD</w:t>
      </w:r>
      <w:r w:rsidRPr="00211D07">
        <w:rPr>
          <w:sz w:val="18"/>
          <w:szCs w:val="18"/>
          <w:rtl/>
        </w:rPr>
        <w:t xml:space="preserve"> לפחות פעם אחת ב-12 החודשים שקדמו למילוי השאלון</w:t>
      </w:r>
      <w:r w:rsidRPr="00211D07">
        <w:rPr>
          <w:rFonts w:hint="cs"/>
          <w:sz w:val="18"/>
          <w:szCs w:val="18"/>
          <w:rtl/>
        </w:rPr>
        <w:t>;</w:t>
      </w:r>
      <w:r w:rsidRPr="00211D07">
        <w:rPr>
          <w:sz w:val="18"/>
          <w:szCs w:val="18"/>
          <w:rtl/>
        </w:rPr>
        <w:t xml:space="preserve"> 19.</w:t>
      </w:r>
      <w:r w:rsidRPr="00211D07">
        <w:rPr>
          <w:rFonts w:hint="cs"/>
          <w:sz w:val="18"/>
          <w:szCs w:val="18"/>
          <w:rtl/>
        </w:rPr>
        <w:t>3</w:t>
      </w:r>
      <w:r w:rsidRPr="00211D07">
        <w:rPr>
          <w:sz w:val="18"/>
          <w:szCs w:val="18"/>
          <w:rtl/>
        </w:rPr>
        <w:t xml:space="preserve">% מהבנים בכיתות י' דיווחו כי השימוש הראשון שלהם בחשיש או </w:t>
      </w:r>
      <w:r w:rsidRPr="00211D07">
        <w:rPr>
          <w:rFonts w:hint="cs"/>
          <w:sz w:val="18"/>
          <w:szCs w:val="18"/>
          <w:rtl/>
        </w:rPr>
        <w:t>ב</w:t>
      </w:r>
      <w:r w:rsidRPr="00211D07">
        <w:rPr>
          <w:sz w:val="18"/>
          <w:szCs w:val="18"/>
          <w:rtl/>
        </w:rPr>
        <w:t>מריחואנה היה בגיל 11 או לפני כן</w:t>
      </w:r>
      <w:r w:rsidRPr="00211D07">
        <w:rPr>
          <w:rFonts w:hint="cs"/>
          <w:sz w:val="18"/>
          <w:szCs w:val="18"/>
          <w:rtl/>
        </w:rPr>
        <w:t>, ובחלוקה לפי מגזרים:</w:t>
      </w:r>
      <w:r w:rsidRPr="00211D07">
        <w:rPr>
          <w:sz w:val="18"/>
          <w:szCs w:val="18"/>
          <w:rtl/>
        </w:rPr>
        <w:t xml:space="preserve"> 19.7% מהבנים במגזר היהודי ו-16.7% מהבנים במגזר הערבי.</w:t>
      </w:r>
      <w:r w:rsidRPr="00211D07">
        <w:rPr>
          <w:rFonts w:hint="cs"/>
          <w:sz w:val="18"/>
          <w:szCs w:val="18"/>
          <w:rtl/>
        </w:rPr>
        <w:t xml:space="preserve"> נתונים אלו </w:t>
      </w:r>
      <w:r w:rsidRPr="00211D07">
        <w:rPr>
          <w:rFonts w:hint="cs"/>
          <w:sz w:val="18"/>
          <w:szCs w:val="18"/>
          <w:rtl/>
        </w:rPr>
        <w:t xml:space="preserve">מצביעים על כך שאחד מחמישה תלמידים דיווח כי החל להשתמש בסמים עוד בגיל חטיבת הביניים </w:t>
      </w:r>
      <w:r w:rsidRPr="00211D07">
        <w:rPr>
          <w:sz w:val="18"/>
          <w:szCs w:val="18"/>
          <w:rtl/>
        </w:rPr>
        <w:t>-</w:t>
      </w:r>
      <w:r w:rsidRPr="00211D07">
        <w:rPr>
          <w:rFonts w:hint="cs"/>
          <w:sz w:val="18"/>
          <w:szCs w:val="18"/>
          <w:rtl/>
        </w:rPr>
        <w:t xml:space="preserve"> לפיכך היה ניתן לצפות שנושא השימוש בסמים יטופל בהתאמה לגיל התלמידים כבר בחטיבות הביניים.</w:t>
      </w:r>
    </w:p>
    <w:p w:rsidR="009B6D36" w:rsidRPr="00211D07" w:rsidP="00E9129B">
      <w:pPr>
        <w:pStyle w:val="RESHET"/>
        <w:ind w:left="567"/>
        <w:rPr>
          <w:sz w:val="18"/>
          <w:rtl/>
        </w:rPr>
      </w:pPr>
      <w:r w:rsidRPr="00E9129B">
        <w:rPr>
          <w:rFonts w:hint="cs"/>
          <w:sz w:val="18"/>
          <w:rtl/>
        </w:rPr>
        <w:t xml:space="preserve">בביקורת עלה כי התוכנית כישורי חיים המיועדת לביה"ס היסודיים וחטיבות הביניים אינה כוללת פעילות מובנית בנושא הסמים עד סוף כיתה ח'. </w:t>
      </w:r>
      <w:r w:rsidRPr="00E9129B">
        <w:rPr>
          <w:sz w:val="18"/>
          <w:rtl/>
        </w:rPr>
        <w:t>מסקר היועצות עלה כי</w:t>
      </w:r>
      <w:r w:rsidRPr="00E9129B">
        <w:rPr>
          <w:rFonts w:hint="cs"/>
          <w:sz w:val="18"/>
          <w:rtl/>
        </w:rPr>
        <w:t xml:space="preserve"> 23% </w:t>
      </w:r>
      <w:r w:rsidRPr="00E9129B">
        <w:rPr>
          <w:sz w:val="18"/>
          <w:rtl/>
        </w:rPr>
        <w:t xml:space="preserve">מהיועצות החינוכיות בחטיבות העליונות </w:t>
      </w:r>
      <w:r w:rsidRPr="00E9129B">
        <w:rPr>
          <w:rFonts w:hint="cs"/>
          <w:sz w:val="18"/>
          <w:rtl/>
        </w:rPr>
        <w:t xml:space="preserve">ויותר ממחצית היועצות </w:t>
      </w:r>
      <w:r w:rsidRPr="00E9129B">
        <w:rPr>
          <w:sz w:val="18"/>
          <w:rtl/>
        </w:rPr>
        <w:t>בחטיבות הביניים</w:t>
      </w:r>
      <w:r w:rsidRPr="00E9129B">
        <w:rPr>
          <w:rFonts w:hint="cs"/>
          <w:sz w:val="18"/>
          <w:rtl/>
        </w:rPr>
        <w:t xml:space="preserve"> -</w:t>
      </w:r>
      <w:r w:rsidRPr="00E9129B">
        <w:rPr>
          <w:sz w:val="18"/>
          <w:rtl/>
        </w:rPr>
        <w:t xml:space="preserve"> </w:t>
      </w:r>
      <w:r w:rsidRPr="00E9129B">
        <w:rPr>
          <w:rFonts w:hint="cs"/>
          <w:sz w:val="18"/>
          <w:rtl/>
        </w:rPr>
        <w:t>52%</w:t>
      </w:r>
      <w:r w:rsidRPr="00E9129B">
        <w:rPr>
          <w:sz w:val="18"/>
          <w:rtl/>
        </w:rPr>
        <w:t xml:space="preserve"> מהן </w:t>
      </w:r>
      <w:r w:rsidRPr="00E9129B">
        <w:rPr>
          <w:rFonts w:hint="cs"/>
          <w:sz w:val="18"/>
          <w:rtl/>
        </w:rPr>
        <w:t xml:space="preserve">- </w:t>
      </w:r>
      <w:r w:rsidRPr="00E9129B">
        <w:rPr>
          <w:sz w:val="18"/>
          <w:rtl/>
        </w:rPr>
        <w:t>לא הדגישו בעבודה עם התלמידים את מניעת השימוש בסמים</w:t>
      </w:r>
      <w:r w:rsidRPr="00E9129B">
        <w:rPr>
          <w:rFonts w:hint="cs"/>
          <w:sz w:val="18"/>
          <w:rtl/>
        </w:rPr>
        <w:t>.</w:t>
      </w:r>
      <w:r w:rsidRPr="00211D07">
        <w:rPr>
          <w:rFonts w:hint="cs"/>
          <w:sz w:val="18"/>
          <w:rtl/>
        </w:rPr>
        <w:t xml:space="preserve"> </w:t>
      </w:r>
    </w:p>
    <w:p w:rsidR="009B6D36" w:rsidRPr="00211D07" w:rsidP="00E9129B">
      <w:pPr>
        <w:pStyle w:val="RESHET"/>
        <w:rPr>
          <w:rtl/>
        </w:rPr>
      </w:pPr>
      <w:r w:rsidRPr="00211D07">
        <w:rPr>
          <w:rFonts w:hint="cs"/>
          <w:rtl/>
        </w:rPr>
        <w:t xml:space="preserve">בשנים האחרונות חל גידול של ממש בדיווח של תלמידים על התנהגויות סיכון - שתייה מופרזת והשתכרות ושימוש בסמים; יתר על כן, תלמידים מדווחים כי </w:t>
      </w:r>
      <w:r w:rsidRPr="00211D07">
        <w:rPr>
          <w:rtl/>
        </w:rPr>
        <w:t xml:space="preserve">השימוש הראשון שלהם בחשיש או </w:t>
      </w:r>
      <w:r w:rsidRPr="00211D07">
        <w:rPr>
          <w:rFonts w:hint="cs"/>
          <w:rtl/>
        </w:rPr>
        <w:t>ב</w:t>
      </w:r>
      <w:r w:rsidRPr="00211D07">
        <w:rPr>
          <w:rtl/>
        </w:rPr>
        <w:t xml:space="preserve">מריחואנה היה </w:t>
      </w:r>
      <w:r w:rsidRPr="00211D07">
        <w:rPr>
          <w:rFonts w:hint="eastAsia"/>
          <w:rtl/>
        </w:rPr>
        <w:t>כבר</w:t>
      </w:r>
      <w:r w:rsidRPr="00211D07">
        <w:rPr>
          <w:rFonts w:hint="cs"/>
          <w:rtl/>
        </w:rPr>
        <w:t xml:space="preserve"> </w:t>
      </w:r>
      <w:r w:rsidRPr="00211D07">
        <w:rPr>
          <w:rtl/>
        </w:rPr>
        <w:t>בגיל 11 או לפני כן</w:t>
      </w:r>
      <w:r w:rsidRPr="00211D07">
        <w:rPr>
          <w:rFonts w:hint="cs"/>
          <w:rtl/>
        </w:rPr>
        <w:t>,</w:t>
      </w:r>
      <w:r w:rsidRPr="00211D07">
        <w:rPr>
          <w:rtl/>
        </w:rPr>
        <w:t xml:space="preserve"> </w:t>
      </w:r>
      <w:r w:rsidRPr="00211D07">
        <w:rPr>
          <w:rFonts w:hint="cs"/>
          <w:rtl/>
        </w:rPr>
        <w:t>ו</w:t>
      </w:r>
      <w:r w:rsidRPr="00211D07">
        <w:rPr>
          <w:rtl/>
        </w:rPr>
        <w:t>הגיל הממוצע להתנסות ראשונה בשתיית אלכוהול הוא 12-11</w:t>
      </w:r>
      <w:r w:rsidRPr="00211D07">
        <w:rPr>
          <w:rFonts w:hint="cs"/>
          <w:rtl/>
        </w:rPr>
        <w:t xml:space="preserve"> (גיל בית ספר יסודי). למשרד החינוך יש תפקיד מרכזי במניעת התמכרויות, ואולם עלה בביקורת שה</w:t>
      </w:r>
      <w:r w:rsidRPr="00211D07">
        <w:rPr>
          <w:rtl/>
        </w:rPr>
        <w:t xml:space="preserve">פעילות </w:t>
      </w:r>
      <w:r w:rsidRPr="00211D07">
        <w:rPr>
          <w:rFonts w:hint="cs"/>
          <w:rtl/>
        </w:rPr>
        <w:t xml:space="preserve">של </w:t>
      </w:r>
      <w:r w:rsidRPr="00211D07">
        <w:rPr>
          <w:rtl/>
        </w:rPr>
        <w:t xml:space="preserve">משרד החינוך </w:t>
      </w:r>
      <w:r w:rsidRPr="00211D07">
        <w:rPr>
          <w:rFonts w:hint="cs"/>
          <w:rtl/>
        </w:rPr>
        <w:t>ל</w:t>
      </w:r>
      <w:r w:rsidRPr="00211D07">
        <w:rPr>
          <w:rtl/>
        </w:rPr>
        <w:t>מניעת התנהגויות סיכון</w:t>
      </w:r>
      <w:r w:rsidRPr="00211D07">
        <w:rPr>
          <w:rFonts w:hint="cs"/>
          <w:rtl/>
        </w:rPr>
        <w:t xml:space="preserve"> </w:t>
      </w:r>
      <w:r w:rsidRPr="00211D07">
        <w:rPr>
          <w:rtl/>
        </w:rPr>
        <w:t xml:space="preserve">היא </w:t>
      </w:r>
      <w:r w:rsidRPr="00211D07">
        <w:rPr>
          <w:rFonts w:hint="cs"/>
          <w:rtl/>
        </w:rPr>
        <w:t>חלקית.</w:t>
      </w:r>
    </w:p>
    <w:p w:rsidR="009B6D36" w:rsidRPr="00211D07" w:rsidP="00E9129B">
      <w:pPr>
        <w:spacing w:before="180" w:after="240" w:line="240" w:lineRule="exact"/>
        <w:ind w:right="2268"/>
        <w:jc w:val="both"/>
        <w:rPr>
          <w:rFonts w:ascii="Tahoma" w:hAnsi="Tahoma" w:cs="Tahoma"/>
          <w:sz w:val="18"/>
          <w:szCs w:val="18"/>
          <w:rtl/>
        </w:rPr>
      </w:pPr>
      <w:r w:rsidRPr="00211D07">
        <w:rPr>
          <w:rFonts w:ascii="Tahoma" w:hAnsi="Tahoma" w:cs="Tahoma"/>
          <w:sz w:val="18"/>
          <w:szCs w:val="18"/>
          <w:rtl/>
        </w:rPr>
        <w:t>משרד ה</w:t>
      </w:r>
      <w:r w:rsidRPr="00211D07">
        <w:rPr>
          <w:rFonts w:ascii="Tahoma" w:hAnsi="Tahoma" w:cs="Tahoma" w:hint="cs"/>
          <w:sz w:val="18"/>
          <w:szCs w:val="18"/>
          <w:rtl/>
        </w:rPr>
        <w:t>חינוך</w:t>
      </w:r>
      <w:r w:rsidRPr="00211D07">
        <w:rPr>
          <w:rFonts w:ascii="Tahoma" w:hAnsi="Tahoma" w:cs="Tahoma"/>
          <w:sz w:val="18"/>
          <w:szCs w:val="18"/>
          <w:rtl/>
        </w:rPr>
        <w:t xml:space="preserve"> </w:t>
      </w:r>
      <w:r w:rsidRPr="00211D07">
        <w:rPr>
          <w:rFonts w:ascii="Tahoma" w:hAnsi="Tahoma" w:cs="Tahoma" w:hint="cs"/>
          <w:sz w:val="18"/>
          <w:szCs w:val="18"/>
          <w:rtl/>
        </w:rPr>
        <w:t>ציין בתשובתו מ</w:t>
      </w:r>
      <w:r w:rsidRPr="00211D07">
        <w:rPr>
          <w:rFonts w:ascii="Tahoma" w:hAnsi="Tahoma" w:cs="Tahoma"/>
          <w:sz w:val="18"/>
          <w:szCs w:val="18"/>
          <w:rtl/>
        </w:rPr>
        <w:t xml:space="preserve">נובמבר 2018 </w:t>
      </w:r>
      <w:r w:rsidRPr="00211D07">
        <w:rPr>
          <w:rFonts w:ascii="Tahoma" w:hAnsi="Tahoma" w:cs="Tahoma" w:hint="cs"/>
          <w:sz w:val="18"/>
          <w:szCs w:val="18"/>
          <w:rtl/>
        </w:rPr>
        <w:t>כי "</w:t>
      </w:r>
      <w:r w:rsidRPr="00211D07">
        <w:rPr>
          <w:rFonts w:ascii="Tahoma" w:hAnsi="Tahoma" w:cs="Tahoma"/>
          <w:sz w:val="18"/>
          <w:szCs w:val="18"/>
          <w:rtl/>
        </w:rPr>
        <w:t>הבחירה להדגיש בת</w:t>
      </w:r>
      <w:r w:rsidRPr="00211D07">
        <w:rPr>
          <w:rFonts w:ascii="Tahoma" w:hAnsi="Tahoma" w:cs="Tahoma" w:hint="cs"/>
          <w:sz w:val="18"/>
          <w:szCs w:val="18"/>
          <w:rtl/>
        </w:rPr>
        <w:t>ו</w:t>
      </w:r>
      <w:r w:rsidRPr="00211D07">
        <w:rPr>
          <w:rFonts w:ascii="Tahoma" w:hAnsi="Tahoma" w:cs="Tahoma"/>
          <w:sz w:val="18"/>
          <w:szCs w:val="18"/>
          <w:rtl/>
        </w:rPr>
        <w:t>כניות המניעה את נושא האלכוהול או הסמים, תלויה במאפייני הגיל, במאפיינים התרבותיים של ביה"ס, באירועים המתרחשים וכל זאת על פי שיקול דעת הצוות החינוכי.</w:t>
      </w:r>
      <w:r w:rsidRPr="00211D07">
        <w:rPr>
          <w:rFonts w:ascii="Tahoma" w:hAnsi="Tahoma" w:cs="Tahoma" w:hint="cs"/>
          <w:sz w:val="18"/>
          <w:szCs w:val="18"/>
          <w:rtl/>
        </w:rPr>
        <w:t>..</w:t>
      </w:r>
      <w:r w:rsidRPr="00211D07">
        <w:rPr>
          <w:rFonts w:ascii="Tahoma" w:hAnsi="Tahoma" w:cs="Tahoma"/>
          <w:sz w:val="18"/>
          <w:szCs w:val="18"/>
          <w:rtl/>
        </w:rPr>
        <w:t xml:space="preserve"> ישנם בתי הספר המדגישים בשנה מסוימת עיסוק בנושא אחד ובשנה אחרת מדגישים עיסוק בנושא אחר</w:t>
      </w:r>
      <w:r w:rsidRPr="00211D07">
        <w:rPr>
          <w:rFonts w:ascii="Tahoma" w:hAnsi="Tahoma" w:cs="Tahoma" w:hint="cs"/>
          <w:sz w:val="18"/>
          <w:szCs w:val="18"/>
          <w:rtl/>
        </w:rPr>
        <w:t>"</w:t>
      </w:r>
      <w:r w:rsidRPr="00211D07">
        <w:rPr>
          <w:rFonts w:ascii="Tahoma" w:hAnsi="Tahoma" w:cs="Tahoma"/>
          <w:sz w:val="18"/>
          <w:szCs w:val="18"/>
          <w:rtl/>
        </w:rPr>
        <w:t>.</w:t>
      </w:r>
      <w:r w:rsidRPr="00211D07">
        <w:rPr>
          <w:rFonts w:ascii="Tahoma" w:hAnsi="Tahoma" w:cs="Tahoma" w:hint="cs"/>
          <w:sz w:val="18"/>
          <w:szCs w:val="18"/>
          <w:rtl/>
        </w:rPr>
        <w:t xml:space="preserve"> עוד ציין משרד החינוך בתשובתו כי הוא "</w:t>
      </w:r>
      <w:r w:rsidRPr="00211D07">
        <w:rPr>
          <w:rFonts w:ascii="Tahoma" w:hAnsi="Tahoma" w:cs="Tahoma"/>
          <w:sz w:val="18"/>
          <w:szCs w:val="18"/>
          <w:rtl/>
        </w:rPr>
        <w:t>מגדיר נושאים רחבים המחייבים עיסוק עם בני נוער ומאפשר שיקול דעת, הרחבה, דיוק והעמקה בהתאם לצרכים.</w:t>
      </w:r>
      <w:r w:rsidRPr="00211D07">
        <w:rPr>
          <w:rFonts w:ascii="Tahoma" w:hAnsi="Tahoma" w:cs="Tahoma" w:hint="cs"/>
          <w:sz w:val="18"/>
          <w:szCs w:val="18"/>
          <w:rtl/>
        </w:rPr>
        <w:t xml:space="preserve">.. </w:t>
      </w:r>
      <w:r w:rsidRPr="00211D07">
        <w:rPr>
          <w:rFonts w:ascii="Tahoma" w:hAnsi="Tahoma" w:cs="Tahoma"/>
          <w:sz w:val="18"/>
          <w:szCs w:val="18"/>
          <w:rtl/>
        </w:rPr>
        <w:t>חשוב לקחת בחשבון את ריבוי הנושאים שיש לעסוק בהם במסגרת הזמן הנתון המוקדש לתכנית כישורי חיים, וכי ליועצים יש אוטונומיה בבחירת הנושאים בהתייחס למשאב הזמן המוגבל. ובסופו של דבר נקודת המוצא כי שיח רגשי המתמקד בסוגיות רלוונטיות למתבגרים מחזק את כישורי ההתמודדות ומפחית התנהגויות סיכון</w:t>
      </w:r>
      <w:r w:rsidRPr="00211D07">
        <w:rPr>
          <w:rFonts w:ascii="Tahoma" w:hAnsi="Tahoma" w:cs="Tahoma" w:hint="cs"/>
          <w:sz w:val="18"/>
          <w:szCs w:val="18"/>
          <w:rtl/>
        </w:rPr>
        <w:t>"</w:t>
      </w:r>
      <w:r w:rsidRPr="00211D07">
        <w:rPr>
          <w:rFonts w:ascii="Tahoma" w:hAnsi="Tahoma" w:cs="Tahoma"/>
          <w:sz w:val="18"/>
          <w:szCs w:val="18"/>
          <w:rtl/>
        </w:rPr>
        <w:t>.</w:t>
      </w:r>
    </w:p>
    <w:p w:rsidR="009B6D36" w:rsidRPr="00211D07" w:rsidP="00E9129B">
      <w:pPr>
        <w:pStyle w:val="RESHET"/>
        <w:rPr>
          <w:rtl/>
        </w:rPr>
      </w:pPr>
      <w:r w:rsidRPr="00211D07">
        <w:rPr>
          <w:rFonts w:hint="eastAsia"/>
          <w:rtl/>
        </w:rPr>
        <w:t>המגמות</w:t>
      </w:r>
      <w:r w:rsidRPr="00211D07">
        <w:rPr>
          <w:rtl/>
        </w:rPr>
        <w:t xml:space="preserve"> </w:t>
      </w:r>
      <w:r w:rsidRPr="00211D07">
        <w:rPr>
          <w:rFonts w:hint="eastAsia"/>
          <w:rtl/>
        </w:rPr>
        <w:t>המסתמנות</w:t>
      </w:r>
      <w:r w:rsidRPr="00211D07">
        <w:rPr>
          <w:rtl/>
        </w:rPr>
        <w:t xml:space="preserve"> </w:t>
      </w:r>
      <w:r w:rsidRPr="00211D07">
        <w:rPr>
          <w:rFonts w:hint="eastAsia"/>
          <w:rtl/>
        </w:rPr>
        <w:t>ב</w:t>
      </w:r>
      <w:r w:rsidRPr="00211D07">
        <w:rPr>
          <w:rFonts w:hint="cs"/>
          <w:rtl/>
        </w:rPr>
        <w:t>נוגע</w:t>
      </w:r>
      <w:r w:rsidRPr="00211D07">
        <w:rPr>
          <w:rtl/>
        </w:rPr>
        <w:t xml:space="preserve"> לשימוש בחומרים ממכרים בקרב תלמידים - </w:t>
      </w:r>
      <w:r w:rsidRPr="00211D07">
        <w:rPr>
          <w:rFonts w:hint="eastAsia"/>
          <w:rtl/>
        </w:rPr>
        <w:t>ה</w:t>
      </w:r>
      <w:r w:rsidRPr="00211D07">
        <w:rPr>
          <w:rtl/>
        </w:rPr>
        <w:t xml:space="preserve">ירידה בגיל ההתחלה של שתיית אלכוהול </w:t>
      </w:r>
      <w:r w:rsidRPr="00211D07">
        <w:rPr>
          <w:rFonts w:hint="eastAsia"/>
          <w:rtl/>
        </w:rPr>
        <w:t>וה</w:t>
      </w:r>
      <w:r w:rsidRPr="00211D07">
        <w:rPr>
          <w:rFonts w:hint="cs"/>
          <w:rtl/>
        </w:rPr>
        <w:t>גידול</w:t>
      </w:r>
      <w:r w:rsidRPr="00211D07">
        <w:rPr>
          <w:rtl/>
        </w:rPr>
        <w:t xml:space="preserve"> בדיווח של תלמידים על התנהגויות סיכון </w:t>
      </w:r>
      <w:r w:rsidRPr="00211D07">
        <w:rPr>
          <w:rFonts w:hint="cs"/>
          <w:rtl/>
        </w:rPr>
        <w:t xml:space="preserve">- </w:t>
      </w:r>
      <w:r w:rsidRPr="00211D07">
        <w:rPr>
          <w:rFonts w:hint="eastAsia"/>
          <w:rtl/>
        </w:rPr>
        <w:t>מ</w:t>
      </w:r>
      <w:r w:rsidRPr="00211D07">
        <w:rPr>
          <w:rFonts w:hint="cs"/>
          <w:rtl/>
        </w:rPr>
        <w:t>עידות</w:t>
      </w:r>
      <w:r w:rsidRPr="00211D07">
        <w:rPr>
          <w:rtl/>
        </w:rPr>
        <w:t xml:space="preserve"> על </w:t>
      </w:r>
      <w:r w:rsidRPr="00211D07">
        <w:rPr>
          <w:rFonts w:hint="eastAsia"/>
          <w:rtl/>
        </w:rPr>
        <w:t>הצורך</w:t>
      </w:r>
      <w:r w:rsidRPr="00211D07">
        <w:rPr>
          <w:rtl/>
        </w:rPr>
        <w:t xml:space="preserve"> </w:t>
      </w:r>
      <w:r w:rsidRPr="00211D07">
        <w:rPr>
          <w:rFonts w:hint="eastAsia"/>
          <w:rtl/>
        </w:rPr>
        <w:t>שמשרד</w:t>
      </w:r>
      <w:r w:rsidRPr="00211D07">
        <w:rPr>
          <w:rtl/>
        </w:rPr>
        <w:t xml:space="preserve"> החינוך </w:t>
      </w:r>
      <w:r w:rsidRPr="00211D07">
        <w:rPr>
          <w:rFonts w:hint="eastAsia"/>
          <w:rtl/>
        </w:rPr>
        <w:t>יבחן</w:t>
      </w:r>
      <w:r w:rsidRPr="00211D07">
        <w:rPr>
          <w:rtl/>
        </w:rPr>
        <w:t xml:space="preserve"> </w:t>
      </w:r>
      <w:r w:rsidRPr="00211D07">
        <w:rPr>
          <w:rFonts w:hint="eastAsia"/>
          <w:rtl/>
        </w:rPr>
        <w:t>אם</w:t>
      </w:r>
      <w:r w:rsidRPr="00211D07">
        <w:rPr>
          <w:rtl/>
        </w:rPr>
        <w:t xml:space="preserve"> </w:t>
      </w:r>
      <w:r w:rsidRPr="00211D07">
        <w:rPr>
          <w:rFonts w:hint="eastAsia"/>
          <w:rtl/>
        </w:rPr>
        <w:t>תוכניותיו</w:t>
      </w:r>
      <w:r w:rsidRPr="00211D07">
        <w:rPr>
          <w:rtl/>
        </w:rPr>
        <w:t xml:space="preserve"> למניעת התנהגויות סיכון והנחיותיו לגורמים המקצועיים </w:t>
      </w:r>
      <w:r w:rsidRPr="00211D07">
        <w:rPr>
          <w:rFonts w:hint="eastAsia"/>
          <w:rtl/>
        </w:rPr>
        <w:t>נותנות</w:t>
      </w:r>
      <w:r w:rsidRPr="00211D07">
        <w:rPr>
          <w:rtl/>
        </w:rPr>
        <w:t xml:space="preserve"> </w:t>
      </w:r>
      <w:r w:rsidRPr="00211D07">
        <w:rPr>
          <w:rFonts w:hint="cs"/>
          <w:rtl/>
        </w:rPr>
        <w:t>פתרון</w:t>
      </w:r>
      <w:r w:rsidRPr="00211D07">
        <w:rPr>
          <w:rtl/>
        </w:rPr>
        <w:t xml:space="preserve"> </w:t>
      </w:r>
      <w:r w:rsidRPr="00211D07">
        <w:rPr>
          <w:rFonts w:hint="eastAsia"/>
          <w:rtl/>
        </w:rPr>
        <w:t>מספק</w:t>
      </w:r>
      <w:r w:rsidRPr="00211D07">
        <w:rPr>
          <w:rFonts w:hint="cs"/>
          <w:rtl/>
        </w:rPr>
        <w:t xml:space="preserve"> לבעיה</w:t>
      </w:r>
      <w:r w:rsidRPr="00211D07">
        <w:rPr>
          <w:rtl/>
        </w:rPr>
        <w:t>.</w:t>
      </w:r>
    </w:p>
    <w:p w:rsidR="009B6D36" w:rsidRPr="00211D07" w:rsidP="00211D07">
      <w:pPr>
        <w:spacing w:line="240" w:lineRule="exact"/>
        <w:ind w:right="2268"/>
        <w:jc w:val="both"/>
        <w:rPr>
          <w:rFonts w:ascii="Tahoma" w:hAnsi="Tahoma" w:cs="Tahoma"/>
          <w:sz w:val="18"/>
          <w:szCs w:val="18"/>
          <w:rtl/>
        </w:rPr>
      </w:pPr>
    </w:p>
    <w:p w:rsidR="00E9129B">
      <w:pPr>
        <w:bidi w:val="0"/>
        <w:rPr>
          <w:rFonts w:ascii="Tahoma" w:eastAsia="Times New Roman" w:hAnsi="Tahoma" w:cs="Tahoma"/>
          <w:color w:val="009692"/>
          <w:sz w:val="32"/>
          <w:szCs w:val="32"/>
          <w:rtl/>
        </w:rPr>
      </w:pPr>
      <w:r>
        <w:rPr>
          <w:rtl/>
        </w:rPr>
        <w:br w:type="page"/>
      </w:r>
    </w:p>
    <w:p w:rsidR="009B6D36" w:rsidP="00211D07">
      <w:pPr>
        <w:pStyle w:val="KOT4"/>
      </w:pPr>
      <w:r>
        <w:rPr>
          <w:rFonts w:hint="cs"/>
          <w:rtl/>
        </w:rPr>
        <w:t>סיכום</w:t>
      </w:r>
    </w:p>
    <w:p w:rsidR="009B6D36" w:rsidRPr="00E9129B" w:rsidP="00335CD4">
      <w:pPr>
        <w:pStyle w:val="RESHET"/>
        <w:rPr>
          <w:rtl/>
        </w:rPr>
      </w:pPr>
      <w:r w:rsidRPr="00E9129B">
        <w:rPr>
          <w:rFonts w:hint="cs"/>
          <w:rtl/>
        </w:rPr>
        <w:t>ל</w:t>
      </w:r>
      <w:r w:rsidRPr="00E9129B">
        <w:rPr>
          <w:rtl/>
        </w:rPr>
        <w:t xml:space="preserve">פי הערכת השירות להתמכרויות </w:t>
      </w:r>
      <w:r w:rsidRPr="00E9129B">
        <w:rPr>
          <w:rFonts w:hint="cs"/>
          <w:rtl/>
        </w:rPr>
        <w:t>יותר</w:t>
      </w:r>
      <w:r w:rsidRPr="00E9129B">
        <w:rPr>
          <w:rtl/>
        </w:rPr>
        <w:t xml:space="preserve"> מ-80% </w:t>
      </w:r>
      <w:r w:rsidRPr="00E9129B">
        <w:rPr>
          <w:rFonts w:hint="cs"/>
          <w:rtl/>
        </w:rPr>
        <w:t>מ</w:t>
      </w:r>
      <w:r w:rsidRPr="00E9129B">
        <w:rPr>
          <w:rtl/>
        </w:rPr>
        <w:t>הסובלים מבעיית התמכרות א</w:t>
      </w:r>
      <w:r w:rsidRPr="00E9129B">
        <w:rPr>
          <w:rFonts w:hint="cs"/>
          <w:rtl/>
        </w:rPr>
        <w:t>ינם</w:t>
      </w:r>
      <w:r w:rsidRPr="00E9129B">
        <w:rPr>
          <w:rtl/>
        </w:rPr>
        <w:t xml:space="preserve"> מקבלים מש</w:t>
      </w:r>
      <w:r w:rsidRPr="00E9129B">
        <w:rPr>
          <w:rFonts w:hint="cs"/>
          <w:rtl/>
        </w:rPr>
        <w:t>י</w:t>
      </w:r>
      <w:r w:rsidRPr="00E9129B">
        <w:rPr>
          <w:rtl/>
        </w:rPr>
        <w:t>רותי הרווחה והבריאות טיפול בבעיית ההתמכרות שלהם</w:t>
      </w:r>
      <w:r w:rsidRPr="00E9129B">
        <w:rPr>
          <w:rFonts w:hint="cs"/>
          <w:rtl/>
        </w:rPr>
        <w:t xml:space="preserve">. מהליקויים שפורטו בדוח זה עולה </w:t>
      </w:r>
      <w:r w:rsidRPr="00E9129B">
        <w:rPr>
          <w:rFonts w:hint="eastAsia"/>
          <w:rtl/>
        </w:rPr>
        <w:t>שמשרד</w:t>
      </w:r>
      <w:r w:rsidRPr="00E9129B">
        <w:rPr>
          <w:rtl/>
        </w:rPr>
        <w:t xml:space="preserve"> </w:t>
      </w:r>
      <w:r w:rsidRPr="00E9129B">
        <w:rPr>
          <w:rFonts w:hint="eastAsia"/>
          <w:rtl/>
        </w:rPr>
        <w:t>הרווחה</w:t>
      </w:r>
      <w:r w:rsidRPr="00E9129B">
        <w:rPr>
          <w:rFonts w:hint="cs"/>
          <w:rtl/>
        </w:rPr>
        <w:t xml:space="preserve"> אינו</w:t>
      </w:r>
      <w:r w:rsidRPr="00E9129B">
        <w:rPr>
          <w:rtl/>
        </w:rPr>
        <w:t xml:space="preserve"> </w:t>
      </w:r>
      <w:r w:rsidRPr="00E9129B">
        <w:rPr>
          <w:rFonts w:hint="cs"/>
          <w:rtl/>
        </w:rPr>
        <w:t>פועל</w:t>
      </w:r>
      <w:r w:rsidRPr="00E9129B">
        <w:rPr>
          <w:rtl/>
        </w:rPr>
        <w:t xml:space="preserve"> </w:t>
      </w:r>
      <w:r w:rsidRPr="00E9129B">
        <w:rPr>
          <w:rFonts w:hint="cs"/>
          <w:rtl/>
        </w:rPr>
        <w:t>בעניין</w:t>
      </w:r>
      <w:r w:rsidRPr="00E9129B">
        <w:rPr>
          <w:rtl/>
        </w:rPr>
        <w:t xml:space="preserve"> </w:t>
      </w:r>
      <w:r w:rsidRPr="00E9129B">
        <w:rPr>
          <w:rFonts w:hint="cs"/>
          <w:rtl/>
        </w:rPr>
        <w:t>זה</w:t>
      </w:r>
      <w:r w:rsidRPr="00E9129B">
        <w:rPr>
          <w:rtl/>
        </w:rPr>
        <w:t xml:space="preserve"> </w:t>
      </w:r>
      <w:r w:rsidRPr="00E9129B">
        <w:rPr>
          <w:rFonts w:hint="cs"/>
          <w:rtl/>
        </w:rPr>
        <w:t>באופן</w:t>
      </w:r>
      <w:r w:rsidRPr="00E9129B">
        <w:rPr>
          <w:rtl/>
        </w:rPr>
        <w:t xml:space="preserve"> </w:t>
      </w:r>
      <w:r w:rsidRPr="00E9129B">
        <w:rPr>
          <w:rFonts w:hint="cs"/>
          <w:rtl/>
        </w:rPr>
        <w:t>מספק</w:t>
      </w:r>
      <w:r w:rsidRPr="00E9129B">
        <w:rPr>
          <w:rtl/>
        </w:rPr>
        <w:t xml:space="preserve">. </w:t>
      </w:r>
      <w:r w:rsidRPr="00E9129B">
        <w:rPr>
          <w:rFonts w:hint="cs"/>
          <w:rtl/>
        </w:rPr>
        <w:t>כך</w:t>
      </w:r>
      <w:r w:rsidRPr="00E9129B">
        <w:rPr>
          <w:rtl/>
        </w:rPr>
        <w:t xml:space="preserve"> </w:t>
      </w:r>
      <w:r w:rsidRPr="00E9129B">
        <w:rPr>
          <w:rFonts w:hint="cs"/>
          <w:rtl/>
        </w:rPr>
        <w:t>עלה</w:t>
      </w:r>
      <w:r w:rsidRPr="00E9129B">
        <w:rPr>
          <w:rtl/>
        </w:rPr>
        <w:t xml:space="preserve"> בביקורת כי </w:t>
      </w:r>
      <w:r w:rsidRPr="00E9129B">
        <w:rPr>
          <w:rFonts w:hint="cs"/>
          <w:rtl/>
        </w:rPr>
        <w:t>ל</w:t>
      </w:r>
      <w:r w:rsidRPr="00E9129B">
        <w:rPr>
          <w:rtl/>
        </w:rPr>
        <w:t>משרד הרווחה יש</w:t>
      </w:r>
      <w:r w:rsidRPr="00E9129B">
        <w:rPr>
          <w:rFonts w:hint="cs"/>
          <w:rtl/>
        </w:rPr>
        <w:t xml:space="preserve"> מידע </w:t>
      </w:r>
      <w:r w:rsidRPr="00E9129B">
        <w:rPr>
          <w:rtl/>
        </w:rPr>
        <w:t>לפחות לגבי חלק מהמכורים שאינם מקבלים טיפול בבעיית ההתמכרות שלהם</w:t>
      </w:r>
      <w:r w:rsidRPr="00E9129B">
        <w:rPr>
          <w:rFonts w:hint="cs"/>
          <w:rtl/>
        </w:rPr>
        <w:t>,</w:t>
      </w:r>
      <w:r w:rsidRPr="00E9129B">
        <w:rPr>
          <w:rtl/>
        </w:rPr>
        <w:t xml:space="preserve"> אך עקב ליקויים ב</w:t>
      </w:r>
      <w:r w:rsidRPr="00E9129B">
        <w:rPr>
          <w:rFonts w:hint="cs"/>
          <w:rtl/>
        </w:rPr>
        <w:t>ת</w:t>
      </w:r>
      <w:r w:rsidRPr="00E9129B">
        <w:rPr>
          <w:rtl/>
        </w:rPr>
        <w:t>הליכי האיתור ב</w:t>
      </w:r>
      <w:r w:rsidRPr="00E9129B">
        <w:rPr>
          <w:rFonts w:hint="cs"/>
          <w:rtl/>
        </w:rPr>
        <w:t>שירותי הרווחה</w:t>
      </w:r>
      <w:r w:rsidRPr="00E9129B">
        <w:rPr>
          <w:rtl/>
        </w:rPr>
        <w:t xml:space="preserve"> א</w:t>
      </w:r>
      <w:r w:rsidRPr="00E9129B">
        <w:rPr>
          <w:rFonts w:hint="cs"/>
          <w:rtl/>
        </w:rPr>
        <w:t>ין</w:t>
      </w:r>
      <w:r w:rsidRPr="00E9129B">
        <w:rPr>
          <w:rtl/>
        </w:rPr>
        <w:t xml:space="preserve"> מפנים אותם לטיפול כנדרש; השירות להתמכרויות לא ניצל את כל התקציב שניתן לו לטיפול במכורים בשנים 2018-2017 והדבר בולט ב</w:t>
      </w:r>
      <w:r w:rsidRPr="00E9129B">
        <w:rPr>
          <w:rFonts w:hint="cs"/>
          <w:rtl/>
        </w:rPr>
        <w:t>ייחוד</w:t>
      </w:r>
      <w:r w:rsidRPr="00E9129B">
        <w:rPr>
          <w:rtl/>
        </w:rPr>
        <w:t xml:space="preserve"> בקרב אוכלוסיית הנשים המכורות שהמחסור במענים </w:t>
      </w:r>
      <w:r w:rsidRPr="00E9129B">
        <w:rPr>
          <w:rFonts w:hint="cs"/>
          <w:rtl/>
        </w:rPr>
        <w:t>ב</w:t>
      </w:r>
      <w:r w:rsidRPr="00E9129B">
        <w:rPr>
          <w:rtl/>
        </w:rPr>
        <w:t>עבורן חמור במיוחד</w:t>
      </w:r>
      <w:r w:rsidRPr="00E9129B">
        <w:rPr>
          <w:rFonts w:hint="cs"/>
          <w:rtl/>
        </w:rPr>
        <w:t>;</w:t>
      </w:r>
      <w:r w:rsidRPr="00E9129B">
        <w:rPr>
          <w:rtl/>
        </w:rPr>
        <w:t xml:space="preserve"> עד מועד סיום הביקורת </w:t>
      </w:r>
      <w:r w:rsidRPr="00E9129B">
        <w:rPr>
          <w:rFonts w:hint="cs"/>
          <w:rtl/>
        </w:rPr>
        <w:t>ב</w:t>
      </w:r>
      <w:r w:rsidRPr="00E9129B">
        <w:rPr>
          <w:rtl/>
        </w:rPr>
        <w:t xml:space="preserve">אוגוסט 2018, כמעט 15 שנה מאז כלל מנכ"ל משרד הרווחה את הסובלים מבעיית הימורים באוכלוסיית היעד לטיפול של השירות להתמכרויות, הוא טרם </w:t>
      </w:r>
      <w:r w:rsidRPr="00E9129B">
        <w:rPr>
          <w:rFonts w:hint="cs"/>
          <w:rtl/>
        </w:rPr>
        <w:t>קבע</w:t>
      </w:r>
      <w:r w:rsidRPr="00E9129B">
        <w:rPr>
          <w:rtl/>
        </w:rPr>
        <w:t xml:space="preserve"> אם יש צורך בפיתוח מדיניות ייעודית לטיפול בסובלים מבעיית הימורים.</w:t>
      </w:r>
      <w:r w:rsidRPr="00E9129B">
        <w:rPr>
          <w:rFonts w:hint="cs"/>
          <w:rtl/>
        </w:rPr>
        <w:t xml:space="preserve"> </w:t>
      </w:r>
      <w:r w:rsidRPr="00E9129B">
        <w:rPr>
          <w:rtl/>
        </w:rPr>
        <w:t>הטיפול החסר של משרד הרווחה במכורים עלול לפגוע בסיכוי לשקמם, וכתוצאה מכך מספרם יגדל.</w:t>
      </w:r>
      <w:r w:rsidRPr="00290C9B" w:rsidR="00290C9B">
        <w:rPr>
          <w:noProof/>
          <w:szCs w:val="17"/>
          <w:rtl/>
        </w:rPr>
        <w:t xml:space="preserve"> </w:t>
      </w:r>
      <w:r w:rsidRPr="0012789B" w:rsidR="00290C9B">
        <w:rPr>
          <w:noProof/>
          <w:szCs w:val="17"/>
          <w:rtl/>
          <w:lang w:eastAsia="en-US"/>
        </w:rPr>
        <mc:AlternateContent>
          <mc:Choice Requires="wps">
            <w:drawing>
              <wp:anchor distT="0" distB="0" distL="114300" distR="114300" simplePos="0" relativeHeight="251658240" behindDoc="1" locked="0" layoutInCell="1" allowOverlap="1">
                <wp:simplePos x="0" y="0"/>
                <wp:positionH relativeFrom="margin">
                  <wp:posOffset>-431800</wp:posOffset>
                </wp:positionH>
                <wp:positionV relativeFrom="margin">
                  <wp:align>top</wp:align>
                </wp:positionV>
                <wp:extent cx="1620000" cy="4140000"/>
                <wp:effectExtent l="0" t="0" r="0" b="0"/>
                <wp:wrapNone/>
                <wp:docPr id="34"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290C9B" w:rsidRPr="00373C5D" w:rsidP="00290C9B">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40686120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210472"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290C9B" w:rsidRPr="00881D99" w:rsidP="00290C9B">
                            <w:pPr>
                              <w:spacing w:after="0" w:line="240" w:lineRule="auto"/>
                              <w:rPr>
                                <w:color w:val="0B5294"/>
                                <w:spacing w:val="-4"/>
                                <w:sz w:val="24"/>
                                <w:szCs w:val="24"/>
                                <w:rtl/>
                                <w:cs/>
                              </w:rPr>
                            </w:pPr>
                            <w:r w:rsidRPr="00335CD4">
                              <w:rPr>
                                <w:rFonts w:cs="Tahoma" w:hint="eastAsia"/>
                                <w:color w:val="0B5294"/>
                                <w:spacing w:val="-4"/>
                                <w:sz w:val="24"/>
                                <w:szCs w:val="24"/>
                                <w:rtl/>
                              </w:rPr>
                              <w:t>למשרד</w:t>
                            </w:r>
                            <w:r w:rsidRPr="00335CD4">
                              <w:rPr>
                                <w:rFonts w:cs="Tahoma"/>
                                <w:color w:val="0B5294"/>
                                <w:spacing w:val="-4"/>
                                <w:sz w:val="24"/>
                                <w:szCs w:val="24"/>
                                <w:rtl/>
                              </w:rPr>
                              <w:t xml:space="preserve"> </w:t>
                            </w:r>
                            <w:r w:rsidRPr="00335CD4">
                              <w:rPr>
                                <w:rFonts w:cs="Tahoma" w:hint="eastAsia"/>
                                <w:color w:val="0B5294"/>
                                <w:spacing w:val="-4"/>
                                <w:sz w:val="24"/>
                                <w:szCs w:val="24"/>
                                <w:rtl/>
                              </w:rPr>
                              <w:t>הרווחה</w:t>
                            </w:r>
                            <w:r w:rsidRPr="00335CD4">
                              <w:rPr>
                                <w:rFonts w:cs="Tahoma"/>
                                <w:color w:val="0B5294"/>
                                <w:spacing w:val="-4"/>
                                <w:sz w:val="24"/>
                                <w:szCs w:val="24"/>
                                <w:rtl/>
                              </w:rPr>
                              <w:t xml:space="preserve"> </w:t>
                            </w:r>
                            <w:r w:rsidRPr="00335CD4">
                              <w:rPr>
                                <w:rFonts w:cs="Tahoma" w:hint="eastAsia"/>
                                <w:color w:val="0B5294"/>
                                <w:spacing w:val="-4"/>
                                <w:sz w:val="24"/>
                                <w:szCs w:val="24"/>
                                <w:rtl/>
                              </w:rPr>
                              <w:t>יש</w:t>
                            </w:r>
                            <w:r w:rsidRPr="00335CD4">
                              <w:rPr>
                                <w:rFonts w:cs="Tahoma"/>
                                <w:color w:val="0B5294"/>
                                <w:spacing w:val="-4"/>
                                <w:sz w:val="24"/>
                                <w:szCs w:val="24"/>
                                <w:rtl/>
                              </w:rPr>
                              <w:t xml:space="preserve"> </w:t>
                            </w:r>
                            <w:r w:rsidRPr="00335CD4">
                              <w:rPr>
                                <w:rFonts w:cs="Tahoma" w:hint="eastAsia"/>
                                <w:color w:val="0B5294"/>
                                <w:spacing w:val="-4"/>
                                <w:sz w:val="24"/>
                                <w:szCs w:val="24"/>
                                <w:rtl/>
                              </w:rPr>
                              <w:t>מידע</w:t>
                            </w:r>
                            <w:r w:rsidRPr="00335CD4">
                              <w:rPr>
                                <w:rFonts w:cs="Tahoma"/>
                                <w:color w:val="0B5294"/>
                                <w:spacing w:val="-4"/>
                                <w:sz w:val="24"/>
                                <w:szCs w:val="24"/>
                                <w:rtl/>
                              </w:rPr>
                              <w:t xml:space="preserve"> </w:t>
                            </w:r>
                            <w:r w:rsidRPr="00335CD4">
                              <w:rPr>
                                <w:rFonts w:cs="Tahoma" w:hint="eastAsia"/>
                                <w:color w:val="0B5294"/>
                                <w:spacing w:val="-4"/>
                                <w:sz w:val="24"/>
                                <w:szCs w:val="24"/>
                                <w:rtl/>
                              </w:rPr>
                              <w:t>לגבי</w:t>
                            </w:r>
                            <w:r w:rsidRPr="00335CD4">
                              <w:rPr>
                                <w:rFonts w:cs="Tahoma"/>
                                <w:color w:val="0B5294"/>
                                <w:spacing w:val="-4"/>
                                <w:sz w:val="24"/>
                                <w:szCs w:val="24"/>
                                <w:rtl/>
                              </w:rPr>
                              <w:t xml:space="preserve"> </w:t>
                            </w:r>
                            <w:r w:rsidRPr="00335CD4">
                              <w:rPr>
                                <w:rFonts w:cs="Tahoma" w:hint="eastAsia"/>
                                <w:color w:val="0B5294"/>
                                <w:spacing w:val="-4"/>
                                <w:sz w:val="24"/>
                                <w:szCs w:val="24"/>
                                <w:rtl/>
                              </w:rPr>
                              <w:t>חלק</w:t>
                            </w:r>
                            <w:r w:rsidRPr="00335CD4">
                              <w:rPr>
                                <w:rFonts w:cs="Tahoma"/>
                                <w:color w:val="0B5294"/>
                                <w:spacing w:val="-4"/>
                                <w:sz w:val="24"/>
                                <w:szCs w:val="24"/>
                                <w:rtl/>
                              </w:rPr>
                              <w:t xml:space="preserve"> </w:t>
                            </w:r>
                            <w:r w:rsidRPr="00335CD4">
                              <w:rPr>
                                <w:rFonts w:cs="Tahoma" w:hint="eastAsia"/>
                                <w:color w:val="0B5294"/>
                                <w:spacing w:val="-4"/>
                                <w:sz w:val="24"/>
                                <w:szCs w:val="24"/>
                                <w:rtl/>
                              </w:rPr>
                              <w:t>מהמכורים</w:t>
                            </w:r>
                            <w:r w:rsidRPr="00335CD4">
                              <w:rPr>
                                <w:rFonts w:cs="Tahoma"/>
                                <w:color w:val="0B5294"/>
                                <w:spacing w:val="-4"/>
                                <w:sz w:val="24"/>
                                <w:szCs w:val="24"/>
                                <w:rtl/>
                              </w:rPr>
                              <w:t xml:space="preserve"> </w:t>
                            </w:r>
                            <w:r w:rsidRPr="00335CD4">
                              <w:rPr>
                                <w:rFonts w:cs="Tahoma" w:hint="eastAsia"/>
                                <w:color w:val="0B5294"/>
                                <w:spacing w:val="-4"/>
                                <w:sz w:val="24"/>
                                <w:szCs w:val="24"/>
                                <w:rtl/>
                              </w:rPr>
                              <w:t>שאינם</w:t>
                            </w:r>
                            <w:r w:rsidRPr="00335CD4">
                              <w:rPr>
                                <w:rFonts w:cs="Tahoma"/>
                                <w:color w:val="0B5294"/>
                                <w:spacing w:val="-4"/>
                                <w:sz w:val="24"/>
                                <w:szCs w:val="24"/>
                                <w:rtl/>
                              </w:rPr>
                              <w:t xml:space="preserve"> </w:t>
                            </w:r>
                            <w:r w:rsidRPr="00335CD4">
                              <w:rPr>
                                <w:rFonts w:cs="Tahoma" w:hint="eastAsia"/>
                                <w:color w:val="0B5294"/>
                                <w:spacing w:val="-4"/>
                                <w:sz w:val="24"/>
                                <w:szCs w:val="24"/>
                                <w:rtl/>
                              </w:rPr>
                              <w:t>מקבלים</w:t>
                            </w:r>
                            <w:r w:rsidRPr="00335CD4">
                              <w:rPr>
                                <w:rFonts w:cs="Tahoma"/>
                                <w:color w:val="0B5294"/>
                                <w:spacing w:val="-4"/>
                                <w:sz w:val="24"/>
                                <w:szCs w:val="24"/>
                                <w:rtl/>
                              </w:rPr>
                              <w:t xml:space="preserve"> </w:t>
                            </w:r>
                            <w:r w:rsidRPr="00335CD4">
                              <w:rPr>
                                <w:rFonts w:cs="Tahoma" w:hint="eastAsia"/>
                                <w:color w:val="0B5294"/>
                                <w:spacing w:val="-4"/>
                                <w:sz w:val="24"/>
                                <w:szCs w:val="24"/>
                                <w:rtl/>
                              </w:rPr>
                              <w:t>טיפול</w:t>
                            </w:r>
                            <w:r w:rsidRPr="00335CD4">
                              <w:rPr>
                                <w:rFonts w:cs="Tahoma"/>
                                <w:color w:val="0B5294"/>
                                <w:spacing w:val="-4"/>
                                <w:sz w:val="24"/>
                                <w:szCs w:val="24"/>
                                <w:rtl/>
                              </w:rPr>
                              <w:t xml:space="preserve">, </w:t>
                            </w:r>
                            <w:r w:rsidRPr="00335CD4">
                              <w:rPr>
                                <w:rFonts w:cs="Tahoma" w:hint="eastAsia"/>
                                <w:color w:val="0B5294"/>
                                <w:spacing w:val="-4"/>
                                <w:sz w:val="24"/>
                                <w:szCs w:val="24"/>
                                <w:rtl/>
                              </w:rPr>
                              <w:t>אך</w:t>
                            </w:r>
                            <w:r w:rsidRPr="00335CD4">
                              <w:rPr>
                                <w:rFonts w:cs="Tahoma"/>
                                <w:color w:val="0B5294"/>
                                <w:spacing w:val="-4"/>
                                <w:sz w:val="24"/>
                                <w:szCs w:val="24"/>
                                <w:rtl/>
                              </w:rPr>
                              <w:t xml:space="preserve"> </w:t>
                            </w:r>
                            <w:r w:rsidRPr="00335CD4">
                              <w:rPr>
                                <w:rFonts w:cs="Tahoma" w:hint="eastAsia"/>
                                <w:color w:val="0B5294"/>
                                <w:spacing w:val="-4"/>
                                <w:sz w:val="24"/>
                                <w:szCs w:val="24"/>
                                <w:rtl/>
                              </w:rPr>
                              <w:t>עקב</w:t>
                            </w:r>
                            <w:r w:rsidRPr="00335CD4">
                              <w:rPr>
                                <w:rFonts w:cs="Tahoma"/>
                                <w:color w:val="0B5294"/>
                                <w:spacing w:val="-4"/>
                                <w:sz w:val="24"/>
                                <w:szCs w:val="24"/>
                                <w:rtl/>
                              </w:rPr>
                              <w:t xml:space="preserve"> </w:t>
                            </w:r>
                            <w:r w:rsidRPr="00335CD4">
                              <w:rPr>
                                <w:rFonts w:cs="Tahoma" w:hint="eastAsia"/>
                                <w:color w:val="0B5294"/>
                                <w:spacing w:val="-4"/>
                                <w:sz w:val="24"/>
                                <w:szCs w:val="24"/>
                                <w:rtl/>
                              </w:rPr>
                              <w:t>ליקויים</w:t>
                            </w:r>
                            <w:r w:rsidRPr="00335CD4">
                              <w:rPr>
                                <w:rFonts w:cs="Tahoma"/>
                                <w:color w:val="0B5294"/>
                                <w:spacing w:val="-4"/>
                                <w:sz w:val="24"/>
                                <w:szCs w:val="24"/>
                                <w:rtl/>
                              </w:rPr>
                              <w:t xml:space="preserve"> </w:t>
                            </w:r>
                            <w:r w:rsidRPr="00335CD4">
                              <w:rPr>
                                <w:rFonts w:cs="Tahoma" w:hint="eastAsia"/>
                                <w:color w:val="0B5294"/>
                                <w:spacing w:val="-4"/>
                                <w:sz w:val="24"/>
                                <w:szCs w:val="24"/>
                                <w:rtl/>
                              </w:rPr>
                              <w:t>בתהליכי</w:t>
                            </w:r>
                            <w:r w:rsidRPr="00335CD4">
                              <w:rPr>
                                <w:rFonts w:cs="Tahoma"/>
                                <w:color w:val="0B5294"/>
                                <w:spacing w:val="-4"/>
                                <w:sz w:val="24"/>
                                <w:szCs w:val="24"/>
                                <w:rtl/>
                              </w:rPr>
                              <w:t xml:space="preserve"> </w:t>
                            </w:r>
                            <w:r w:rsidRPr="00335CD4">
                              <w:rPr>
                                <w:rFonts w:cs="Tahoma" w:hint="eastAsia"/>
                                <w:color w:val="0B5294"/>
                                <w:spacing w:val="-4"/>
                                <w:sz w:val="24"/>
                                <w:szCs w:val="24"/>
                                <w:rtl/>
                              </w:rPr>
                              <w:t>האיתור</w:t>
                            </w:r>
                            <w:r w:rsidRPr="00335CD4">
                              <w:rPr>
                                <w:rFonts w:cs="Tahoma"/>
                                <w:color w:val="0B5294"/>
                                <w:spacing w:val="-4"/>
                                <w:sz w:val="24"/>
                                <w:szCs w:val="24"/>
                                <w:rtl/>
                              </w:rPr>
                              <w:t xml:space="preserve"> </w:t>
                            </w:r>
                            <w:r w:rsidRPr="00335CD4">
                              <w:rPr>
                                <w:rFonts w:cs="Tahoma" w:hint="eastAsia"/>
                                <w:color w:val="0B5294"/>
                                <w:spacing w:val="-4"/>
                                <w:sz w:val="24"/>
                                <w:szCs w:val="24"/>
                                <w:rtl/>
                              </w:rPr>
                              <w:t>אין</w:t>
                            </w:r>
                            <w:r w:rsidRPr="00335CD4">
                              <w:rPr>
                                <w:rFonts w:cs="Tahoma"/>
                                <w:color w:val="0B5294"/>
                                <w:spacing w:val="-4"/>
                                <w:sz w:val="24"/>
                                <w:szCs w:val="24"/>
                                <w:rtl/>
                              </w:rPr>
                              <w:t xml:space="preserve"> </w:t>
                            </w:r>
                            <w:r w:rsidRPr="00335CD4">
                              <w:rPr>
                                <w:rFonts w:cs="Tahoma" w:hint="eastAsia"/>
                                <w:color w:val="0B5294"/>
                                <w:spacing w:val="-4"/>
                                <w:sz w:val="24"/>
                                <w:szCs w:val="24"/>
                                <w:rtl/>
                              </w:rPr>
                              <w:t>מפנים</w:t>
                            </w:r>
                            <w:r w:rsidRPr="00335CD4">
                              <w:rPr>
                                <w:rFonts w:cs="Tahoma"/>
                                <w:color w:val="0B5294"/>
                                <w:spacing w:val="-4"/>
                                <w:sz w:val="24"/>
                                <w:szCs w:val="24"/>
                                <w:rtl/>
                              </w:rPr>
                              <w:t xml:space="preserve"> </w:t>
                            </w:r>
                            <w:r w:rsidRPr="00335CD4">
                              <w:rPr>
                                <w:rFonts w:cs="Tahoma" w:hint="eastAsia"/>
                                <w:color w:val="0B5294"/>
                                <w:spacing w:val="-4"/>
                                <w:sz w:val="24"/>
                                <w:szCs w:val="24"/>
                                <w:rtl/>
                              </w:rPr>
                              <w:t>מכורים</w:t>
                            </w:r>
                            <w:r w:rsidRPr="00335CD4">
                              <w:rPr>
                                <w:rFonts w:cs="Tahoma"/>
                                <w:color w:val="0B5294"/>
                                <w:spacing w:val="-4"/>
                                <w:sz w:val="24"/>
                                <w:szCs w:val="24"/>
                                <w:rtl/>
                              </w:rPr>
                              <w:t xml:space="preserve"> </w:t>
                            </w:r>
                            <w:r w:rsidRPr="00335CD4">
                              <w:rPr>
                                <w:rFonts w:cs="Tahoma" w:hint="eastAsia"/>
                                <w:color w:val="0B5294"/>
                                <w:spacing w:val="-4"/>
                                <w:sz w:val="24"/>
                                <w:szCs w:val="24"/>
                                <w:rtl/>
                              </w:rPr>
                              <w:t>אלה</w:t>
                            </w:r>
                            <w:r w:rsidRPr="00335CD4">
                              <w:rPr>
                                <w:rFonts w:cs="Tahoma"/>
                                <w:color w:val="0B5294"/>
                                <w:spacing w:val="-4"/>
                                <w:sz w:val="24"/>
                                <w:szCs w:val="24"/>
                                <w:rtl/>
                              </w:rPr>
                              <w:t xml:space="preserve"> </w:t>
                            </w:r>
                            <w:r w:rsidRPr="00335CD4">
                              <w:rPr>
                                <w:rFonts w:cs="Tahoma" w:hint="eastAsia"/>
                                <w:color w:val="0B5294"/>
                                <w:spacing w:val="-4"/>
                                <w:sz w:val="24"/>
                                <w:szCs w:val="24"/>
                                <w:rtl/>
                              </w:rPr>
                              <w:t>לטיפול</w:t>
                            </w:r>
                            <w:r w:rsidRPr="00335CD4">
                              <w:rPr>
                                <w:rFonts w:cs="Tahoma"/>
                                <w:color w:val="0B5294"/>
                                <w:spacing w:val="-4"/>
                                <w:sz w:val="24"/>
                                <w:szCs w:val="24"/>
                                <w:rtl/>
                              </w:rPr>
                              <w:t xml:space="preserve"> </w:t>
                            </w:r>
                            <w:r w:rsidRPr="00335CD4">
                              <w:rPr>
                                <w:rFonts w:cs="Tahoma" w:hint="eastAsia"/>
                                <w:color w:val="0B5294"/>
                                <w:spacing w:val="-4"/>
                                <w:sz w:val="24"/>
                                <w:szCs w:val="24"/>
                                <w:rtl/>
                              </w:rPr>
                              <w:t>כנדרש</w:t>
                            </w:r>
                          </w:p>
                          <w:p w:rsidR="00290C9B" w:rsidRPr="00373C5D" w:rsidP="00290C9B">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61119036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307918"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0"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7216" filled="f" stroked="f">
                <v:textbox>
                  <w:txbxContent>
                    <w:p w:rsidR="00290C9B" w:rsidRPr="00373C5D" w:rsidP="00290C9B">
                      <w:pPr>
                        <w:spacing w:line="240" w:lineRule="atLeast"/>
                        <w:rPr>
                          <w:rFonts w:cs="Tahoma"/>
                          <w:b/>
                          <w:bCs/>
                          <w:color w:val="0B5294"/>
                          <w:sz w:val="48"/>
                          <w:szCs w:val="48"/>
                          <w:rtl/>
                        </w:rPr>
                      </w:pPr>
                      <w:drawing>
                        <wp:inline distT="0" distB="0" distL="0" distR="0">
                          <wp:extent cx="311150" cy="256800"/>
                          <wp:effectExtent l="0" t="0" r="0" b="0"/>
                          <wp:docPr id="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671351"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290C9B" w:rsidRPr="00881D99" w:rsidP="00290C9B">
                      <w:pPr>
                        <w:spacing w:after="0" w:line="240" w:lineRule="auto"/>
                        <w:rPr>
                          <w:color w:val="0B5294"/>
                          <w:spacing w:val="-4"/>
                          <w:sz w:val="24"/>
                          <w:szCs w:val="24"/>
                          <w:rtl/>
                          <w:cs/>
                        </w:rPr>
                      </w:pPr>
                      <w:r w:rsidRPr="00335CD4">
                        <w:rPr>
                          <w:rFonts w:cs="Tahoma" w:hint="eastAsia"/>
                          <w:color w:val="0B5294"/>
                          <w:spacing w:val="-4"/>
                          <w:sz w:val="24"/>
                          <w:szCs w:val="24"/>
                          <w:rtl/>
                        </w:rPr>
                        <w:t>למשרד</w:t>
                      </w:r>
                      <w:r w:rsidRPr="00335CD4">
                        <w:rPr>
                          <w:rFonts w:cs="Tahoma"/>
                          <w:color w:val="0B5294"/>
                          <w:spacing w:val="-4"/>
                          <w:sz w:val="24"/>
                          <w:szCs w:val="24"/>
                          <w:rtl/>
                        </w:rPr>
                        <w:t xml:space="preserve"> </w:t>
                      </w:r>
                      <w:r w:rsidRPr="00335CD4">
                        <w:rPr>
                          <w:rFonts w:cs="Tahoma" w:hint="eastAsia"/>
                          <w:color w:val="0B5294"/>
                          <w:spacing w:val="-4"/>
                          <w:sz w:val="24"/>
                          <w:szCs w:val="24"/>
                          <w:rtl/>
                        </w:rPr>
                        <w:t>הרווחה</w:t>
                      </w:r>
                      <w:r w:rsidRPr="00335CD4">
                        <w:rPr>
                          <w:rFonts w:cs="Tahoma"/>
                          <w:color w:val="0B5294"/>
                          <w:spacing w:val="-4"/>
                          <w:sz w:val="24"/>
                          <w:szCs w:val="24"/>
                          <w:rtl/>
                        </w:rPr>
                        <w:t xml:space="preserve"> </w:t>
                      </w:r>
                      <w:r w:rsidRPr="00335CD4">
                        <w:rPr>
                          <w:rFonts w:cs="Tahoma" w:hint="eastAsia"/>
                          <w:color w:val="0B5294"/>
                          <w:spacing w:val="-4"/>
                          <w:sz w:val="24"/>
                          <w:szCs w:val="24"/>
                          <w:rtl/>
                        </w:rPr>
                        <w:t>יש</w:t>
                      </w:r>
                      <w:r w:rsidRPr="00335CD4">
                        <w:rPr>
                          <w:rFonts w:cs="Tahoma"/>
                          <w:color w:val="0B5294"/>
                          <w:spacing w:val="-4"/>
                          <w:sz w:val="24"/>
                          <w:szCs w:val="24"/>
                          <w:rtl/>
                        </w:rPr>
                        <w:t xml:space="preserve"> </w:t>
                      </w:r>
                      <w:r w:rsidRPr="00335CD4">
                        <w:rPr>
                          <w:rFonts w:cs="Tahoma" w:hint="eastAsia"/>
                          <w:color w:val="0B5294"/>
                          <w:spacing w:val="-4"/>
                          <w:sz w:val="24"/>
                          <w:szCs w:val="24"/>
                          <w:rtl/>
                        </w:rPr>
                        <w:t>מידע</w:t>
                      </w:r>
                      <w:r w:rsidRPr="00335CD4">
                        <w:rPr>
                          <w:rFonts w:cs="Tahoma"/>
                          <w:color w:val="0B5294"/>
                          <w:spacing w:val="-4"/>
                          <w:sz w:val="24"/>
                          <w:szCs w:val="24"/>
                          <w:rtl/>
                        </w:rPr>
                        <w:t xml:space="preserve"> </w:t>
                      </w:r>
                      <w:r w:rsidRPr="00335CD4">
                        <w:rPr>
                          <w:rFonts w:cs="Tahoma" w:hint="eastAsia"/>
                          <w:color w:val="0B5294"/>
                          <w:spacing w:val="-4"/>
                          <w:sz w:val="24"/>
                          <w:szCs w:val="24"/>
                          <w:rtl/>
                        </w:rPr>
                        <w:t>לגבי</w:t>
                      </w:r>
                      <w:r w:rsidRPr="00335CD4">
                        <w:rPr>
                          <w:rFonts w:cs="Tahoma"/>
                          <w:color w:val="0B5294"/>
                          <w:spacing w:val="-4"/>
                          <w:sz w:val="24"/>
                          <w:szCs w:val="24"/>
                          <w:rtl/>
                        </w:rPr>
                        <w:t xml:space="preserve"> </w:t>
                      </w:r>
                      <w:r w:rsidRPr="00335CD4">
                        <w:rPr>
                          <w:rFonts w:cs="Tahoma" w:hint="eastAsia"/>
                          <w:color w:val="0B5294"/>
                          <w:spacing w:val="-4"/>
                          <w:sz w:val="24"/>
                          <w:szCs w:val="24"/>
                          <w:rtl/>
                        </w:rPr>
                        <w:t>חלק</w:t>
                      </w:r>
                      <w:r w:rsidRPr="00335CD4">
                        <w:rPr>
                          <w:rFonts w:cs="Tahoma"/>
                          <w:color w:val="0B5294"/>
                          <w:spacing w:val="-4"/>
                          <w:sz w:val="24"/>
                          <w:szCs w:val="24"/>
                          <w:rtl/>
                        </w:rPr>
                        <w:t xml:space="preserve"> </w:t>
                      </w:r>
                      <w:r w:rsidRPr="00335CD4">
                        <w:rPr>
                          <w:rFonts w:cs="Tahoma" w:hint="eastAsia"/>
                          <w:color w:val="0B5294"/>
                          <w:spacing w:val="-4"/>
                          <w:sz w:val="24"/>
                          <w:szCs w:val="24"/>
                          <w:rtl/>
                        </w:rPr>
                        <w:t>מהמכורים</w:t>
                      </w:r>
                      <w:r w:rsidRPr="00335CD4">
                        <w:rPr>
                          <w:rFonts w:cs="Tahoma"/>
                          <w:color w:val="0B5294"/>
                          <w:spacing w:val="-4"/>
                          <w:sz w:val="24"/>
                          <w:szCs w:val="24"/>
                          <w:rtl/>
                        </w:rPr>
                        <w:t xml:space="preserve"> </w:t>
                      </w:r>
                      <w:r w:rsidRPr="00335CD4">
                        <w:rPr>
                          <w:rFonts w:cs="Tahoma" w:hint="eastAsia"/>
                          <w:color w:val="0B5294"/>
                          <w:spacing w:val="-4"/>
                          <w:sz w:val="24"/>
                          <w:szCs w:val="24"/>
                          <w:rtl/>
                        </w:rPr>
                        <w:t>שאינם</w:t>
                      </w:r>
                      <w:r w:rsidRPr="00335CD4">
                        <w:rPr>
                          <w:rFonts w:cs="Tahoma"/>
                          <w:color w:val="0B5294"/>
                          <w:spacing w:val="-4"/>
                          <w:sz w:val="24"/>
                          <w:szCs w:val="24"/>
                          <w:rtl/>
                        </w:rPr>
                        <w:t xml:space="preserve"> </w:t>
                      </w:r>
                      <w:r w:rsidRPr="00335CD4">
                        <w:rPr>
                          <w:rFonts w:cs="Tahoma" w:hint="eastAsia"/>
                          <w:color w:val="0B5294"/>
                          <w:spacing w:val="-4"/>
                          <w:sz w:val="24"/>
                          <w:szCs w:val="24"/>
                          <w:rtl/>
                        </w:rPr>
                        <w:t>מקבלים</w:t>
                      </w:r>
                      <w:r w:rsidRPr="00335CD4">
                        <w:rPr>
                          <w:rFonts w:cs="Tahoma"/>
                          <w:color w:val="0B5294"/>
                          <w:spacing w:val="-4"/>
                          <w:sz w:val="24"/>
                          <w:szCs w:val="24"/>
                          <w:rtl/>
                        </w:rPr>
                        <w:t xml:space="preserve"> </w:t>
                      </w:r>
                      <w:r w:rsidRPr="00335CD4">
                        <w:rPr>
                          <w:rFonts w:cs="Tahoma" w:hint="eastAsia"/>
                          <w:color w:val="0B5294"/>
                          <w:spacing w:val="-4"/>
                          <w:sz w:val="24"/>
                          <w:szCs w:val="24"/>
                          <w:rtl/>
                        </w:rPr>
                        <w:t>טיפול</w:t>
                      </w:r>
                      <w:r w:rsidRPr="00335CD4">
                        <w:rPr>
                          <w:rFonts w:cs="Tahoma"/>
                          <w:color w:val="0B5294"/>
                          <w:spacing w:val="-4"/>
                          <w:sz w:val="24"/>
                          <w:szCs w:val="24"/>
                          <w:rtl/>
                        </w:rPr>
                        <w:t xml:space="preserve">, </w:t>
                      </w:r>
                      <w:r w:rsidRPr="00335CD4">
                        <w:rPr>
                          <w:rFonts w:cs="Tahoma" w:hint="eastAsia"/>
                          <w:color w:val="0B5294"/>
                          <w:spacing w:val="-4"/>
                          <w:sz w:val="24"/>
                          <w:szCs w:val="24"/>
                          <w:rtl/>
                        </w:rPr>
                        <w:t>אך</w:t>
                      </w:r>
                      <w:r w:rsidRPr="00335CD4">
                        <w:rPr>
                          <w:rFonts w:cs="Tahoma"/>
                          <w:color w:val="0B5294"/>
                          <w:spacing w:val="-4"/>
                          <w:sz w:val="24"/>
                          <w:szCs w:val="24"/>
                          <w:rtl/>
                        </w:rPr>
                        <w:t xml:space="preserve"> </w:t>
                      </w:r>
                      <w:r w:rsidRPr="00335CD4">
                        <w:rPr>
                          <w:rFonts w:cs="Tahoma" w:hint="eastAsia"/>
                          <w:color w:val="0B5294"/>
                          <w:spacing w:val="-4"/>
                          <w:sz w:val="24"/>
                          <w:szCs w:val="24"/>
                          <w:rtl/>
                        </w:rPr>
                        <w:t>עקב</w:t>
                      </w:r>
                      <w:r w:rsidRPr="00335CD4">
                        <w:rPr>
                          <w:rFonts w:cs="Tahoma"/>
                          <w:color w:val="0B5294"/>
                          <w:spacing w:val="-4"/>
                          <w:sz w:val="24"/>
                          <w:szCs w:val="24"/>
                          <w:rtl/>
                        </w:rPr>
                        <w:t xml:space="preserve"> </w:t>
                      </w:r>
                      <w:r w:rsidRPr="00335CD4">
                        <w:rPr>
                          <w:rFonts w:cs="Tahoma" w:hint="eastAsia"/>
                          <w:color w:val="0B5294"/>
                          <w:spacing w:val="-4"/>
                          <w:sz w:val="24"/>
                          <w:szCs w:val="24"/>
                          <w:rtl/>
                        </w:rPr>
                        <w:t>ליקויים</w:t>
                      </w:r>
                      <w:r w:rsidRPr="00335CD4">
                        <w:rPr>
                          <w:rFonts w:cs="Tahoma"/>
                          <w:color w:val="0B5294"/>
                          <w:spacing w:val="-4"/>
                          <w:sz w:val="24"/>
                          <w:szCs w:val="24"/>
                          <w:rtl/>
                        </w:rPr>
                        <w:t xml:space="preserve"> </w:t>
                      </w:r>
                      <w:r w:rsidRPr="00335CD4">
                        <w:rPr>
                          <w:rFonts w:cs="Tahoma" w:hint="eastAsia"/>
                          <w:color w:val="0B5294"/>
                          <w:spacing w:val="-4"/>
                          <w:sz w:val="24"/>
                          <w:szCs w:val="24"/>
                          <w:rtl/>
                        </w:rPr>
                        <w:t>בתהליכי</w:t>
                      </w:r>
                      <w:r w:rsidRPr="00335CD4">
                        <w:rPr>
                          <w:rFonts w:cs="Tahoma"/>
                          <w:color w:val="0B5294"/>
                          <w:spacing w:val="-4"/>
                          <w:sz w:val="24"/>
                          <w:szCs w:val="24"/>
                          <w:rtl/>
                        </w:rPr>
                        <w:t xml:space="preserve"> </w:t>
                      </w:r>
                      <w:r w:rsidRPr="00335CD4">
                        <w:rPr>
                          <w:rFonts w:cs="Tahoma" w:hint="eastAsia"/>
                          <w:color w:val="0B5294"/>
                          <w:spacing w:val="-4"/>
                          <w:sz w:val="24"/>
                          <w:szCs w:val="24"/>
                          <w:rtl/>
                        </w:rPr>
                        <w:t>האיתור</w:t>
                      </w:r>
                      <w:r w:rsidRPr="00335CD4">
                        <w:rPr>
                          <w:rFonts w:cs="Tahoma"/>
                          <w:color w:val="0B5294"/>
                          <w:spacing w:val="-4"/>
                          <w:sz w:val="24"/>
                          <w:szCs w:val="24"/>
                          <w:rtl/>
                        </w:rPr>
                        <w:t xml:space="preserve"> </w:t>
                      </w:r>
                      <w:r w:rsidRPr="00335CD4">
                        <w:rPr>
                          <w:rFonts w:cs="Tahoma" w:hint="eastAsia"/>
                          <w:color w:val="0B5294"/>
                          <w:spacing w:val="-4"/>
                          <w:sz w:val="24"/>
                          <w:szCs w:val="24"/>
                          <w:rtl/>
                        </w:rPr>
                        <w:t>אין</w:t>
                      </w:r>
                      <w:r w:rsidRPr="00335CD4">
                        <w:rPr>
                          <w:rFonts w:cs="Tahoma"/>
                          <w:color w:val="0B5294"/>
                          <w:spacing w:val="-4"/>
                          <w:sz w:val="24"/>
                          <w:szCs w:val="24"/>
                          <w:rtl/>
                        </w:rPr>
                        <w:t xml:space="preserve"> </w:t>
                      </w:r>
                      <w:r w:rsidRPr="00335CD4">
                        <w:rPr>
                          <w:rFonts w:cs="Tahoma" w:hint="eastAsia"/>
                          <w:color w:val="0B5294"/>
                          <w:spacing w:val="-4"/>
                          <w:sz w:val="24"/>
                          <w:szCs w:val="24"/>
                          <w:rtl/>
                        </w:rPr>
                        <w:t>מפנים</w:t>
                      </w:r>
                      <w:r w:rsidRPr="00335CD4">
                        <w:rPr>
                          <w:rFonts w:cs="Tahoma"/>
                          <w:color w:val="0B5294"/>
                          <w:spacing w:val="-4"/>
                          <w:sz w:val="24"/>
                          <w:szCs w:val="24"/>
                          <w:rtl/>
                        </w:rPr>
                        <w:t xml:space="preserve"> </w:t>
                      </w:r>
                      <w:r w:rsidRPr="00335CD4">
                        <w:rPr>
                          <w:rFonts w:cs="Tahoma" w:hint="eastAsia"/>
                          <w:color w:val="0B5294"/>
                          <w:spacing w:val="-4"/>
                          <w:sz w:val="24"/>
                          <w:szCs w:val="24"/>
                          <w:rtl/>
                        </w:rPr>
                        <w:t>מכורים</w:t>
                      </w:r>
                      <w:r w:rsidRPr="00335CD4">
                        <w:rPr>
                          <w:rFonts w:cs="Tahoma"/>
                          <w:color w:val="0B5294"/>
                          <w:spacing w:val="-4"/>
                          <w:sz w:val="24"/>
                          <w:szCs w:val="24"/>
                          <w:rtl/>
                        </w:rPr>
                        <w:t xml:space="preserve"> </w:t>
                      </w:r>
                      <w:r w:rsidRPr="00335CD4">
                        <w:rPr>
                          <w:rFonts w:cs="Tahoma" w:hint="eastAsia"/>
                          <w:color w:val="0B5294"/>
                          <w:spacing w:val="-4"/>
                          <w:sz w:val="24"/>
                          <w:szCs w:val="24"/>
                          <w:rtl/>
                        </w:rPr>
                        <w:t>אלה</w:t>
                      </w:r>
                      <w:r w:rsidRPr="00335CD4">
                        <w:rPr>
                          <w:rFonts w:cs="Tahoma"/>
                          <w:color w:val="0B5294"/>
                          <w:spacing w:val="-4"/>
                          <w:sz w:val="24"/>
                          <w:szCs w:val="24"/>
                          <w:rtl/>
                        </w:rPr>
                        <w:t xml:space="preserve"> </w:t>
                      </w:r>
                      <w:r w:rsidRPr="00335CD4">
                        <w:rPr>
                          <w:rFonts w:cs="Tahoma" w:hint="eastAsia"/>
                          <w:color w:val="0B5294"/>
                          <w:spacing w:val="-4"/>
                          <w:sz w:val="24"/>
                          <w:szCs w:val="24"/>
                          <w:rtl/>
                        </w:rPr>
                        <w:t>לטיפול</w:t>
                      </w:r>
                      <w:r w:rsidRPr="00335CD4">
                        <w:rPr>
                          <w:rFonts w:cs="Tahoma"/>
                          <w:color w:val="0B5294"/>
                          <w:spacing w:val="-4"/>
                          <w:sz w:val="24"/>
                          <w:szCs w:val="24"/>
                          <w:rtl/>
                        </w:rPr>
                        <w:t xml:space="preserve"> </w:t>
                      </w:r>
                      <w:r w:rsidRPr="00335CD4">
                        <w:rPr>
                          <w:rFonts w:cs="Tahoma" w:hint="eastAsia"/>
                          <w:color w:val="0B5294"/>
                          <w:spacing w:val="-4"/>
                          <w:sz w:val="24"/>
                          <w:szCs w:val="24"/>
                          <w:rtl/>
                        </w:rPr>
                        <w:t>כנדרש</w:t>
                      </w:r>
                    </w:p>
                    <w:p w:rsidR="00290C9B" w:rsidRPr="00373C5D" w:rsidP="00290C9B">
                      <w:pPr>
                        <w:spacing w:before="120" w:after="0" w:line="240" w:lineRule="atLeast"/>
                        <w:rPr>
                          <w:rFonts w:cs="Tahoma"/>
                          <w:b/>
                          <w:bCs/>
                          <w:color w:val="0B5294"/>
                          <w:sz w:val="48"/>
                          <w:szCs w:val="48"/>
                          <w:rtl/>
                        </w:rPr>
                      </w:pPr>
                      <w:drawing>
                        <wp:inline distT="0" distB="0" distL="0" distR="0">
                          <wp:extent cx="288000" cy="31337"/>
                          <wp:effectExtent l="0" t="0" r="0" b="6985"/>
                          <wp:docPr id="1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508452"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9B6D36" w:rsidRPr="00E9129B" w:rsidP="00E9129B">
      <w:pPr>
        <w:pStyle w:val="RESHET"/>
        <w:rPr>
          <w:rtl/>
        </w:rPr>
      </w:pPr>
      <w:r w:rsidRPr="00E9129B">
        <w:rPr>
          <w:rFonts w:hint="cs"/>
          <w:rtl/>
        </w:rPr>
        <w:t xml:space="preserve">גם הטיפול של </w:t>
      </w:r>
      <w:r w:rsidRPr="00E9129B">
        <w:rPr>
          <w:rFonts w:hint="eastAsia"/>
          <w:rtl/>
        </w:rPr>
        <w:t>משרד</w:t>
      </w:r>
      <w:r w:rsidRPr="00E9129B">
        <w:rPr>
          <w:rtl/>
        </w:rPr>
        <w:t xml:space="preserve"> </w:t>
      </w:r>
      <w:r w:rsidRPr="00E9129B">
        <w:rPr>
          <w:rFonts w:hint="eastAsia"/>
          <w:rtl/>
        </w:rPr>
        <w:t>הבריאות</w:t>
      </w:r>
      <w:r w:rsidRPr="00E9129B">
        <w:rPr>
          <w:rFonts w:hint="cs"/>
          <w:rtl/>
        </w:rPr>
        <w:t xml:space="preserve"> בנושא ההתמכרויות אינו מספק - </w:t>
      </w:r>
      <w:r w:rsidRPr="00E9129B">
        <w:rPr>
          <w:rtl/>
        </w:rPr>
        <w:t xml:space="preserve">מערכת הבריאות נתקלת בלא מעט מכורים בחדרי המיון </w:t>
      </w:r>
      <w:r w:rsidRPr="00E9129B">
        <w:rPr>
          <w:rFonts w:hint="cs"/>
          <w:rtl/>
        </w:rPr>
        <w:t>וב</w:t>
      </w:r>
      <w:r w:rsidRPr="00E9129B">
        <w:rPr>
          <w:rtl/>
        </w:rPr>
        <w:t>מרפאות בקהילה</w:t>
      </w:r>
      <w:r w:rsidRPr="00E9129B">
        <w:rPr>
          <w:rFonts w:hint="cs"/>
          <w:rtl/>
        </w:rPr>
        <w:t xml:space="preserve"> אך</w:t>
      </w:r>
      <w:r w:rsidRPr="00E9129B">
        <w:rPr>
          <w:rtl/>
        </w:rPr>
        <w:t xml:space="preserve"> </w:t>
      </w:r>
      <w:r w:rsidRPr="00E9129B">
        <w:rPr>
          <w:rFonts w:hint="cs"/>
          <w:rtl/>
        </w:rPr>
        <w:t xml:space="preserve">היא </w:t>
      </w:r>
      <w:r w:rsidRPr="00E9129B">
        <w:rPr>
          <w:rtl/>
        </w:rPr>
        <w:t>א</w:t>
      </w:r>
      <w:r w:rsidRPr="00E9129B">
        <w:rPr>
          <w:rFonts w:hint="cs"/>
          <w:rtl/>
        </w:rPr>
        <w:t xml:space="preserve">ינה </w:t>
      </w:r>
      <w:r w:rsidRPr="00E9129B">
        <w:rPr>
          <w:rtl/>
        </w:rPr>
        <w:t>מאתרת</w:t>
      </w:r>
      <w:r w:rsidRPr="00E9129B">
        <w:rPr>
          <w:rFonts w:hint="cs"/>
          <w:rtl/>
        </w:rPr>
        <w:t xml:space="preserve"> ו</w:t>
      </w:r>
      <w:r w:rsidRPr="00E9129B">
        <w:rPr>
          <w:rtl/>
        </w:rPr>
        <w:t>א</w:t>
      </w:r>
      <w:r w:rsidRPr="00E9129B">
        <w:rPr>
          <w:rFonts w:hint="cs"/>
          <w:rtl/>
        </w:rPr>
        <w:t>ינה</w:t>
      </w:r>
      <w:r w:rsidRPr="00E9129B">
        <w:rPr>
          <w:rtl/>
        </w:rPr>
        <w:t xml:space="preserve"> מפנה אותם לטיפול</w:t>
      </w:r>
      <w:r w:rsidRPr="00E9129B">
        <w:rPr>
          <w:rFonts w:hint="cs"/>
          <w:rtl/>
        </w:rPr>
        <w:t>ם</w:t>
      </w:r>
      <w:r w:rsidRPr="00E9129B">
        <w:rPr>
          <w:rtl/>
        </w:rPr>
        <w:t xml:space="preserve"> של הגורמים המקצועיים. למשרד הבריאות אין מסד נתונים ארצי ב</w:t>
      </w:r>
      <w:r w:rsidRPr="00E9129B">
        <w:rPr>
          <w:rFonts w:hint="cs"/>
          <w:rtl/>
        </w:rPr>
        <w:t>נוגע</w:t>
      </w:r>
      <w:r w:rsidRPr="00E9129B">
        <w:rPr>
          <w:rtl/>
        </w:rPr>
        <w:t xml:space="preserve"> להיקף התופעה של התמכרות לתרופות מרשם </w:t>
      </w:r>
      <w:r w:rsidRPr="00E9129B">
        <w:rPr>
          <w:rFonts w:hint="cs"/>
          <w:rtl/>
        </w:rPr>
        <w:t>שיאפשר לו</w:t>
      </w:r>
      <w:r w:rsidRPr="00E9129B">
        <w:rPr>
          <w:rtl/>
        </w:rPr>
        <w:t xml:space="preserve"> לגבש מדיניות ב</w:t>
      </w:r>
      <w:r w:rsidRPr="00E9129B">
        <w:rPr>
          <w:rFonts w:hint="cs"/>
          <w:rtl/>
        </w:rPr>
        <w:t>נושא.</w:t>
      </w:r>
      <w:r w:rsidRPr="00E9129B">
        <w:rPr>
          <w:rtl/>
        </w:rPr>
        <w:t xml:space="preserve"> הפעילות של משרד החינוך למניעת התנהגויות סיכון היא חלקית</w:t>
      </w:r>
      <w:r w:rsidRPr="00E9129B">
        <w:rPr>
          <w:rFonts w:hint="cs"/>
          <w:rtl/>
        </w:rPr>
        <w:t>.</w:t>
      </w:r>
    </w:p>
    <w:p w:rsidR="009B6D36" w:rsidRPr="00E9129B" w:rsidP="00E9129B">
      <w:pPr>
        <w:pStyle w:val="RESHET"/>
        <w:rPr>
          <w:rtl/>
        </w:rPr>
      </w:pPr>
      <w:r w:rsidRPr="00E9129B">
        <w:rPr>
          <w:rtl/>
        </w:rPr>
        <w:t>על משרדי הרווחה והבריאות לבחון את הדרכים לתיעול המידע הקיים בשירותי הרווחה לטיפול מיטבי במכורים המוכרים לשירותים אלה</w:t>
      </w:r>
      <w:r w:rsidRPr="00E9129B">
        <w:rPr>
          <w:rFonts w:hint="cs"/>
          <w:rtl/>
        </w:rPr>
        <w:t>,</w:t>
      </w:r>
      <w:r w:rsidRPr="00E9129B">
        <w:rPr>
          <w:rtl/>
        </w:rPr>
        <w:t xml:space="preserve"> ולהפניית המכורים הפונים לחדרי מיון אל גורמי הטיפול בהתמכרות</w:t>
      </w:r>
      <w:r w:rsidRPr="00E9129B">
        <w:rPr>
          <w:rFonts w:hint="cs"/>
          <w:rtl/>
        </w:rPr>
        <w:t>. כמו</w:t>
      </w:r>
      <w:r w:rsidRPr="00E9129B">
        <w:rPr>
          <w:rtl/>
        </w:rPr>
        <w:t xml:space="preserve"> כן עליהם לבחון את היקף האוכלוסיות הסובלות מההתמכרויות החדשות - בעיית הימורים </w:t>
      </w:r>
      <w:r w:rsidRPr="00E9129B">
        <w:rPr>
          <w:rFonts w:hint="cs"/>
          <w:rtl/>
        </w:rPr>
        <w:t>ו</w:t>
      </w:r>
      <w:r w:rsidRPr="00E9129B">
        <w:rPr>
          <w:rtl/>
        </w:rPr>
        <w:t xml:space="preserve">התמכרות לתרופות מרשם </w:t>
      </w:r>
      <w:r w:rsidRPr="00E9129B">
        <w:rPr>
          <w:rFonts w:hint="cs"/>
          <w:rtl/>
        </w:rPr>
        <w:t>ו</w:t>
      </w:r>
      <w:r w:rsidRPr="00E9129B">
        <w:rPr>
          <w:rtl/>
        </w:rPr>
        <w:t xml:space="preserve">לקבל החלטה בנוגע למדיניות הטיפול במכורים </w:t>
      </w:r>
      <w:r w:rsidRPr="00E9129B">
        <w:rPr>
          <w:rFonts w:hint="cs"/>
          <w:rtl/>
        </w:rPr>
        <w:t xml:space="preserve">להם </w:t>
      </w:r>
      <w:r w:rsidRPr="00E9129B">
        <w:rPr>
          <w:rtl/>
        </w:rPr>
        <w:t>בהתאם לנתונים.</w:t>
      </w:r>
      <w:r w:rsidRPr="00E9129B">
        <w:rPr>
          <w:rFonts w:hint="cs"/>
          <w:rtl/>
        </w:rPr>
        <w:t xml:space="preserve"> </w:t>
      </w:r>
      <w:r w:rsidRPr="00E9129B">
        <w:rPr>
          <w:rFonts w:hint="eastAsia"/>
          <w:rtl/>
        </w:rPr>
        <w:t>המגמות</w:t>
      </w:r>
      <w:r w:rsidRPr="00E9129B">
        <w:rPr>
          <w:rtl/>
        </w:rPr>
        <w:t xml:space="preserve"> </w:t>
      </w:r>
      <w:r w:rsidRPr="00E9129B">
        <w:rPr>
          <w:rFonts w:hint="eastAsia"/>
          <w:rtl/>
        </w:rPr>
        <w:t>המסתמנות</w:t>
      </w:r>
      <w:r w:rsidRPr="00E9129B">
        <w:rPr>
          <w:rtl/>
        </w:rPr>
        <w:t xml:space="preserve"> </w:t>
      </w:r>
      <w:r w:rsidRPr="00E9129B">
        <w:rPr>
          <w:rFonts w:hint="eastAsia"/>
          <w:rtl/>
        </w:rPr>
        <w:t>ב</w:t>
      </w:r>
      <w:r w:rsidRPr="00E9129B">
        <w:rPr>
          <w:rFonts w:hint="cs"/>
          <w:rtl/>
        </w:rPr>
        <w:t>נוגע</w:t>
      </w:r>
      <w:r w:rsidRPr="00E9129B">
        <w:rPr>
          <w:rtl/>
        </w:rPr>
        <w:t xml:space="preserve"> לשימוש בחומרים ממכרים בקרב תלמידים </w:t>
      </w:r>
      <w:r w:rsidRPr="00E9129B">
        <w:rPr>
          <w:rFonts w:hint="eastAsia"/>
          <w:rtl/>
        </w:rPr>
        <w:t>מ</w:t>
      </w:r>
      <w:r w:rsidRPr="00E9129B">
        <w:rPr>
          <w:rFonts w:hint="cs"/>
          <w:rtl/>
        </w:rPr>
        <w:t>עידות</w:t>
      </w:r>
      <w:r w:rsidRPr="00E9129B">
        <w:rPr>
          <w:rtl/>
        </w:rPr>
        <w:t xml:space="preserve"> על </w:t>
      </w:r>
      <w:r w:rsidRPr="00E9129B">
        <w:rPr>
          <w:rFonts w:hint="eastAsia"/>
          <w:rtl/>
        </w:rPr>
        <w:t>הצורך</w:t>
      </w:r>
      <w:r w:rsidRPr="00E9129B">
        <w:rPr>
          <w:rtl/>
        </w:rPr>
        <w:t xml:space="preserve"> </w:t>
      </w:r>
      <w:r w:rsidRPr="00E9129B">
        <w:rPr>
          <w:rFonts w:hint="eastAsia"/>
          <w:rtl/>
        </w:rPr>
        <w:t>שמשרד</w:t>
      </w:r>
      <w:r w:rsidRPr="00E9129B">
        <w:rPr>
          <w:rtl/>
        </w:rPr>
        <w:t xml:space="preserve"> החינוך </w:t>
      </w:r>
      <w:r w:rsidRPr="00E9129B">
        <w:rPr>
          <w:rFonts w:hint="eastAsia"/>
          <w:rtl/>
        </w:rPr>
        <w:t>יבחן</w:t>
      </w:r>
      <w:r w:rsidRPr="00E9129B">
        <w:rPr>
          <w:rtl/>
        </w:rPr>
        <w:t xml:space="preserve"> </w:t>
      </w:r>
      <w:r w:rsidRPr="00E9129B">
        <w:rPr>
          <w:rFonts w:hint="eastAsia"/>
          <w:rtl/>
        </w:rPr>
        <w:t>אם</w:t>
      </w:r>
      <w:r w:rsidRPr="00E9129B">
        <w:rPr>
          <w:rtl/>
        </w:rPr>
        <w:t xml:space="preserve"> </w:t>
      </w:r>
      <w:r w:rsidRPr="00E9129B">
        <w:rPr>
          <w:rFonts w:hint="eastAsia"/>
          <w:rtl/>
        </w:rPr>
        <w:t>תוכניותיו</w:t>
      </w:r>
      <w:r w:rsidRPr="00E9129B">
        <w:rPr>
          <w:rtl/>
        </w:rPr>
        <w:t xml:space="preserve"> למניעת התנהגויות סיכון והנחיותיו לגורמים המקצועיים </w:t>
      </w:r>
      <w:r w:rsidRPr="00E9129B">
        <w:rPr>
          <w:rFonts w:hint="eastAsia"/>
          <w:rtl/>
        </w:rPr>
        <w:t>נותנות</w:t>
      </w:r>
      <w:r w:rsidRPr="00E9129B">
        <w:rPr>
          <w:rFonts w:hint="cs"/>
          <w:rtl/>
        </w:rPr>
        <w:t xml:space="preserve"> פתרון</w:t>
      </w:r>
      <w:r w:rsidRPr="00E9129B">
        <w:rPr>
          <w:rtl/>
        </w:rPr>
        <w:t xml:space="preserve"> </w:t>
      </w:r>
      <w:r w:rsidRPr="00E9129B">
        <w:rPr>
          <w:rFonts w:hint="eastAsia"/>
          <w:rtl/>
        </w:rPr>
        <w:t>מספק</w:t>
      </w:r>
      <w:r w:rsidRPr="00E9129B">
        <w:rPr>
          <w:rFonts w:hint="cs"/>
          <w:rtl/>
        </w:rPr>
        <w:t xml:space="preserve"> לבעיה</w:t>
      </w:r>
      <w:r w:rsidRPr="00E9129B">
        <w:rPr>
          <w:rtl/>
        </w:rPr>
        <w:t>.</w:t>
      </w:r>
    </w:p>
    <w:p w:rsidR="009B6D36" w:rsidRPr="00211D07" w:rsidP="00211D07">
      <w:pPr>
        <w:spacing w:line="240" w:lineRule="exact"/>
        <w:ind w:right="2268"/>
        <w:jc w:val="both"/>
        <w:rPr>
          <w:rFonts w:ascii="Tahoma" w:hAnsi="Tahoma" w:cs="Tahoma"/>
          <w:b/>
          <w:bCs/>
          <w:sz w:val="18"/>
          <w:szCs w:val="18"/>
          <w:rtl/>
        </w:rPr>
      </w:pPr>
    </w:p>
    <w:p w:rsidR="00932FFD" w:rsidP="00211D07">
      <w:pPr>
        <w:spacing w:line="240" w:lineRule="exact"/>
        <w:ind w:right="2268"/>
        <w:jc w:val="both"/>
        <w:rPr>
          <w:rFonts w:ascii="Tahoma" w:hAnsi="Tahoma" w:cs="Tahoma"/>
          <w:b/>
          <w:bCs/>
          <w:sz w:val="18"/>
          <w:szCs w:val="18"/>
          <w:rtl/>
        </w:rPr>
        <w:sectPr w:rsidSect="00890ED9">
          <w:headerReference w:type="even" r:id="rId18"/>
          <w:headerReference w:type="default" r:id="rId19"/>
          <w:pgSz w:w="11906" w:h="16838" w:code="9"/>
          <w:pgMar w:top="3119" w:right="1701" w:bottom="3119" w:left="1701" w:header="1559" w:footer="709" w:gutter="0"/>
          <w:cols w:space="708"/>
          <w:bidi/>
          <w:rtlGutter/>
          <w:docGrid w:linePitch="360"/>
        </w:sectPr>
      </w:pPr>
    </w:p>
    <w:p w:rsidR="002525CC" w:rsidRPr="00211D07" w:rsidP="00211D07">
      <w:pPr>
        <w:spacing w:line="240" w:lineRule="exact"/>
        <w:ind w:right="2268"/>
        <w:jc w:val="both"/>
        <w:rPr>
          <w:rFonts w:ascii="Tahoma" w:hAnsi="Tahoma" w:cs="Tahoma"/>
          <w:b/>
          <w:bCs/>
          <w:sz w:val="18"/>
          <w:szCs w:val="18"/>
          <w:rtl/>
        </w:rPr>
      </w:pPr>
      <w:bookmarkStart w:id="6" w:name="_GoBack"/>
      <w:bookmarkEnd w:id="6"/>
    </w:p>
    <w:sectPr w:rsidSect="00932FFD">
      <w:pgSz w:w="11906" w:h="16838" w:code="9"/>
      <w:pgMar w:top="3119" w:right="1701" w:bottom="3119" w:left="1701" w:header="1559" w:footer="709" w:gutter="0"/>
      <w:cols w:space="708"/>
      <w:titlePg/>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Ruehl">
    <w:panose1 w:val="020E0503060101010101"/>
    <w:charset w:val="B1"/>
    <w:family w:val="swiss"/>
    <w:pitch w:val="variable"/>
    <w:sig w:usb0="00000801" w:usb1="00000000" w:usb2="00000000" w:usb3="00000000" w:csb0="0000002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Bold">
    <w:panose1 w:val="00000000000000000000"/>
    <w:charset w:val="00"/>
    <w:family w:val="roman"/>
    <w:notTrueType/>
    <w:pitch w:val="default"/>
  </w:font>
  <w:font w:name="Gisha">
    <w:panose1 w:val="020B0502040204020203"/>
    <w:charset w:val="00"/>
    <w:family w:val="swiss"/>
    <w:pitch w:val="variable"/>
    <w:sig w:usb0="80000807" w:usb1="40000042" w:usb2="00000000" w:usb3="00000000" w:csb0="00000021" w:csb1="00000000"/>
  </w:font>
  <w:font w:name="David">
    <w:panose1 w:val="020E0502060401010101"/>
    <w:charset w:val="B1"/>
    <w:family w:val="swiss"/>
    <w:pitch w:val="variable"/>
    <w:sig w:usb0="00000801" w:usb1="00000000" w:usb2="00000000" w:usb3="00000000" w:csb0="00000020"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Rockwell">
    <w:panose1 w:val="02060603020205020403"/>
    <w:charset w:val="00"/>
    <w:family w:val="roman"/>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185FFD" w:rsidRPr="008A007A" w:rsidP="008A007A">
      <w:pPr>
        <w:pStyle w:val="Footer"/>
      </w:pPr>
    </w:p>
  </w:footnote>
  <w:footnote w:type="continuationSeparator" w:id="1">
    <w:p w:rsidR="00185FFD" w:rsidP="00CB3322">
      <w:pPr>
        <w:spacing w:after="0" w:line="240" w:lineRule="auto"/>
      </w:pPr>
      <w:r>
        <w:continuationSeparator/>
      </w:r>
    </w:p>
    <w:p w:rsidR="00185FFD"/>
  </w:footnote>
  <w:footnote w:id="2">
    <w:p w:rsidR="001D6D5E" w:rsidRPr="009B6D36" w:rsidP="001D6D5E">
      <w:pPr>
        <w:pStyle w:val="FootnoteText"/>
        <w:rPr>
          <w:rtl/>
        </w:rPr>
      </w:pPr>
      <w:r w:rsidRPr="009B6D36">
        <w:rPr>
          <w:rStyle w:val="FootnoteReference0"/>
          <w:vertAlign w:val="baseline"/>
        </w:rPr>
        <w:footnoteRef/>
      </w:r>
      <w:r w:rsidRPr="009B6D36">
        <w:rPr>
          <w:rtl/>
        </w:rPr>
        <w:t xml:space="preserve"> </w:t>
      </w:r>
      <w:r w:rsidRPr="009B6D36">
        <w:rPr>
          <w:rtl/>
        </w:rPr>
        <w:tab/>
        <w:t>מלבד אלו מוכרות התמכרויות נוספות לחומרים (למשל ניקוטין) או התמכרויות התנהגותיות נוספות כמו התמכרות למין, למשחקי מחשב או לקניות.</w:t>
      </w:r>
    </w:p>
  </w:footnote>
  <w:footnote w:id="3">
    <w:p w:rsidR="001D6D5E" w:rsidRPr="009B6D36" w:rsidP="001D6D5E">
      <w:pPr>
        <w:pStyle w:val="FootnoteText"/>
        <w:rPr>
          <w:rtl/>
        </w:rPr>
      </w:pPr>
      <w:r w:rsidRPr="009B6D36">
        <w:rPr>
          <w:rStyle w:val="FootnoteReference0"/>
          <w:vertAlign w:val="baseline"/>
        </w:rPr>
        <w:footnoteRef/>
      </w:r>
      <w:r w:rsidRPr="009B6D36">
        <w:rPr>
          <w:rtl/>
        </w:rPr>
        <w:t xml:space="preserve"> </w:t>
      </w:r>
      <w:r w:rsidRPr="009B6D36">
        <w:rPr>
          <w:rtl/>
        </w:rPr>
        <w:tab/>
        <w:t xml:space="preserve">השירות לטיפול בהתמכרויות, </w:t>
      </w:r>
      <w:r w:rsidRPr="009B6D36">
        <w:rPr>
          <w:b/>
          <w:bCs/>
          <w:rtl/>
        </w:rPr>
        <w:t>חזון מדיניות פרקטיקה ונתונים - 2017</w:t>
      </w:r>
      <w:r w:rsidRPr="009B6D36">
        <w:rPr>
          <w:rtl/>
        </w:rPr>
        <w:t>, עמ' 2.</w:t>
      </w:r>
    </w:p>
  </w:footnote>
  <w:footnote w:id="4">
    <w:p w:rsidR="001D6D5E" w:rsidRPr="009B6D36" w:rsidP="001D6D5E">
      <w:pPr>
        <w:pStyle w:val="FootnoteText"/>
        <w:rPr>
          <w:rtl/>
        </w:rPr>
      </w:pPr>
      <w:r w:rsidRPr="009B6D36">
        <w:rPr>
          <w:rStyle w:val="FootnoteReference0"/>
          <w:vertAlign w:val="baseline"/>
        </w:rPr>
        <w:footnoteRef/>
      </w:r>
      <w:r w:rsidRPr="009B6D36">
        <w:rPr>
          <w:rtl/>
        </w:rPr>
        <w:t xml:space="preserve"> </w:t>
      </w:r>
      <w:r w:rsidRPr="009B6D36">
        <w:rPr>
          <w:rtl/>
        </w:rPr>
        <w:tab/>
        <w:t>ביולי 2017 אישרה הכנסת את חוק הרשות למאבק באלימות, בסמים ובאלכוהול, התשע"ז-2017. במסגרתו, בתקופת הביקורת, בוטלה הרשות למלחמה בסמים והוקמה במקומה הרשות למאבק באלימות, בסמים ובאלכוהול במשרד לביטחון הפנים.</w:t>
      </w:r>
    </w:p>
  </w:footnote>
  <w:footnote w:id="5">
    <w:p w:rsidR="001D6D5E" w:rsidRPr="009B6D36" w:rsidP="001D6D5E">
      <w:pPr>
        <w:pStyle w:val="FootnoteText"/>
        <w:rPr>
          <w:rtl/>
        </w:rPr>
      </w:pPr>
      <w:r w:rsidRPr="009B6D36">
        <w:rPr>
          <w:rStyle w:val="FootnoteReference0"/>
          <w:vertAlign w:val="baseline"/>
        </w:rPr>
        <w:footnoteRef/>
      </w:r>
      <w:r w:rsidRPr="009B6D36">
        <w:rPr>
          <w:rtl/>
        </w:rPr>
        <w:t xml:space="preserve"> </w:t>
      </w:r>
      <w:r w:rsidRPr="009B6D36">
        <w:rPr>
          <w:rtl/>
        </w:rPr>
        <w:tab/>
        <w:t>התמכרויות המוכרות כהפרעה נפשית בספר ההבחנות הנפשיות האמריקאי (5-</w:t>
      </w:r>
      <w:r w:rsidRPr="009B6D36">
        <w:t>DSM</w:t>
      </w:r>
      <w:r w:rsidRPr="009B6D36">
        <w:rPr>
          <w:rtl/>
        </w:rPr>
        <w:t>) משנת 2013.</w:t>
      </w:r>
    </w:p>
  </w:footnote>
  <w:footnote w:id="6">
    <w:p w:rsidR="001D6D5E" w:rsidRPr="009B6D36" w:rsidP="001D6D5E">
      <w:pPr>
        <w:pStyle w:val="FootnoteText"/>
      </w:pPr>
      <w:r w:rsidRPr="009B6D36">
        <w:rPr>
          <w:rStyle w:val="FootnoteReference0"/>
          <w:vertAlign w:val="baseline"/>
        </w:rPr>
        <w:footnoteRef/>
      </w:r>
      <w:r w:rsidRPr="009B6D36">
        <w:rPr>
          <w:rtl/>
        </w:rPr>
        <w:t xml:space="preserve"> </w:t>
      </w:r>
      <w:r w:rsidRPr="009B6D36">
        <w:rPr>
          <w:rtl/>
        </w:rPr>
        <w:tab/>
        <w:t xml:space="preserve">בערב, בלילה, בשבת או בחג מוזעק עו"ס כונן במקרים חריגים בהם נדרשת התערבות </w:t>
      </w:r>
      <w:r w:rsidRPr="009B6D36">
        <w:rPr>
          <w:rtl/>
        </w:rPr>
        <w:t>מיידית</w:t>
      </w:r>
      <w:r w:rsidRPr="009B6D36">
        <w:rPr>
          <w:rtl/>
        </w:rPr>
        <w:t xml:space="preserve"> כגון איתור וזימון בני משפחה לקטינים, צורך בסידור </w:t>
      </w:r>
      <w:r w:rsidRPr="009B6D36">
        <w:rPr>
          <w:rtl/>
        </w:rPr>
        <w:t>מיידי</w:t>
      </w:r>
      <w:r w:rsidRPr="009B6D36">
        <w:rPr>
          <w:rtl/>
        </w:rPr>
        <w:t xml:space="preserve"> בדיור, קשר עם משפחה </w:t>
      </w:r>
      <w:r w:rsidRPr="009B6D36">
        <w:rPr>
          <w:rtl/>
        </w:rPr>
        <w:t>וכיוצ"ב</w:t>
      </w:r>
      <w:r w:rsidRPr="009B6D36">
        <w:rPr>
          <w:rtl/>
        </w:rPr>
        <w:t>.</w:t>
      </w:r>
    </w:p>
  </w:footnote>
  <w:footnote w:id="7">
    <w:p w:rsidR="001D6D5E" w:rsidRPr="009B6D36" w:rsidP="001D6D5E">
      <w:pPr>
        <w:pStyle w:val="FootnoteText"/>
        <w:rPr>
          <w:rtl/>
        </w:rPr>
      </w:pPr>
      <w:r w:rsidRPr="009B6D36">
        <w:rPr>
          <w:rStyle w:val="FootnoteReference0"/>
          <w:vertAlign w:val="baseline"/>
        </w:rPr>
        <w:footnoteRef/>
      </w:r>
      <w:r w:rsidRPr="009B6D36">
        <w:rPr>
          <w:rtl/>
        </w:rPr>
        <w:t xml:space="preserve"> </w:t>
      </w:r>
      <w:r w:rsidRPr="009B6D36">
        <w:rPr>
          <w:rtl/>
        </w:rPr>
        <w:tab/>
        <w:t xml:space="preserve">מרכז טיפול ראשוני אבחוני המיועד לאיתור מוקדם של מכורים, לביצוע אבחון ולבניית </w:t>
      </w:r>
      <w:r w:rsidRPr="009B6D36">
        <w:rPr>
          <w:rtl/>
        </w:rPr>
        <w:t>תוכנית</w:t>
      </w:r>
      <w:r w:rsidRPr="009B6D36">
        <w:rPr>
          <w:rtl/>
        </w:rPr>
        <w:t xml:space="preserve"> התערבות כוללנית.</w:t>
      </w:r>
    </w:p>
  </w:footnote>
  <w:footnote w:id="8">
    <w:p w:rsidR="001D6D5E" w:rsidRPr="009B6D36" w:rsidP="001D6D5E">
      <w:pPr>
        <w:pStyle w:val="FootnoteText"/>
        <w:rPr>
          <w:rtl/>
        </w:rPr>
      </w:pPr>
      <w:r w:rsidRPr="009B6D36">
        <w:rPr>
          <w:rStyle w:val="FootnoteReference0"/>
          <w:vertAlign w:val="baseline"/>
        </w:rPr>
        <w:footnoteRef/>
      </w:r>
      <w:r w:rsidRPr="009B6D36">
        <w:rPr>
          <w:rtl/>
        </w:rPr>
        <w:t xml:space="preserve"> </w:t>
      </w:r>
      <w:r w:rsidRPr="009B6D36">
        <w:rPr>
          <w:rtl/>
        </w:rPr>
        <w:tab/>
      </w:r>
      <w:r w:rsidRPr="009B6D36">
        <w:rPr>
          <w:b/>
          <w:bCs/>
          <w:rtl/>
        </w:rPr>
        <w:t xml:space="preserve">נוער בישראל: דפוסי שימוש והתייחסות לחומרים ממכרים, סיכום ממצאי המחקר הארצי (2014), ניתוח מגמות בין השנים 2014-1994 והשוואה בין לאומית, </w:t>
      </w:r>
      <w:r w:rsidRPr="009B6D36">
        <w:rPr>
          <w:rtl/>
        </w:rPr>
        <w:t xml:space="preserve">תכנית המחקר הבינלאומי על רווחתם ובריאותם של בני הנוער, בית הספר לחינוך, אוניברסיטת </w:t>
      </w:r>
      <w:r>
        <w:rPr>
          <w:rFonts w:hint="cs"/>
          <w:rtl/>
        </w:rPr>
        <w:br/>
      </w:r>
      <w:r w:rsidRPr="009B6D36">
        <w:rPr>
          <w:rtl/>
        </w:rPr>
        <w:t>בר-אילן, עמ' 45, 48, 49, 75, 79, 80.</w:t>
      </w:r>
    </w:p>
  </w:footnote>
  <w:footnote w:id="9">
    <w:p w:rsidR="001D6D5E" w:rsidRPr="009B6D36" w:rsidP="001D6D5E">
      <w:pPr>
        <w:pStyle w:val="FootnoteText"/>
        <w:rPr>
          <w:rtl/>
        </w:rPr>
      </w:pPr>
      <w:r w:rsidRPr="009B6D36">
        <w:rPr>
          <w:rStyle w:val="FootnoteReference0"/>
          <w:vertAlign w:val="baseline"/>
        </w:rPr>
        <w:footnoteRef/>
      </w:r>
      <w:r w:rsidRPr="009B6D36">
        <w:rPr>
          <w:rtl/>
        </w:rPr>
        <w:t xml:space="preserve"> </w:t>
      </w:r>
      <w:r w:rsidRPr="009B6D36">
        <w:rPr>
          <w:rtl/>
        </w:rPr>
        <w:tab/>
        <w:t>שתיית חמש מנות לפחות של משקה אלכוהולי (למעט יין למטרות דת) בתוך כמה שעות, לפחות פעם אחת ב-30 הימים שקדמו למילוי השאלון.</w:t>
      </w:r>
    </w:p>
  </w:footnote>
  <w:footnote w:id="10">
    <w:p w:rsidR="001D6D5E" w:rsidRPr="009B6D36" w:rsidP="001D6D5E">
      <w:pPr>
        <w:pStyle w:val="FootnoteText"/>
        <w:rPr>
          <w:rtl/>
        </w:rPr>
      </w:pPr>
      <w:r w:rsidRPr="009B6D36">
        <w:rPr>
          <w:rStyle w:val="FootnoteReference0"/>
          <w:vertAlign w:val="baseline"/>
        </w:rPr>
        <w:footnoteRef/>
      </w:r>
      <w:r w:rsidRPr="009B6D36">
        <w:rPr>
          <w:rtl/>
        </w:rPr>
        <w:t xml:space="preserve"> </w:t>
      </w:r>
      <w:r w:rsidRPr="009B6D36">
        <w:rPr>
          <w:rtl/>
        </w:rPr>
        <w:tab/>
        <w:t xml:space="preserve">לפי חוזר מנכ"ל משרד החינוך תשס"ד/7(א): </w:t>
      </w:r>
      <w:r w:rsidRPr="009B6D36">
        <w:rPr>
          <w:rtl/>
        </w:rPr>
        <w:t>למב"ס</w:t>
      </w:r>
      <w:r w:rsidRPr="009B6D36">
        <w:rPr>
          <w:rtl/>
        </w:rPr>
        <w:t xml:space="preserve"> יש תפקיד מרכזי בבית הספר. בין היתר נדרש </w:t>
      </w:r>
      <w:r w:rsidRPr="009B6D36">
        <w:rPr>
          <w:rtl/>
        </w:rPr>
        <w:t>המב"ס</w:t>
      </w:r>
      <w:r w:rsidRPr="009B6D36">
        <w:rPr>
          <w:rtl/>
        </w:rPr>
        <w:t xml:space="preserve"> לשלב את הנושא בכל שכבות הגיל בבית הספר; לארגן השתלמויות לצוותים החינוכיים; ליזום פעילויות בנושא עם ההורים והקהילה; לקדם </w:t>
      </w:r>
      <w:r w:rsidRPr="009B6D36">
        <w:rPr>
          <w:rtl/>
        </w:rPr>
        <w:t>תוכניות</w:t>
      </w:r>
      <w:r w:rsidRPr="009B6D36">
        <w:rPr>
          <w:rtl/>
        </w:rPr>
        <w:t xml:space="preserve"> ומעורבות יחד עם התלמידים; להשתתף בפורומים שונים מטעם הרשות למלחמה בסמים או מטעם משרד החינוך בתחום הסמים ועוד.</w:t>
      </w:r>
    </w:p>
  </w:footnote>
  <w:footnote w:id="11">
    <w:p w:rsidR="009B6D36" w:rsidRPr="009B6D36" w:rsidP="009B6D36">
      <w:pPr>
        <w:pStyle w:val="FootnoteText"/>
      </w:pPr>
      <w:r w:rsidRPr="009B6D36">
        <w:rPr>
          <w:rStyle w:val="FootnoteReference0"/>
          <w:vertAlign w:val="baseline"/>
        </w:rPr>
        <w:footnoteRef/>
      </w:r>
      <w:r w:rsidRPr="009B6D36">
        <w:rPr>
          <w:rtl/>
        </w:rPr>
        <w:t xml:space="preserve"> </w:t>
      </w:r>
      <w:r w:rsidRPr="009B6D36">
        <w:rPr>
          <w:rtl/>
        </w:rPr>
        <w:tab/>
        <w:t xml:space="preserve">מלבד אלו מוכרות התמכרויות נוספות לחומרים (למשל ניקוטין) או התמכרויות התנהגותיות נוספות כמו התמכרות למין, משחקי מחשב או קניות. ראו למשל השירות לטיפול בהתמכרויות, </w:t>
      </w:r>
      <w:r w:rsidRPr="009B6D36">
        <w:rPr>
          <w:b/>
          <w:bCs/>
          <w:rtl/>
        </w:rPr>
        <w:t>חזון מדיניות פרקטיקה ונתונים - 2017</w:t>
      </w:r>
      <w:r w:rsidRPr="009B6D36">
        <w:rPr>
          <w:rtl/>
        </w:rPr>
        <w:t>, עמ' 44.</w:t>
      </w:r>
    </w:p>
  </w:footnote>
  <w:footnote w:id="12">
    <w:p w:rsidR="009B6D36" w:rsidRPr="009B6D36" w:rsidP="009B6D36">
      <w:pPr>
        <w:pStyle w:val="FootnoteText"/>
        <w:rPr>
          <w:rtl/>
        </w:rPr>
      </w:pPr>
      <w:r w:rsidRPr="009B6D36">
        <w:rPr>
          <w:rStyle w:val="FootnoteReference0"/>
          <w:vertAlign w:val="baseline"/>
        </w:rPr>
        <w:footnoteRef/>
      </w:r>
      <w:r w:rsidRPr="009B6D36">
        <w:rPr>
          <w:rtl/>
        </w:rPr>
        <w:t xml:space="preserve"> </w:t>
      </w:r>
      <w:r w:rsidRPr="009B6D36">
        <w:rPr>
          <w:rtl/>
        </w:rPr>
        <w:tab/>
        <w:t xml:space="preserve">האוכלוסייה שמשתמשת בחומרים </w:t>
      </w:r>
      <w:r w:rsidR="002E34D6">
        <w:rPr>
          <w:rFonts w:hint="cs"/>
          <w:rtl/>
        </w:rPr>
        <w:t xml:space="preserve">ממכרים </w:t>
      </w:r>
      <w:r w:rsidRPr="009B6D36">
        <w:rPr>
          <w:rtl/>
        </w:rPr>
        <w:t xml:space="preserve">או מתנהגת בהתנהגות מזיקה נמצאת על רצף של רמות שימוש - משימוש מזדמן דרך שימוש קבוע, שימוש לרעה (שבו ניכרים דפוסי התנהגות בעייתיים) ועד מצב של תלות בחומר או בהתנהגות ממכרים (התמכרות). ראו: משרד העבודה, הרווחה והשירותים החברתיים, </w:t>
      </w:r>
      <w:r w:rsidRPr="009B6D36">
        <w:rPr>
          <w:b/>
          <w:bCs/>
          <w:rtl/>
        </w:rPr>
        <w:t>סקירת השירותים החברתיים 2016</w:t>
      </w:r>
      <w:r w:rsidRPr="009B6D36">
        <w:rPr>
          <w:rtl/>
        </w:rPr>
        <w:t xml:space="preserve"> (נובמבר 2017), עמ' </w:t>
      </w:r>
      <w:r w:rsidR="006F20AD">
        <w:br/>
      </w:r>
      <w:r w:rsidRPr="009B6D36">
        <w:rPr>
          <w:rtl/>
        </w:rPr>
        <w:t>283-281.</w:t>
      </w:r>
    </w:p>
  </w:footnote>
  <w:footnote w:id="13">
    <w:p w:rsidR="009B6D36" w:rsidRPr="009B6D36" w:rsidP="009B6D36">
      <w:pPr>
        <w:pStyle w:val="FootnoteText"/>
        <w:rPr>
          <w:rtl/>
        </w:rPr>
      </w:pPr>
      <w:r w:rsidRPr="009B6D36">
        <w:rPr>
          <w:rStyle w:val="FootnoteReference0"/>
          <w:vertAlign w:val="baseline"/>
        </w:rPr>
        <w:footnoteRef/>
      </w:r>
      <w:r w:rsidRPr="009B6D36">
        <w:rPr>
          <w:rtl/>
        </w:rPr>
        <w:tab/>
        <w:t>השירות לטיפול בהתמכרויות במשרד העבודה, הרווחה והשירותים החברתיים מטפל באנשים הנמצאים על רצף השימוש בסמים ובאלכוהול ובאנשים הנמצאים על רצף ההתמכרות להימורים והתמכרויות התנהגותיות נוספות. ביחס לרצף השימוש באלכוהול יצוין כי השירות אף מגדיר הן את השותים לשוכרה והן את האלכוהוליסטים כ"מתמכרים". ראו הפניה בהערה 11.</w:t>
      </w:r>
    </w:p>
  </w:footnote>
  <w:footnote w:id="14">
    <w:p w:rsidR="009B6D36" w:rsidRPr="009B6D36" w:rsidP="009B6D36">
      <w:pPr>
        <w:pStyle w:val="FootnoteText"/>
        <w:rPr>
          <w:rtl/>
        </w:rPr>
      </w:pPr>
      <w:r w:rsidRPr="009B6D36">
        <w:rPr>
          <w:rStyle w:val="FootnoteReference0"/>
          <w:vertAlign w:val="baseline"/>
        </w:rPr>
        <w:footnoteRef/>
      </w:r>
      <w:r w:rsidRPr="009B6D36">
        <w:rPr>
          <w:rtl/>
        </w:rPr>
        <w:t xml:space="preserve"> </w:t>
      </w:r>
      <w:r w:rsidRPr="009B6D36">
        <w:rPr>
          <w:rtl/>
        </w:rPr>
        <w:tab/>
        <w:t xml:space="preserve">כך למשל כתב משרד הבריאות כי "הולכות ומצטברות ראיות הקושרות אלכוהול למספר מחלות כרוניות, בייחוד סרטן, מחלות לב וכלי דם, שחמת הכבד... יש לראות באלכוהול מחולל של סרטן המעי הגס והחלחולת". כמו כן ציין את הקשר בין צריכת אלכוהול לסוגי סרטן נוספים (משרד הבריאות, </w:t>
      </w:r>
      <w:r w:rsidRPr="009B6D36">
        <w:rPr>
          <w:b/>
          <w:bCs/>
          <w:rtl/>
        </w:rPr>
        <w:t>מניעת צריכה מופרזת של אלכוהול</w:t>
      </w:r>
      <w:r w:rsidRPr="009B6D36">
        <w:rPr>
          <w:rtl/>
        </w:rPr>
        <w:t xml:space="preserve">, נובמבר 2013); שכיחות החולים בדלקת כבד מסוג </w:t>
      </w:r>
      <w:r w:rsidRPr="009B6D36">
        <w:t>c</w:t>
      </w:r>
      <w:r w:rsidRPr="009B6D36">
        <w:rPr>
          <w:rtl/>
        </w:rPr>
        <w:t xml:space="preserve"> בקרב נפגעי סמים היא 50%-70% כאשר באוכלוסייה הכללית שכיחותה היא כ-2% (</w:t>
      </w:r>
      <w:r w:rsidRPr="009B6D36">
        <w:rPr>
          <w:b/>
          <w:bCs/>
          <w:rtl/>
        </w:rPr>
        <w:t>סיכום פעילות המחלקה לטיפול בהתמכרויות במשרד הבריאות לשנת 2016</w:t>
      </w:r>
      <w:r w:rsidRPr="009B6D36">
        <w:rPr>
          <w:rtl/>
        </w:rPr>
        <w:t>, עמ' 65).</w:t>
      </w:r>
    </w:p>
  </w:footnote>
  <w:footnote w:id="15">
    <w:p w:rsidR="009B6D36" w:rsidRPr="009B6D36" w:rsidP="009B6D36">
      <w:pPr>
        <w:pStyle w:val="FootnoteText"/>
      </w:pPr>
      <w:r w:rsidRPr="009B6D36">
        <w:rPr>
          <w:rStyle w:val="FootnoteReference0"/>
          <w:vertAlign w:val="baseline"/>
        </w:rPr>
        <w:footnoteRef/>
      </w:r>
      <w:r w:rsidRPr="009B6D36">
        <w:rPr>
          <w:rtl/>
        </w:rPr>
        <w:t xml:space="preserve"> </w:t>
      </w:r>
      <w:r w:rsidRPr="009B6D36">
        <w:rPr>
          <w:rtl/>
        </w:rPr>
        <w:tab/>
        <w:t xml:space="preserve">השירות לטיפול בהתמכרויות, </w:t>
      </w:r>
      <w:r w:rsidRPr="009B6D36">
        <w:rPr>
          <w:b/>
          <w:bCs/>
          <w:rtl/>
        </w:rPr>
        <w:t>חזון מדיניות פרקטיקה ונתונים - 2017</w:t>
      </w:r>
      <w:r w:rsidRPr="009B6D36">
        <w:rPr>
          <w:rtl/>
        </w:rPr>
        <w:t>, עמ' 2.</w:t>
      </w:r>
    </w:p>
  </w:footnote>
  <w:footnote w:id="16">
    <w:p w:rsidR="009B6D36" w:rsidRPr="009B6D36" w:rsidP="009B6D36">
      <w:pPr>
        <w:pStyle w:val="FootnoteText"/>
      </w:pPr>
      <w:r w:rsidRPr="009B6D36">
        <w:rPr>
          <w:rStyle w:val="FootnoteReference0"/>
          <w:vertAlign w:val="baseline"/>
        </w:rPr>
        <w:footnoteRef/>
      </w:r>
      <w:r w:rsidRPr="009B6D36">
        <w:rPr>
          <w:rtl/>
        </w:rPr>
        <w:t xml:space="preserve"> </w:t>
      </w:r>
      <w:r w:rsidRPr="009B6D36">
        <w:rPr>
          <w:rtl/>
        </w:rPr>
        <w:tab/>
        <w:t xml:space="preserve">ראו: מבקר המדינה, </w:t>
      </w:r>
      <w:r w:rsidRPr="009B6D36">
        <w:rPr>
          <w:b/>
          <w:bCs/>
          <w:rtl/>
        </w:rPr>
        <w:t>דוח שנתי 66ג</w:t>
      </w:r>
      <w:r w:rsidRPr="009B6D36">
        <w:rPr>
          <w:rtl/>
        </w:rPr>
        <w:t xml:space="preserve"> (2016), "הטיפול בתופעה של שתיית אלכוהול מופרזת", עמ' 435-403; </w:t>
      </w:r>
      <w:r w:rsidRPr="009B6D36">
        <w:rPr>
          <w:b/>
          <w:bCs/>
          <w:rtl/>
        </w:rPr>
        <w:t>דוח שנתי 61ב</w:t>
      </w:r>
      <w:r w:rsidRPr="009B6D36">
        <w:rPr>
          <w:rtl/>
        </w:rPr>
        <w:t xml:space="preserve"> (2011), "פרק שלישי - הגרלות והימורים", עמ' 392-303; </w:t>
      </w:r>
      <w:r w:rsidRPr="009B6D36">
        <w:rPr>
          <w:b/>
          <w:bCs/>
          <w:rtl/>
        </w:rPr>
        <w:t xml:space="preserve">דוחות על הביקורת בשלטון המקומי לשנת 2009 </w:t>
      </w:r>
      <w:r w:rsidRPr="009B6D36">
        <w:rPr>
          <w:rtl/>
        </w:rPr>
        <w:t>(פורסם בשנת 2010), "מאבק השלטון המקומי בנגעי הסמים והאלכוהול", עמ' 114-51.</w:t>
      </w:r>
    </w:p>
  </w:footnote>
  <w:footnote w:id="17">
    <w:p w:rsidR="009B6D36" w:rsidRPr="009B6D36" w:rsidP="009B6D36">
      <w:pPr>
        <w:pStyle w:val="FootnoteText"/>
        <w:rPr>
          <w:rtl/>
        </w:rPr>
      </w:pPr>
      <w:r w:rsidRPr="009B6D36">
        <w:rPr>
          <w:rStyle w:val="FootnoteReference0"/>
          <w:vertAlign w:val="baseline"/>
        </w:rPr>
        <w:footnoteRef/>
      </w:r>
      <w:r w:rsidRPr="009B6D36">
        <w:rPr>
          <w:rtl/>
        </w:rPr>
        <w:t xml:space="preserve"> </w:t>
      </w:r>
      <w:r w:rsidRPr="009B6D36">
        <w:rPr>
          <w:rtl/>
        </w:rPr>
        <w:tab/>
        <w:t>ביולי 2017 אישרה הכנסת את חוק הרשות למאבק באלימות, בסמים ובאלכוהול, התשע"ז-2017. במסגרתו, בתקופת הביקורת, בוטלה הרשות למלחמה בסמים והוקמה במקומה הרשות למאבק באלימות, בסמים ובאלכוהול במשרד לביטחון הפנים.</w:t>
      </w:r>
    </w:p>
  </w:footnote>
  <w:footnote w:id="18">
    <w:p w:rsidR="009B6D36" w:rsidRPr="009B6D36" w:rsidP="009B6D36">
      <w:pPr>
        <w:pStyle w:val="FootnoteText"/>
      </w:pPr>
      <w:r w:rsidRPr="009B6D36">
        <w:rPr>
          <w:rStyle w:val="FootnoteReference0"/>
          <w:vertAlign w:val="baseline"/>
        </w:rPr>
        <w:footnoteRef/>
      </w:r>
      <w:r w:rsidRPr="009B6D36">
        <w:rPr>
          <w:rtl/>
        </w:rPr>
        <w:t xml:space="preserve"> </w:t>
      </w:r>
      <w:r w:rsidRPr="009B6D36">
        <w:rPr>
          <w:rtl/>
        </w:rPr>
        <w:tab/>
        <w:t>התמכרויות המוכרות כהפרעה נפשית בספר ההבחנות הנפשיות האמריקאי (5-</w:t>
      </w:r>
      <w:r w:rsidRPr="009B6D36">
        <w:t>DSM</w:t>
      </w:r>
      <w:r w:rsidRPr="009B6D36">
        <w:rPr>
          <w:rtl/>
        </w:rPr>
        <w:t>) משנת 2013.</w:t>
      </w:r>
    </w:p>
  </w:footnote>
  <w:footnote w:id="19">
    <w:p w:rsidR="009B6D36" w:rsidRPr="009B6D36" w:rsidP="009B6D36">
      <w:pPr>
        <w:pStyle w:val="FootnoteText"/>
        <w:rPr>
          <w:rtl/>
        </w:rPr>
      </w:pPr>
      <w:r w:rsidRPr="009B6D36">
        <w:rPr>
          <w:rStyle w:val="FootnoteReference0"/>
          <w:vertAlign w:val="baseline"/>
        </w:rPr>
        <w:footnoteRef/>
      </w:r>
      <w:r w:rsidRPr="009B6D36">
        <w:rPr>
          <w:rtl/>
        </w:rPr>
        <w:t xml:space="preserve"> </w:t>
      </w:r>
      <w:r w:rsidRPr="009B6D36">
        <w:rPr>
          <w:rtl/>
        </w:rPr>
        <w:tab/>
        <w:t xml:space="preserve">יצוין כי בתקופת הביקורת כ-80% מהמבוטחים בישראל מכוח חוק ביטוח בריאות ממלכתי, התשנ"ד-1994 ותקנותיו היו מבוטחים בשירותי בריאות כללית או במכבי שירותי בריאות (ראו: המוסד לביטוח לאומי, </w:t>
      </w:r>
      <w:r w:rsidRPr="009B6D36">
        <w:rPr>
          <w:b/>
          <w:bCs/>
          <w:rtl/>
        </w:rPr>
        <w:t>דו"ח מסכם על ניהול קובץ בריאות בחודשים מרץ-מאי 2018 וחישוב מפתח החלוקה ליום 1.7.18</w:t>
      </w:r>
      <w:r w:rsidRPr="009B6D36">
        <w:rPr>
          <w:rtl/>
        </w:rPr>
        <w:t>).</w:t>
      </w:r>
    </w:p>
  </w:footnote>
  <w:footnote w:id="20">
    <w:p w:rsidR="009B6D36" w:rsidRPr="009B6D36" w:rsidP="009B6D36">
      <w:pPr>
        <w:pStyle w:val="FootnoteText"/>
        <w:rPr>
          <w:rtl/>
        </w:rPr>
      </w:pPr>
      <w:r w:rsidRPr="009B6D36">
        <w:rPr>
          <w:rStyle w:val="FootnoteReference0"/>
          <w:vertAlign w:val="baseline"/>
        </w:rPr>
        <w:footnoteRef/>
      </w:r>
      <w:r w:rsidRPr="009B6D36">
        <w:rPr>
          <w:rtl/>
        </w:rPr>
        <w:t xml:space="preserve"> </w:t>
      </w:r>
      <w:r w:rsidRPr="009B6D36">
        <w:rPr>
          <w:rtl/>
        </w:rPr>
        <w:tab/>
        <w:t xml:space="preserve">השירות לטיפול בהתמכרויות, </w:t>
      </w:r>
      <w:r w:rsidRPr="009B6D36">
        <w:rPr>
          <w:b/>
          <w:bCs/>
          <w:rtl/>
        </w:rPr>
        <w:t>חזון מדיניות פרקטיקה ונתונים - 2017</w:t>
      </w:r>
      <w:r w:rsidRPr="009B6D36">
        <w:rPr>
          <w:rtl/>
        </w:rPr>
        <w:t>, עמ' 2.</w:t>
      </w:r>
    </w:p>
  </w:footnote>
  <w:footnote w:id="21">
    <w:p w:rsidR="009B6D36" w:rsidRPr="009B6D36" w:rsidP="009B6D36">
      <w:pPr>
        <w:pStyle w:val="FootnoteText"/>
      </w:pPr>
      <w:r w:rsidRPr="009B6D36">
        <w:rPr>
          <w:rStyle w:val="FootnoteReference0"/>
          <w:vertAlign w:val="baseline"/>
        </w:rPr>
        <w:footnoteRef/>
      </w:r>
      <w:r w:rsidRPr="009B6D36">
        <w:rPr>
          <w:rtl/>
        </w:rPr>
        <w:t xml:space="preserve"> </w:t>
      </w:r>
      <w:r w:rsidRPr="009B6D36">
        <w:rPr>
          <w:rtl/>
        </w:rPr>
        <w:tab/>
        <w:t xml:space="preserve">עו"ס משפחה הוא עו"ס שהוכשר בהכשרה ייעודית, מנהל את הטיפול בנזקקים ובמשפחותיהם ואת כל המגעים עם הגורמים, </w:t>
      </w:r>
      <w:r w:rsidRPr="009B6D36">
        <w:rPr>
          <w:rtl/>
        </w:rPr>
        <w:t>במש"ח</w:t>
      </w:r>
      <w:r w:rsidRPr="009B6D36">
        <w:rPr>
          <w:rtl/>
        </w:rPr>
        <w:t xml:space="preserve"> ומחוץ לה, המעורבים בטיפול במשפחה.</w:t>
      </w:r>
    </w:p>
  </w:footnote>
  <w:footnote w:id="22">
    <w:p w:rsidR="009B6D36" w:rsidRPr="009B6D36" w:rsidP="009B6D36">
      <w:pPr>
        <w:pStyle w:val="FootnoteText"/>
      </w:pPr>
      <w:r w:rsidRPr="009B6D36">
        <w:rPr>
          <w:rStyle w:val="FootnoteReference0"/>
          <w:vertAlign w:val="baseline"/>
        </w:rPr>
        <w:footnoteRef/>
      </w:r>
      <w:r w:rsidRPr="009B6D36">
        <w:rPr>
          <w:rtl/>
        </w:rPr>
        <w:t xml:space="preserve"> </w:t>
      </w:r>
      <w:r w:rsidRPr="009B6D36">
        <w:rPr>
          <w:rtl/>
        </w:rPr>
        <w:tab/>
        <w:t>במקרים שבהם האבחנה כללה שימוש באלכוהול ושימוש בסמים נספרה הפנייה פעמיים.</w:t>
      </w:r>
    </w:p>
  </w:footnote>
  <w:footnote w:id="23">
    <w:p w:rsidR="009B6D36" w:rsidRPr="009B6D36" w:rsidP="009B6D36">
      <w:pPr>
        <w:pStyle w:val="FootnoteText"/>
      </w:pPr>
      <w:r w:rsidRPr="009B6D36">
        <w:rPr>
          <w:rStyle w:val="FootnoteReference0"/>
          <w:vertAlign w:val="baseline"/>
        </w:rPr>
        <w:footnoteRef/>
      </w:r>
      <w:r w:rsidRPr="009B6D36">
        <w:rPr>
          <w:rtl/>
        </w:rPr>
        <w:t xml:space="preserve"> </w:t>
      </w:r>
      <w:r w:rsidRPr="009B6D36">
        <w:rPr>
          <w:rtl/>
        </w:rPr>
        <w:tab/>
        <w:t xml:space="preserve">בערב, בלילה, בשבת או בחג מוזעק עו"ס כונן במקרים חריגים בהם נדרשת התערבות </w:t>
      </w:r>
      <w:r w:rsidRPr="009B6D36">
        <w:rPr>
          <w:rtl/>
        </w:rPr>
        <w:t>מיידית</w:t>
      </w:r>
      <w:r w:rsidRPr="009B6D36">
        <w:rPr>
          <w:rtl/>
        </w:rPr>
        <w:t xml:space="preserve"> כגון איתור וזימון בני משפחה לקטינים, צורך בסידור </w:t>
      </w:r>
      <w:r w:rsidRPr="009B6D36">
        <w:rPr>
          <w:rtl/>
        </w:rPr>
        <w:t>מיידי</w:t>
      </w:r>
      <w:r w:rsidRPr="009B6D36">
        <w:rPr>
          <w:rtl/>
        </w:rPr>
        <w:t xml:space="preserve"> בדיור, קשר עם משפחה </w:t>
      </w:r>
      <w:r w:rsidRPr="009B6D36">
        <w:rPr>
          <w:rtl/>
        </w:rPr>
        <w:t>וכיוצ"ב</w:t>
      </w:r>
      <w:r w:rsidRPr="009B6D36">
        <w:rPr>
          <w:rtl/>
        </w:rPr>
        <w:t>.</w:t>
      </w:r>
    </w:p>
  </w:footnote>
  <w:footnote w:id="24">
    <w:p w:rsidR="009B6D36" w:rsidRPr="009B6D36" w:rsidP="009B6D36">
      <w:pPr>
        <w:pStyle w:val="FootnoteText"/>
      </w:pPr>
      <w:r w:rsidRPr="009B6D36">
        <w:rPr>
          <w:rStyle w:val="FootnoteReference0"/>
          <w:vertAlign w:val="baseline"/>
        </w:rPr>
        <w:footnoteRef/>
      </w:r>
      <w:r w:rsidRPr="009B6D36">
        <w:rPr>
          <w:rtl/>
        </w:rPr>
        <w:t xml:space="preserve"> </w:t>
      </w:r>
      <w:r w:rsidRPr="009B6D36">
        <w:rPr>
          <w:rtl/>
        </w:rPr>
        <w:tab/>
        <w:t>חוזר מדצמבר 1994 שקובע שיש לצייד את המטופל שאינו משתתף בתוכנית גמילה או שיקום במכתב הפנייה וברשימה של נותני שירותים בתחום הגמילה באזור מגוריו.</w:t>
      </w:r>
    </w:p>
  </w:footnote>
  <w:footnote w:id="25">
    <w:p w:rsidR="009B6D36" w:rsidRPr="009B6D36" w:rsidP="009B6D36">
      <w:pPr>
        <w:pStyle w:val="FootnoteText"/>
      </w:pPr>
      <w:r w:rsidRPr="009B6D36">
        <w:rPr>
          <w:rStyle w:val="FootnoteReference0"/>
          <w:vertAlign w:val="baseline"/>
        </w:rPr>
        <w:footnoteRef/>
      </w:r>
      <w:r w:rsidRPr="009B6D36">
        <w:rPr>
          <w:rtl/>
        </w:rPr>
        <w:t xml:space="preserve"> </w:t>
      </w:r>
      <w:r w:rsidRPr="009B6D36">
        <w:rPr>
          <w:rtl/>
        </w:rPr>
        <w:tab/>
        <w:t xml:space="preserve">כגון איתור וזימון בני משפחה לקטינים, צורך בסידור </w:t>
      </w:r>
      <w:r w:rsidRPr="009B6D36">
        <w:rPr>
          <w:rtl/>
        </w:rPr>
        <w:t>מיידי</w:t>
      </w:r>
      <w:r w:rsidRPr="009B6D36">
        <w:rPr>
          <w:rtl/>
        </w:rPr>
        <w:t xml:space="preserve"> בדיור, קשר עם משפחה וכיו"ב.</w:t>
      </w:r>
    </w:p>
  </w:footnote>
  <w:footnote w:id="26">
    <w:p w:rsidR="009B6D36" w:rsidRPr="009B6D36" w:rsidP="009B6D36">
      <w:pPr>
        <w:pStyle w:val="FootnoteText"/>
        <w:rPr>
          <w:rtl/>
        </w:rPr>
      </w:pPr>
      <w:r w:rsidRPr="009B6D36">
        <w:rPr>
          <w:rStyle w:val="FootnoteReference0"/>
          <w:vertAlign w:val="baseline"/>
        </w:rPr>
        <w:footnoteRef/>
      </w:r>
      <w:r w:rsidRPr="009B6D36">
        <w:rPr>
          <w:rtl/>
        </w:rPr>
        <w:t xml:space="preserve"> </w:t>
      </w:r>
      <w:r w:rsidRPr="009B6D36">
        <w:rPr>
          <w:rtl/>
        </w:rPr>
        <w:tab/>
        <w:t xml:space="preserve">בעניין </w:t>
      </w:r>
      <w:r w:rsidRPr="009B6D36">
        <w:rPr>
          <w:rtl/>
        </w:rPr>
        <w:t>הנגשת</w:t>
      </w:r>
      <w:r w:rsidRPr="009B6D36">
        <w:rPr>
          <w:rtl/>
        </w:rPr>
        <w:t xml:space="preserve"> מידע בבתי החולים ראו מבקר המדינה, </w:t>
      </w:r>
      <w:r w:rsidRPr="009B6D36">
        <w:rPr>
          <w:b/>
          <w:bCs/>
          <w:rtl/>
        </w:rPr>
        <w:t>דוח שנתי 65ג</w:t>
      </w:r>
      <w:r w:rsidRPr="009B6D36">
        <w:rPr>
          <w:rtl/>
        </w:rPr>
        <w:t xml:space="preserve"> (2015), "אי-מיצוי של זכויות חברתיות", עמ' 41-39.</w:t>
      </w:r>
    </w:p>
  </w:footnote>
  <w:footnote w:id="27">
    <w:p w:rsidR="009B6D36" w:rsidRPr="009B6D36" w:rsidP="009B6D36">
      <w:pPr>
        <w:pStyle w:val="FootnoteText"/>
      </w:pPr>
      <w:r w:rsidRPr="009B6D36">
        <w:rPr>
          <w:rStyle w:val="FootnoteReference0"/>
          <w:vertAlign w:val="baseline"/>
        </w:rPr>
        <w:footnoteRef/>
      </w:r>
      <w:r w:rsidRPr="009B6D36">
        <w:rPr>
          <w:rtl/>
        </w:rPr>
        <w:t xml:space="preserve"> </w:t>
      </w:r>
      <w:r w:rsidRPr="009B6D36">
        <w:rPr>
          <w:rtl/>
        </w:rPr>
        <w:tab/>
        <w:t>חוזר שירותי רפואה בנוגע "לטיפול בנפגעי סמים, אלכוהול או תרופות הפונים לחדר מיון" מדצמבר 1994 קובע שיש לצייד את המטופל שאינו משתתף בתוכנית גמילה או שיקום במכתב הפניה ורשימה של נותני שירותים בתחום הגמילה באזור מגוריו.</w:t>
      </w:r>
    </w:p>
  </w:footnote>
  <w:footnote w:id="28">
    <w:p w:rsidR="009B6D36" w:rsidRPr="009B6D36" w:rsidP="009B6D36">
      <w:pPr>
        <w:pStyle w:val="FootnoteText"/>
        <w:rPr>
          <w:rtl/>
        </w:rPr>
      </w:pPr>
      <w:r w:rsidRPr="009B6D36">
        <w:rPr>
          <w:rStyle w:val="FootnoteReference0"/>
          <w:vertAlign w:val="baseline"/>
        </w:rPr>
        <w:footnoteRef/>
      </w:r>
      <w:r w:rsidRPr="009B6D36">
        <w:rPr>
          <w:rtl/>
        </w:rPr>
        <w:t xml:space="preserve"> </w:t>
      </w:r>
      <w:r w:rsidRPr="009B6D36">
        <w:rPr>
          <w:rtl/>
        </w:rPr>
        <w:tab/>
        <w:t>החוזר העוסק ב"הפעלת שירותי עבודה סוציאלית במערך שירותי הבריאות בקהילה".</w:t>
      </w:r>
    </w:p>
  </w:footnote>
  <w:footnote w:id="29">
    <w:p w:rsidR="009B6D36" w:rsidRPr="009B6D36" w:rsidP="009B6D36">
      <w:pPr>
        <w:pStyle w:val="FootnoteText"/>
      </w:pPr>
      <w:r w:rsidRPr="009B6D36">
        <w:rPr>
          <w:rStyle w:val="FootnoteReference0"/>
          <w:vertAlign w:val="baseline"/>
        </w:rPr>
        <w:footnoteRef/>
      </w:r>
      <w:r w:rsidRPr="009B6D36">
        <w:rPr>
          <w:rtl/>
        </w:rPr>
        <w:t xml:space="preserve"> </w:t>
      </w:r>
      <w:r w:rsidRPr="009B6D36">
        <w:rPr>
          <w:rtl/>
        </w:rPr>
        <w:tab/>
        <w:t xml:space="preserve">משרד ראש הממשלה - האגף לתכנון מדיניות, </w:t>
      </w:r>
      <w:r w:rsidRPr="009B6D36">
        <w:rPr>
          <w:b/>
          <w:bCs/>
          <w:rtl/>
        </w:rPr>
        <w:t>מדריך התכנון הממשלתי</w:t>
      </w:r>
      <w:r w:rsidRPr="009B6D36">
        <w:rPr>
          <w:rtl/>
        </w:rPr>
        <w:t xml:space="preserve"> (ספטמבר 2010). </w:t>
      </w:r>
    </w:p>
  </w:footnote>
  <w:footnote w:id="30">
    <w:p w:rsidR="009B6D36" w:rsidRPr="009B6D36" w:rsidP="009B6D36">
      <w:pPr>
        <w:pStyle w:val="FootnoteText"/>
        <w:rPr>
          <w:rtl/>
        </w:rPr>
      </w:pPr>
      <w:r w:rsidRPr="009B6D36">
        <w:rPr>
          <w:rStyle w:val="FootnoteReference0"/>
          <w:vertAlign w:val="baseline"/>
        </w:rPr>
        <w:footnoteRef/>
      </w:r>
      <w:r w:rsidRPr="009B6D36">
        <w:rPr>
          <w:rtl/>
        </w:rPr>
        <w:t xml:space="preserve"> </w:t>
      </w:r>
      <w:r w:rsidRPr="009B6D36">
        <w:rPr>
          <w:rtl/>
        </w:rPr>
        <w:tab/>
        <w:t xml:space="preserve">תרופות אלה פועלות באמצעות קשירה לקולטנים </w:t>
      </w:r>
      <w:r w:rsidRPr="009B6D36">
        <w:rPr>
          <w:rtl/>
        </w:rPr>
        <w:t>אופיואידיים</w:t>
      </w:r>
      <w:r w:rsidRPr="009B6D36">
        <w:rPr>
          <w:rtl/>
        </w:rPr>
        <w:t xml:space="preserve">, ולכן הן נקראות לעיתים בשם "תרופות </w:t>
      </w:r>
      <w:r w:rsidRPr="009B6D36">
        <w:rPr>
          <w:rtl/>
        </w:rPr>
        <w:t>אופיאטיות</w:t>
      </w:r>
      <w:r w:rsidRPr="009B6D36">
        <w:rPr>
          <w:rtl/>
        </w:rPr>
        <w:t>".</w:t>
      </w:r>
    </w:p>
  </w:footnote>
  <w:footnote w:id="31">
    <w:p w:rsidR="009B6D36" w:rsidRPr="009B6D36" w:rsidP="009B6D36">
      <w:pPr>
        <w:pStyle w:val="FootnoteText"/>
      </w:pPr>
      <w:r w:rsidRPr="009B6D36">
        <w:rPr>
          <w:rStyle w:val="FootnoteReference0"/>
          <w:vertAlign w:val="baseline"/>
        </w:rPr>
        <w:footnoteRef/>
      </w:r>
      <w:r w:rsidRPr="009B6D36">
        <w:rPr>
          <w:rtl/>
        </w:rPr>
        <w:t xml:space="preserve"> </w:t>
      </w:r>
      <w:r w:rsidRPr="009B6D36">
        <w:rPr>
          <w:rtl/>
        </w:rPr>
        <w:tab/>
        <w:t>ספר ההבחנות הנפשיות האמריקאי (5-</w:t>
      </w:r>
      <w:r w:rsidRPr="009B6D36">
        <w:t>DSM</w:t>
      </w:r>
      <w:r w:rsidRPr="009B6D36">
        <w:rPr>
          <w:rtl/>
        </w:rPr>
        <w:t>) משנת 2013</w:t>
      </w:r>
      <w:r w:rsidRPr="009B6D36">
        <w:t xml:space="preserve"> </w:t>
      </w:r>
      <w:r w:rsidRPr="009B6D36">
        <w:rPr>
          <w:rtl/>
        </w:rPr>
        <w:t>מכיר בהתמכרות התנהגותית כהפרעה נפשית לצד ההתמכרויות לחומרים (סמים ואלכוהול), ובכלל זה התמכרות להימורים.</w:t>
      </w:r>
    </w:p>
  </w:footnote>
  <w:footnote w:id="32">
    <w:p w:rsidR="009B6D36" w:rsidRPr="009B6D36" w:rsidP="009B6D36">
      <w:pPr>
        <w:pStyle w:val="FootnoteText"/>
        <w:rPr>
          <w:rtl/>
        </w:rPr>
      </w:pPr>
      <w:r w:rsidRPr="009B6D36">
        <w:rPr>
          <w:rStyle w:val="FootnoteReference0"/>
          <w:vertAlign w:val="baseline"/>
        </w:rPr>
        <w:footnoteRef/>
      </w:r>
      <w:r w:rsidRPr="009B6D36">
        <w:rPr>
          <w:rtl/>
        </w:rPr>
        <w:t xml:space="preserve"> </w:t>
      </w:r>
      <w:r w:rsidRPr="009B6D36">
        <w:rPr>
          <w:rtl/>
        </w:rPr>
        <w:tab/>
        <w:t xml:space="preserve">מפעל הפיס וחברת </w:t>
      </w:r>
      <w:r w:rsidRPr="009B6D36">
        <w:rPr>
          <w:rtl/>
        </w:rPr>
        <w:t>ברנדמן</w:t>
      </w:r>
      <w:r w:rsidRPr="009B6D36">
        <w:rPr>
          <w:rtl/>
        </w:rPr>
        <w:t xml:space="preserve"> מחקרים, </w:t>
      </w:r>
      <w:r w:rsidRPr="009B6D36">
        <w:rPr>
          <w:b/>
          <w:bCs/>
          <w:rtl/>
        </w:rPr>
        <w:t>דוח תקופתי: מעקב אחר אומדן הסיכון להתמכרות להגרלות והימורים בישראל השוואה בין מגזרים</w:t>
      </w:r>
      <w:r w:rsidRPr="009B6D36">
        <w:rPr>
          <w:rtl/>
        </w:rPr>
        <w:t xml:space="preserve"> (אוגוסט 2017).</w:t>
      </w:r>
    </w:p>
  </w:footnote>
  <w:footnote w:id="33">
    <w:p w:rsidR="009B6D36" w:rsidRPr="009B6D36" w:rsidP="009B6D36">
      <w:pPr>
        <w:pStyle w:val="FootnoteText"/>
      </w:pPr>
      <w:r w:rsidRPr="009B6D36">
        <w:rPr>
          <w:rStyle w:val="FootnoteReference0"/>
          <w:vertAlign w:val="baseline"/>
        </w:rPr>
        <w:footnoteRef/>
      </w:r>
      <w:r w:rsidRPr="009B6D36">
        <w:rPr>
          <w:rtl/>
        </w:rPr>
        <w:t xml:space="preserve"> </w:t>
      </w:r>
      <w:r w:rsidRPr="009B6D36">
        <w:rPr>
          <w:rtl/>
        </w:rPr>
        <w:tab/>
        <w:t>המחקר נערך בקרב מדגם של 10,000 יהודים מעל גיל 18 ו-1,000 ערבים מעל גיל 18.</w:t>
      </w:r>
    </w:p>
  </w:footnote>
  <w:footnote w:id="34">
    <w:p w:rsidR="009B6D36" w:rsidRPr="009B6D36" w:rsidP="009B6D36">
      <w:pPr>
        <w:pStyle w:val="FootnoteText"/>
        <w:rPr>
          <w:rtl/>
        </w:rPr>
      </w:pPr>
      <w:r w:rsidRPr="009B6D36">
        <w:rPr>
          <w:rStyle w:val="FootnoteReference0"/>
          <w:vertAlign w:val="baseline"/>
        </w:rPr>
        <w:footnoteRef/>
      </w:r>
      <w:r w:rsidRPr="009B6D36">
        <w:rPr>
          <w:rtl/>
        </w:rPr>
        <w:t xml:space="preserve"> </w:t>
      </w:r>
      <w:r w:rsidRPr="009B6D36">
        <w:rPr>
          <w:rtl/>
        </w:rPr>
        <w:tab/>
        <w:t>על פי נתוני הלשכה המרכזית לסטטיסטיקה לשנת 2016, מנתה אוכלוסיית ישראל 4,663,500 יהודים מעל גיל 18 ו-1,057,700 ערבים מעל גיל 18.</w:t>
      </w:r>
    </w:p>
  </w:footnote>
  <w:footnote w:id="35">
    <w:p w:rsidR="009B6D36" w:rsidRPr="009B6D36" w:rsidP="009B6D36">
      <w:pPr>
        <w:pStyle w:val="FootnoteText"/>
      </w:pPr>
      <w:r w:rsidRPr="009B6D36">
        <w:rPr>
          <w:rStyle w:val="FootnoteReference0"/>
          <w:vertAlign w:val="baseline"/>
        </w:rPr>
        <w:footnoteRef/>
      </w:r>
      <w:r w:rsidRPr="009B6D36">
        <w:rPr>
          <w:rtl/>
        </w:rPr>
        <w:t xml:space="preserve"> </w:t>
      </w:r>
      <w:r w:rsidRPr="009B6D36">
        <w:rPr>
          <w:rtl/>
        </w:rPr>
        <w:tab/>
      </w:r>
      <w:r w:rsidRPr="009B6D36">
        <w:rPr>
          <w:rtl/>
        </w:rPr>
        <w:t>התע"ס</w:t>
      </w:r>
      <w:r w:rsidRPr="009B6D36">
        <w:rPr>
          <w:rtl/>
        </w:rPr>
        <w:t xml:space="preserve"> קובע כישורים נדרשים ומאפייני משרה של עו"ס לטיפול במכורים לסמים ושל עו"ס לטיפול במכורים לאלכוהול.</w:t>
      </w:r>
    </w:p>
  </w:footnote>
  <w:footnote w:id="36">
    <w:p w:rsidR="009B6D36" w:rsidRPr="009B6D36" w:rsidP="009B6D36">
      <w:pPr>
        <w:pStyle w:val="FootnoteText"/>
        <w:rPr>
          <w:rtl/>
        </w:rPr>
      </w:pPr>
      <w:r w:rsidRPr="009B6D36">
        <w:rPr>
          <w:rStyle w:val="FootnoteReference0"/>
          <w:vertAlign w:val="baseline"/>
        </w:rPr>
        <w:footnoteRef/>
      </w:r>
      <w:r w:rsidRPr="009B6D36">
        <w:rPr>
          <w:rtl/>
        </w:rPr>
        <w:t xml:space="preserve"> </w:t>
      </w:r>
      <w:r w:rsidRPr="009B6D36">
        <w:rPr>
          <w:rtl/>
        </w:rPr>
        <w:tab/>
        <w:t>על פי חוק העונשין, התשל"ז-1977 בסמכות שר האוצר (או מי שהסמיך לכך) לתת היתר למפעל הפיס לערוך הימורים. על פי החוק להסדר ההימורים בספורט, התשכ"ז-1967 בסמכות שר האוצר (ובסמכות השר הממונה על הספורט וועדת הכספים של הכנסת) לאשר למועצה להסדר ההימורים בספורט לערוך הימורי ספורט.</w:t>
      </w:r>
    </w:p>
  </w:footnote>
  <w:footnote w:id="37">
    <w:p w:rsidR="009B6D36" w:rsidRPr="009B6D36" w:rsidP="009B6D36">
      <w:pPr>
        <w:pStyle w:val="FootnoteText"/>
        <w:rPr>
          <w:rtl/>
        </w:rPr>
      </w:pPr>
      <w:r w:rsidRPr="009B6D36">
        <w:rPr>
          <w:rStyle w:val="FootnoteReference0"/>
          <w:vertAlign w:val="baseline"/>
        </w:rPr>
        <w:footnoteRef/>
      </w:r>
      <w:r w:rsidRPr="009B6D36">
        <w:rPr>
          <w:rtl/>
        </w:rPr>
        <w:t xml:space="preserve"> </w:t>
      </w:r>
      <w:r w:rsidRPr="009B6D36">
        <w:rPr>
          <w:rtl/>
        </w:rPr>
        <w:tab/>
        <w:t xml:space="preserve">הוועדה הבין-משרדית לטיפול במכורים להימורים זומנה על-ידי מנכ"ל משרד האוצר בהמשך להמלצות שהגיש בפברואר 2016 צוות לגיבוש </w:t>
      </w:r>
      <w:r w:rsidRPr="009B6D36">
        <w:rPr>
          <w:rtl/>
        </w:rPr>
        <w:t>תוכנית</w:t>
      </w:r>
      <w:r w:rsidRPr="009B6D36">
        <w:rPr>
          <w:rtl/>
        </w:rPr>
        <w:t xml:space="preserve"> להסדרה ולפיקוח על ההימורים החוקיים בישראל (צוות שהוקם מכוח החלטת ממשלה 4474 ממרץ 2012) ולהמלצות "הוועדה לבחינת ייעול שוק ההימורים החוקיים בישראל ומודל הקצאת הרווחים לציבור" שהוגשו באוגוסט 2016 (המלצות שאומצו בהחלטת הממשלה מס' 1902 מאוגוסט 2016).</w:t>
      </w:r>
    </w:p>
  </w:footnote>
  <w:footnote w:id="38">
    <w:p w:rsidR="009B6D36" w:rsidRPr="009B6D36" w:rsidP="009B6D36">
      <w:pPr>
        <w:pStyle w:val="FootnoteText"/>
        <w:rPr>
          <w:rtl/>
        </w:rPr>
      </w:pPr>
      <w:r w:rsidRPr="009B6D36">
        <w:rPr>
          <w:rStyle w:val="FootnoteReference0"/>
          <w:vertAlign w:val="baseline"/>
        </w:rPr>
        <w:footnoteRef/>
      </w:r>
      <w:r w:rsidRPr="009B6D36">
        <w:rPr>
          <w:rtl/>
        </w:rPr>
        <w:t xml:space="preserve"> </w:t>
      </w:r>
      <w:r w:rsidRPr="009B6D36">
        <w:rPr>
          <w:rtl/>
        </w:rPr>
        <w:tab/>
        <w:t>הכוללים: איתור, אבחון וטיפול סוציאלי באופן פרטני, ריפוי בעיסוק, טיפול קבוצתי, התערבויות משפחתיות ושיקום תעסוקתי.</w:t>
      </w:r>
    </w:p>
  </w:footnote>
  <w:footnote w:id="39">
    <w:p w:rsidR="009B6D36" w:rsidRPr="009B6D36" w:rsidP="009B6D36">
      <w:pPr>
        <w:pStyle w:val="FootnoteText"/>
      </w:pPr>
      <w:r w:rsidRPr="009B6D36">
        <w:rPr>
          <w:rStyle w:val="FootnoteReference0"/>
          <w:vertAlign w:val="baseline"/>
        </w:rPr>
        <w:footnoteRef/>
      </w:r>
      <w:r w:rsidRPr="009B6D36">
        <w:rPr>
          <w:rtl/>
        </w:rPr>
        <w:t xml:space="preserve"> </w:t>
      </w:r>
      <w:r w:rsidRPr="009B6D36">
        <w:rPr>
          <w:rtl/>
        </w:rPr>
        <w:tab/>
        <w:t xml:space="preserve">מבקר המדינה, </w:t>
      </w:r>
      <w:r w:rsidRPr="009B6D36">
        <w:rPr>
          <w:b/>
          <w:bCs/>
          <w:rtl/>
        </w:rPr>
        <w:t>קובץ דוחות ביקורת לשנת 2011-התשע"ב</w:t>
      </w:r>
      <w:r w:rsidRPr="009B6D36">
        <w:rPr>
          <w:rtl/>
        </w:rPr>
        <w:t>, "ועדות בשירות המדינה", עמ' 17.</w:t>
      </w:r>
    </w:p>
  </w:footnote>
  <w:footnote w:id="40">
    <w:p w:rsidR="009B6D36" w:rsidRPr="009B6D36" w:rsidP="009B6D36">
      <w:pPr>
        <w:pStyle w:val="FootnoteText"/>
        <w:rPr>
          <w:rtl/>
        </w:rPr>
      </w:pPr>
      <w:r w:rsidRPr="009B6D36">
        <w:rPr>
          <w:rStyle w:val="FootnoteReference0"/>
          <w:vertAlign w:val="baseline"/>
        </w:rPr>
        <w:footnoteRef/>
      </w:r>
      <w:r w:rsidRPr="009B6D36">
        <w:rPr>
          <w:rtl/>
        </w:rPr>
        <w:t xml:space="preserve"> </w:t>
      </w:r>
      <w:r w:rsidRPr="009B6D36">
        <w:rPr>
          <w:rtl/>
        </w:rPr>
        <w:tab/>
        <w:t xml:space="preserve">בשנת 2014 היו בארצות הברית כמעט שני מיליון שהתמכרו לתרופות מרשם או שעשו בהן שימוש מזיק. באירופה דווח כי משנת 2013 חלה עלייה בשימוש מזיק בתרופות מרשם ב-18 מדינות. </w:t>
      </w:r>
    </w:p>
  </w:footnote>
  <w:footnote w:id="41">
    <w:p w:rsidR="009B6D36" w:rsidRPr="009B6D36" w:rsidP="009B6D36">
      <w:pPr>
        <w:pStyle w:val="FootnoteText"/>
        <w:rPr>
          <w:rtl/>
        </w:rPr>
      </w:pPr>
      <w:r w:rsidRPr="009B6D36">
        <w:rPr>
          <w:rStyle w:val="FootnoteReference0"/>
          <w:vertAlign w:val="baseline"/>
        </w:rPr>
        <w:footnoteRef/>
      </w:r>
      <w:r w:rsidRPr="009B6D36">
        <w:rPr>
          <w:rtl/>
        </w:rPr>
        <w:t xml:space="preserve"> </w:t>
      </w:r>
      <w:r w:rsidRPr="009B6D36">
        <w:rPr>
          <w:rtl/>
        </w:rPr>
        <w:tab/>
        <w:t>מסמכי הנחיות לרופאים מה-</w:t>
      </w:r>
      <w:r w:rsidRPr="009B6D36">
        <w:t>CDC</w:t>
      </w:r>
      <w:r w:rsidRPr="009B6D36">
        <w:rPr>
          <w:rtl/>
        </w:rPr>
        <w:t xml:space="preserve"> (</w:t>
      </w:r>
      <w:r w:rsidRPr="009B6D36">
        <w:t>Centers for Disease Control and Prevention</w:t>
      </w:r>
      <w:r w:rsidRPr="009B6D36">
        <w:rPr>
          <w:rtl/>
        </w:rPr>
        <w:t xml:space="preserve"> - מרכזים לבקרת מחלות ומניעתן) ואף פורסם בעניין מזכר נשיאותי:</w:t>
      </w:r>
    </w:p>
    <w:p w:rsidR="009B6D36" w:rsidRPr="009B6D36" w:rsidP="009B6D36">
      <w:pPr>
        <w:pStyle w:val="FootnoteText"/>
        <w:bidi w:val="0"/>
        <w:spacing w:line="269" w:lineRule="auto"/>
        <w:ind w:left="2268" w:right="397" w:firstLine="0"/>
      </w:pPr>
      <w:r w:rsidRPr="009B6D36">
        <w:t>Barak Obama Presidential Memorandum, White House, 21.10.15</w:t>
      </w:r>
      <w:r w:rsidRPr="009B6D36">
        <w:rPr>
          <w:rtl/>
        </w:rPr>
        <w:t>.</w:t>
      </w:r>
    </w:p>
  </w:footnote>
  <w:footnote w:id="42">
    <w:p w:rsidR="009B6D36" w:rsidRPr="009B6D36" w:rsidP="009B6D36">
      <w:pPr>
        <w:pStyle w:val="FootnoteText"/>
        <w:rPr>
          <w:rtl/>
        </w:rPr>
      </w:pPr>
      <w:r w:rsidRPr="009B6D36">
        <w:rPr>
          <w:rStyle w:val="FootnoteReference0"/>
          <w:vertAlign w:val="baseline"/>
        </w:rPr>
        <w:footnoteRef/>
      </w:r>
      <w:r w:rsidRPr="009B6D36">
        <w:rPr>
          <w:rtl/>
        </w:rPr>
        <w:t xml:space="preserve"> </w:t>
      </w:r>
      <w:r w:rsidRPr="009B6D36">
        <w:rPr>
          <w:rtl/>
        </w:rPr>
        <w:tab/>
        <w:t xml:space="preserve">מסמכי הנחיות לרופאים מהמרכז האירופאי לניטור סמים והתמכרות לסמים: </w:t>
      </w:r>
    </w:p>
    <w:p w:rsidR="009B6D36" w:rsidRPr="009B6D36" w:rsidP="009B6D36">
      <w:pPr>
        <w:pStyle w:val="FootnoteText"/>
        <w:bidi w:val="0"/>
        <w:spacing w:line="269" w:lineRule="auto"/>
        <w:ind w:left="2268" w:right="397" w:firstLine="0"/>
        <w:rPr>
          <w:rtl/>
        </w:rPr>
      </w:pPr>
      <w:r w:rsidRPr="009B6D36">
        <w:t>MCDDA</w:t>
      </w:r>
      <w:r w:rsidRPr="009B6D36">
        <w:rPr>
          <w:rtl/>
        </w:rPr>
        <w:t xml:space="preserve"> - </w:t>
      </w:r>
      <w:r w:rsidRPr="009B6D36">
        <w:t>European Monitoring Centre for Drugs and Drug Addiction</w:t>
      </w:r>
      <w:r w:rsidRPr="009B6D36">
        <w:rPr>
          <w:rtl/>
        </w:rPr>
        <w:t xml:space="preserve"> </w:t>
      </w:r>
    </w:p>
  </w:footnote>
  <w:footnote w:id="43">
    <w:p w:rsidR="009B6D36" w:rsidRPr="009B6D36" w:rsidP="009B6D36">
      <w:pPr>
        <w:pStyle w:val="FootnoteText"/>
      </w:pPr>
      <w:r w:rsidRPr="009B6D36">
        <w:rPr>
          <w:rStyle w:val="FootnoteReference0"/>
          <w:vertAlign w:val="baseline"/>
        </w:rPr>
        <w:footnoteRef/>
      </w:r>
      <w:r w:rsidRPr="009B6D36">
        <w:rPr>
          <w:rtl/>
        </w:rPr>
        <w:t xml:space="preserve"> </w:t>
      </w:r>
      <w:r w:rsidRPr="009B6D36">
        <w:rPr>
          <w:rtl/>
        </w:rPr>
        <w:tab/>
      </w:r>
      <w:r w:rsidRPr="009B6D36">
        <w:rPr>
          <w:b/>
          <w:bCs/>
          <w:rtl/>
        </w:rPr>
        <w:t>התוכנית הלאומית לבריאות דיגיטלית כמנוע צמיחה</w:t>
      </w:r>
      <w:r w:rsidRPr="009B6D36">
        <w:rPr>
          <w:rtl/>
        </w:rPr>
        <w:t xml:space="preserve"> (נספח להחלטת ממשלה מס' 3709 ממרץ 2018 בעניין </w:t>
      </w:r>
      <w:r w:rsidRPr="009B6D36">
        <w:rPr>
          <w:rtl/>
        </w:rPr>
        <w:t>תוכנית</w:t>
      </w:r>
      <w:r w:rsidRPr="009B6D36">
        <w:rPr>
          <w:rtl/>
        </w:rPr>
        <w:t xml:space="preserve"> לאומית לקידום תחום הבריאות הדיגיטלית כאמצעי לשיפור הבריאות וכמנוע צמיחה) עמ' 9.</w:t>
      </w:r>
    </w:p>
  </w:footnote>
  <w:footnote w:id="44">
    <w:p w:rsidR="009B6D36" w:rsidRPr="009B6D36" w:rsidP="009B6D36">
      <w:pPr>
        <w:pStyle w:val="FootnoteText"/>
      </w:pPr>
      <w:r w:rsidRPr="009B6D36">
        <w:rPr>
          <w:rStyle w:val="FootnoteReference0"/>
          <w:vertAlign w:val="baseline"/>
        </w:rPr>
        <w:footnoteRef/>
      </w:r>
      <w:r w:rsidRPr="009B6D36">
        <w:rPr>
          <w:rtl/>
        </w:rPr>
        <w:t xml:space="preserve"> </w:t>
      </w:r>
      <w:r w:rsidRPr="009B6D36">
        <w:rPr>
          <w:rtl/>
        </w:rPr>
        <w:tab/>
        <w:t xml:space="preserve">משרד הבריאות, </w:t>
      </w:r>
      <w:r w:rsidRPr="009B6D36">
        <w:rPr>
          <w:b/>
          <w:bCs/>
          <w:rtl/>
        </w:rPr>
        <w:t>בריאות דיגיטלית - אסטרטגיה</w:t>
      </w:r>
      <w:r w:rsidRPr="009B6D36">
        <w:rPr>
          <w:rtl/>
        </w:rPr>
        <w:t xml:space="preserve"> (אפריל 2017), עמ' 24, 25.</w:t>
      </w:r>
    </w:p>
  </w:footnote>
  <w:footnote w:id="45">
    <w:p w:rsidR="009B6D36" w:rsidRPr="009B6D36" w:rsidP="009B6D36">
      <w:pPr>
        <w:pStyle w:val="FootnoteText"/>
        <w:rPr>
          <w:rtl/>
        </w:rPr>
      </w:pPr>
      <w:r w:rsidRPr="009B6D36">
        <w:rPr>
          <w:rStyle w:val="FootnoteReference0"/>
          <w:vertAlign w:val="baseline"/>
        </w:rPr>
        <w:footnoteRef/>
      </w:r>
      <w:r w:rsidRPr="009B6D36">
        <w:rPr>
          <w:rtl/>
        </w:rPr>
        <w:t xml:space="preserve"> </w:t>
      </w:r>
      <w:r w:rsidRPr="009B6D36">
        <w:rPr>
          <w:rtl/>
        </w:rPr>
        <w:tab/>
        <w:t>יש לו נתונים לשנת 2016 שאסף באופן חד-פעמי.</w:t>
      </w:r>
    </w:p>
  </w:footnote>
  <w:footnote w:id="46">
    <w:p w:rsidR="009B6D36" w:rsidRPr="009B6D36" w:rsidP="009B6D36">
      <w:pPr>
        <w:pStyle w:val="FootnoteText"/>
      </w:pPr>
      <w:r w:rsidRPr="009B6D36">
        <w:rPr>
          <w:rStyle w:val="FootnoteReference0"/>
          <w:vertAlign w:val="baseline"/>
        </w:rPr>
        <w:footnoteRef/>
      </w:r>
      <w:r w:rsidRPr="009B6D36">
        <w:rPr>
          <w:rtl/>
        </w:rPr>
        <w:t xml:space="preserve"> </w:t>
      </w:r>
      <w:r w:rsidRPr="009B6D36">
        <w:rPr>
          <w:rtl/>
        </w:rPr>
        <w:tab/>
        <w:t>מרכז לטיפול בהתמכרויות (מרכז יום או מרכז יום וערב) - מסגרת אמבולטורית המבוססת על פעילות קבוצתית המיועדת ל-20-12 מטופלים בו זמנית ופועלת חמישה ימים בשבוע. הטיפול במרכז היום, הפועל כזרוע של היחידה לטיפול בהתמכרויות, הוא גשר בין תהליך הגמילה הגופנית לתהליך השיקום ארוך הטווח, תוך שהייה של המטופל בסביבתו הטבעית.</w:t>
      </w:r>
    </w:p>
  </w:footnote>
  <w:footnote w:id="47">
    <w:p w:rsidR="009B6D36" w:rsidRPr="009B6D36" w:rsidP="009B6D36">
      <w:pPr>
        <w:pStyle w:val="FootnoteText"/>
        <w:rPr>
          <w:rtl/>
        </w:rPr>
      </w:pPr>
      <w:r w:rsidRPr="009B6D36">
        <w:rPr>
          <w:rStyle w:val="FootnoteReference0"/>
          <w:vertAlign w:val="baseline"/>
        </w:rPr>
        <w:footnoteRef/>
      </w:r>
      <w:r w:rsidRPr="009B6D36">
        <w:rPr>
          <w:rtl/>
        </w:rPr>
        <w:t xml:space="preserve"> </w:t>
      </w:r>
      <w:r w:rsidRPr="009B6D36">
        <w:rPr>
          <w:rtl/>
        </w:rPr>
        <w:tab/>
        <w:t>כמו כן, בתשע רשויות מקומיות פעלו באמצעות עמותה יחידות לטיפול במכורים מבוגרים לאלכוהול ולהימורים.</w:t>
      </w:r>
    </w:p>
  </w:footnote>
  <w:footnote w:id="48">
    <w:p w:rsidR="009B6D36" w:rsidRPr="009B6D36" w:rsidP="009B6D36">
      <w:pPr>
        <w:pStyle w:val="FootnoteText"/>
      </w:pPr>
      <w:r w:rsidRPr="009B6D36">
        <w:rPr>
          <w:rStyle w:val="FootnoteReference0"/>
          <w:vertAlign w:val="baseline"/>
        </w:rPr>
        <w:footnoteRef/>
      </w:r>
      <w:r w:rsidRPr="009B6D36">
        <w:rPr>
          <w:rtl/>
        </w:rPr>
        <w:t xml:space="preserve"> </w:t>
      </w:r>
      <w:r w:rsidRPr="009B6D36">
        <w:rPr>
          <w:rtl/>
        </w:rPr>
        <w:tab/>
        <w:t>9,282 מבוגרים ו-1,800 צעירים. 135 משרות עו"ס ביחידות הטיפול היו תקניות.</w:t>
      </w:r>
    </w:p>
  </w:footnote>
  <w:footnote w:id="49">
    <w:p w:rsidR="009B6D36" w:rsidRPr="009B6D36" w:rsidP="009B6D36">
      <w:pPr>
        <w:pStyle w:val="FootnoteText"/>
        <w:rPr>
          <w:rtl/>
        </w:rPr>
      </w:pPr>
      <w:r w:rsidRPr="009B6D36">
        <w:rPr>
          <w:rStyle w:val="FootnoteReference0"/>
          <w:vertAlign w:val="baseline"/>
        </w:rPr>
        <w:footnoteRef/>
      </w:r>
      <w:r w:rsidRPr="009B6D36">
        <w:rPr>
          <w:rtl/>
        </w:rPr>
        <w:t xml:space="preserve"> </w:t>
      </w:r>
      <w:r w:rsidRPr="009B6D36">
        <w:rPr>
          <w:rtl/>
        </w:rPr>
        <w:tab/>
        <w:t>התקציב לקהילה לשנת 2016 היה כ-28.3 מיליון ש"ח, לשנת 2017 היה כ-35.9 מיליון ש"ח ולשנת 2018 היה כ-41.8 מיליון ש"ח. בדצמבר 2016 אישרה הכנסת את תקציב המדינה לשנים 2017 ו-2018 כתקציב דו-שנתי.</w:t>
      </w:r>
    </w:p>
  </w:footnote>
  <w:footnote w:id="50">
    <w:p w:rsidR="009B6D36" w:rsidRPr="009B6D36" w:rsidP="009B6D36">
      <w:pPr>
        <w:pStyle w:val="FootnoteText"/>
        <w:rPr>
          <w:rtl/>
        </w:rPr>
      </w:pPr>
      <w:r w:rsidRPr="009B6D36">
        <w:rPr>
          <w:rStyle w:val="FootnoteReference0"/>
          <w:vertAlign w:val="baseline"/>
        </w:rPr>
        <w:footnoteRef/>
      </w:r>
      <w:r w:rsidRPr="009B6D36">
        <w:rPr>
          <w:rtl/>
        </w:rPr>
        <w:t xml:space="preserve"> </w:t>
      </w:r>
      <w:r w:rsidRPr="009B6D36">
        <w:rPr>
          <w:rtl/>
        </w:rPr>
        <w:tab/>
        <w:t>כ-600,000 ש"ח מתוספת התקציב לקהילה לשנת 2017 נוצלו בסופו של דבר להוצאות חד-פעמיות בקהילה. יצוין כי קביעת הקריטריונים להקצאה של תוספת התקציב לקהילה ברשויות המקומיות נועדה לצורך הקצאה רב-שנתית.</w:t>
      </w:r>
    </w:p>
  </w:footnote>
  <w:footnote w:id="51">
    <w:p w:rsidR="009B6D36" w:rsidRPr="009B6D36" w:rsidP="009B6D36">
      <w:pPr>
        <w:pStyle w:val="FootnoteText"/>
        <w:rPr>
          <w:rtl/>
        </w:rPr>
      </w:pPr>
      <w:r w:rsidRPr="009B6D36">
        <w:rPr>
          <w:rStyle w:val="FootnoteReference0"/>
          <w:vertAlign w:val="baseline"/>
        </w:rPr>
        <w:footnoteRef/>
      </w:r>
      <w:r w:rsidRPr="009B6D36">
        <w:rPr>
          <w:rtl/>
        </w:rPr>
        <w:t xml:space="preserve"> </w:t>
      </w:r>
      <w:r w:rsidRPr="009B6D36">
        <w:rPr>
          <w:rtl/>
        </w:rPr>
        <w:tab/>
        <w:t>מרבית היתרה של תוספות התקציב נוצלה לצרכים אחרים בתחום ההתמכרויות.</w:t>
      </w:r>
    </w:p>
  </w:footnote>
  <w:footnote w:id="52">
    <w:p w:rsidR="009B6D36" w:rsidRPr="009B6D36" w:rsidP="009B6D36">
      <w:pPr>
        <w:pStyle w:val="FootnoteText"/>
        <w:rPr>
          <w:rtl/>
        </w:rPr>
      </w:pPr>
      <w:r w:rsidRPr="009B6D36">
        <w:rPr>
          <w:rStyle w:val="FootnoteReference0"/>
          <w:vertAlign w:val="baseline"/>
        </w:rPr>
        <w:footnoteRef/>
      </w:r>
      <w:r w:rsidRPr="009B6D36">
        <w:rPr>
          <w:rtl/>
        </w:rPr>
        <w:t xml:space="preserve"> </w:t>
      </w:r>
      <w:r w:rsidRPr="009B6D36">
        <w:rPr>
          <w:rtl/>
        </w:rPr>
        <w:tab/>
        <w:t>הלשכה המרכזית לסטטיסטיקה סיווגה את היישובים בישראל בעשרה אשכולות (קבוצות יישובים) לפי מצבם החברתי-כלכלי בסדר עולה. באשכול 1 נכללו היישובים במעמד החברתי-כלכלי הנמוך ביותר, ובאשכול 10 היישובים במעמד החברתי-כלכלי הגבוה ביותר.</w:t>
      </w:r>
    </w:p>
  </w:footnote>
  <w:footnote w:id="53">
    <w:p w:rsidR="009B6D36" w:rsidRPr="009B6D36" w:rsidP="009B6D36">
      <w:pPr>
        <w:pStyle w:val="FootnoteText"/>
      </w:pPr>
      <w:r w:rsidRPr="009B6D36">
        <w:rPr>
          <w:rStyle w:val="FootnoteReference0"/>
          <w:vertAlign w:val="baseline"/>
        </w:rPr>
        <w:footnoteRef/>
      </w:r>
      <w:r w:rsidRPr="009B6D36">
        <w:rPr>
          <w:rtl/>
        </w:rPr>
        <w:t xml:space="preserve"> </w:t>
      </w:r>
      <w:r w:rsidRPr="009B6D36">
        <w:rPr>
          <w:rtl/>
        </w:rPr>
        <w:tab/>
        <w:t xml:space="preserve">יחידה לטיפול במבוגרים או מרכז </w:t>
      </w:r>
      <w:r w:rsidRPr="009B6D36">
        <w:rPr>
          <w:rtl/>
        </w:rPr>
        <w:t>מטר"א</w:t>
      </w:r>
      <w:r w:rsidRPr="009B6D36">
        <w:rPr>
          <w:rtl/>
        </w:rPr>
        <w:t xml:space="preserve"> (מרכז טיפול ראשוני אבחוני המיועד לאיתור מוקדם של מכורים, לביצוע אבחון ולבניית </w:t>
      </w:r>
      <w:r w:rsidRPr="009B6D36">
        <w:rPr>
          <w:rtl/>
        </w:rPr>
        <w:t>תוכנית</w:t>
      </w:r>
      <w:r w:rsidRPr="009B6D36">
        <w:rPr>
          <w:rtl/>
        </w:rPr>
        <w:t xml:space="preserve"> התערבות כוללנית) או מרכז תעסוקה.</w:t>
      </w:r>
    </w:p>
  </w:footnote>
  <w:footnote w:id="54">
    <w:p w:rsidR="009B6D36" w:rsidRPr="009B6D36" w:rsidP="009B6D36">
      <w:pPr>
        <w:pStyle w:val="FootnoteText"/>
      </w:pPr>
      <w:r w:rsidRPr="009B6D36">
        <w:rPr>
          <w:rStyle w:val="FootnoteReference0"/>
          <w:vertAlign w:val="baseline"/>
        </w:rPr>
        <w:footnoteRef/>
      </w:r>
      <w:r w:rsidRPr="009B6D36">
        <w:rPr>
          <w:rtl/>
        </w:rPr>
        <w:t xml:space="preserve"> </w:t>
      </w:r>
      <w:r w:rsidRPr="009B6D36">
        <w:rPr>
          <w:rtl/>
        </w:rPr>
        <w:tab/>
        <w:t xml:space="preserve">מרכז </w:t>
      </w:r>
      <w:r w:rsidRPr="009B6D36">
        <w:rPr>
          <w:rtl/>
        </w:rPr>
        <w:t>מטר"א</w:t>
      </w:r>
      <w:r w:rsidRPr="009B6D36">
        <w:rPr>
          <w:rtl/>
        </w:rPr>
        <w:t xml:space="preserve"> או מרכז תעסוקה.</w:t>
      </w:r>
    </w:p>
  </w:footnote>
  <w:footnote w:id="55">
    <w:p w:rsidR="009B6D36" w:rsidRPr="009B6D36" w:rsidP="009B6D36">
      <w:pPr>
        <w:pStyle w:val="FootnoteText"/>
      </w:pPr>
      <w:r w:rsidRPr="009B6D36">
        <w:rPr>
          <w:rStyle w:val="FootnoteReference0"/>
          <w:vertAlign w:val="baseline"/>
        </w:rPr>
        <w:footnoteRef/>
      </w:r>
      <w:r w:rsidRPr="009B6D36">
        <w:rPr>
          <w:rtl/>
        </w:rPr>
        <w:t xml:space="preserve"> </w:t>
      </w:r>
      <w:r w:rsidRPr="009B6D36">
        <w:rPr>
          <w:rtl/>
        </w:rPr>
        <w:tab/>
        <w:t xml:space="preserve">מרכז </w:t>
      </w:r>
      <w:r w:rsidRPr="009B6D36">
        <w:rPr>
          <w:rtl/>
        </w:rPr>
        <w:t>מטר"א</w:t>
      </w:r>
      <w:r w:rsidRPr="009B6D36">
        <w:rPr>
          <w:rtl/>
        </w:rPr>
        <w:t xml:space="preserve"> או מרכז תעסוקה.</w:t>
      </w:r>
    </w:p>
  </w:footnote>
  <w:footnote w:id="56">
    <w:p w:rsidR="009B6D36" w:rsidRPr="009B6D36" w:rsidP="009B6D36">
      <w:pPr>
        <w:pStyle w:val="FootnoteText"/>
      </w:pPr>
      <w:r w:rsidRPr="009B6D36">
        <w:rPr>
          <w:rStyle w:val="FootnoteReference0"/>
          <w:vertAlign w:val="baseline"/>
        </w:rPr>
        <w:footnoteRef/>
      </w:r>
      <w:r w:rsidRPr="009B6D36">
        <w:rPr>
          <w:rtl/>
        </w:rPr>
        <w:t xml:space="preserve"> </w:t>
      </w:r>
      <w:r w:rsidRPr="009B6D36">
        <w:rPr>
          <w:rtl/>
        </w:rPr>
        <w:tab/>
        <w:t xml:space="preserve">יצוין כי נוסף על מסגרת למבוגרים הציע השירות לעיריית נתיבות לממן הקמה של יחידה לטיפול בצעירים. להצעה זו ענתה עיריית נתיבות בחיוב. </w:t>
      </w:r>
    </w:p>
  </w:footnote>
  <w:footnote w:id="57">
    <w:p w:rsidR="009B6D36" w:rsidRPr="009B6D36" w:rsidP="009B6D36">
      <w:pPr>
        <w:pStyle w:val="FootnoteText"/>
        <w:rPr>
          <w:rtl/>
        </w:rPr>
      </w:pPr>
      <w:r w:rsidRPr="009B6D36">
        <w:rPr>
          <w:rStyle w:val="FootnoteReference0"/>
          <w:vertAlign w:val="baseline"/>
        </w:rPr>
        <w:footnoteRef/>
      </w:r>
      <w:r w:rsidRPr="009B6D36">
        <w:rPr>
          <w:rtl/>
        </w:rPr>
        <w:t xml:space="preserve"> </w:t>
      </w:r>
      <w:r w:rsidRPr="009B6D36">
        <w:rPr>
          <w:rtl/>
        </w:rPr>
        <w:tab/>
        <w:t xml:space="preserve">מספר המכורים המבקשים לקבל טיפול ביחידה הקיימת גדול יותר ממספר המכורים </w:t>
      </w:r>
      <w:r w:rsidRPr="009B6D36">
        <w:rPr>
          <w:rtl/>
        </w:rPr>
        <w:t>שהעו"ס</w:t>
      </w:r>
      <w:r w:rsidRPr="009B6D36">
        <w:rPr>
          <w:rtl/>
        </w:rPr>
        <w:t xml:space="preserve"> אמור לטפל בהם.</w:t>
      </w:r>
    </w:p>
  </w:footnote>
  <w:footnote w:id="58">
    <w:p w:rsidR="009B6D36" w:rsidRPr="009B6D36" w:rsidP="009B6D36">
      <w:pPr>
        <w:pStyle w:val="FootnoteText"/>
      </w:pPr>
      <w:r w:rsidRPr="009B6D36">
        <w:rPr>
          <w:rStyle w:val="FootnoteReference0"/>
          <w:vertAlign w:val="baseline"/>
        </w:rPr>
        <w:footnoteRef/>
      </w:r>
      <w:r w:rsidRPr="009B6D36">
        <w:rPr>
          <w:rtl/>
        </w:rPr>
        <w:t xml:space="preserve"> </w:t>
      </w:r>
      <w:r w:rsidRPr="009B6D36">
        <w:rPr>
          <w:rtl/>
        </w:rPr>
        <w:tab/>
        <w:t xml:space="preserve">יחידה לטיפול במבוגרים או מרכז </w:t>
      </w:r>
      <w:r w:rsidRPr="009B6D36">
        <w:rPr>
          <w:rtl/>
        </w:rPr>
        <w:t>מטר"א</w:t>
      </w:r>
      <w:r w:rsidRPr="009B6D36">
        <w:rPr>
          <w:rtl/>
        </w:rPr>
        <w:t xml:space="preserve"> או מרכז תעסוקה.</w:t>
      </w:r>
    </w:p>
  </w:footnote>
  <w:footnote w:id="59">
    <w:p w:rsidR="009B6D36" w:rsidRPr="009B6D36" w:rsidP="009B6D36">
      <w:pPr>
        <w:pStyle w:val="FootnoteText"/>
        <w:rPr>
          <w:rtl/>
        </w:rPr>
      </w:pPr>
      <w:r w:rsidRPr="009B6D36">
        <w:rPr>
          <w:rStyle w:val="FootnoteReference0"/>
          <w:vertAlign w:val="baseline"/>
        </w:rPr>
        <w:footnoteRef/>
      </w:r>
      <w:r w:rsidRPr="009B6D36">
        <w:rPr>
          <w:rtl/>
        </w:rPr>
        <w:t xml:space="preserve"> </w:t>
      </w:r>
      <w:r w:rsidRPr="009B6D36">
        <w:rPr>
          <w:rtl/>
        </w:rPr>
        <w:tab/>
        <w:t>העלאה של איכות המשרה או של היקף המשרה ושל גובה השכר.</w:t>
      </w:r>
    </w:p>
  </w:footnote>
  <w:footnote w:id="60">
    <w:p w:rsidR="009B6D36" w:rsidRPr="009B6D36" w:rsidP="009B6D36">
      <w:pPr>
        <w:pStyle w:val="FootnoteText"/>
        <w:rPr>
          <w:rtl/>
        </w:rPr>
      </w:pPr>
      <w:r w:rsidRPr="009B6D36">
        <w:rPr>
          <w:rStyle w:val="FootnoteReference0"/>
          <w:vertAlign w:val="baseline"/>
        </w:rPr>
        <w:footnoteRef/>
      </w:r>
      <w:r w:rsidRPr="009B6D36">
        <w:rPr>
          <w:rtl/>
        </w:rPr>
        <w:t xml:space="preserve"> </w:t>
      </w:r>
      <w:r w:rsidRPr="009B6D36">
        <w:rPr>
          <w:rtl/>
        </w:rPr>
        <w:tab/>
        <w:t xml:space="preserve">הן בהווה והן בעתיד כתוצאה מצבירת זכויות </w:t>
      </w:r>
      <w:r w:rsidRPr="009B6D36">
        <w:rPr>
          <w:rtl/>
        </w:rPr>
        <w:t>ביטוחיות</w:t>
      </w:r>
      <w:r w:rsidRPr="009B6D36">
        <w:rPr>
          <w:rtl/>
        </w:rPr>
        <w:t xml:space="preserve"> ופנסיוניות. לפי נתוני המוסד לביטוח לאומי ככל שבמשק בית יש מפרנסים רבים יותר - תחולת העוני וחומרתו יורדות, ראו המוסד לביטוח לאומי, </w:t>
      </w:r>
      <w:r w:rsidRPr="009B6D36">
        <w:rPr>
          <w:b/>
          <w:bCs/>
          <w:rtl/>
        </w:rPr>
        <w:t>2016 - ממדי העוני והפערים החברתיים - דוח שנתי</w:t>
      </w:r>
      <w:r w:rsidRPr="009B6D36">
        <w:rPr>
          <w:rtl/>
        </w:rPr>
        <w:t xml:space="preserve"> (דצמבר 2017), לוחות 7, 8, 10.</w:t>
      </w:r>
    </w:p>
  </w:footnote>
  <w:footnote w:id="61">
    <w:p w:rsidR="009B6D36" w:rsidRPr="009B6D36" w:rsidP="009B6D36">
      <w:pPr>
        <w:pStyle w:val="FootnoteText"/>
        <w:rPr>
          <w:rtl/>
        </w:rPr>
      </w:pPr>
      <w:r w:rsidRPr="009B6D36">
        <w:rPr>
          <w:rStyle w:val="FootnoteReference0"/>
          <w:vertAlign w:val="baseline"/>
        </w:rPr>
        <w:footnoteRef/>
      </w:r>
      <w:r w:rsidRPr="009B6D36">
        <w:rPr>
          <w:rtl/>
        </w:rPr>
        <w:t xml:space="preserve"> </w:t>
      </w:r>
      <w:r w:rsidRPr="009B6D36">
        <w:rPr>
          <w:rtl/>
        </w:rPr>
        <w:tab/>
        <w:t>מטרת התוכנית "מעגלי תעסוקה" היא לשלב בתעסוקה תובעים חדשים של גמלת הבטחת הכנסה או השלמת הכנסה, כמוגדר בחוק הבטחת הכנסה, תשמ"א-1980, שגילם 50 או פחות, באמצעות הסרת חסמים המונעים את השתלבותם בעבודה.</w:t>
      </w:r>
    </w:p>
  </w:footnote>
  <w:footnote w:id="62">
    <w:p w:rsidR="009B6D36" w:rsidRPr="009B6D36" w:rsidP="009B6D36">
      <w:pPr>
        <w:pStyle w:val="FootnoteText"/>
        <w:rPr>
          <w:rtl/>
        </w:rPr>
      </w:pPr>
      <w:r w:rsidRPr="009B6D36">
        <w:rPr>
          <w:rStyle w:val="FootnoteReference0"/>
          <w:vertAlign w:val="baseline"/>
        </w:rPr>
        <w:footnoteRef/>
      </w:r>
      <w:r w:rsidRPr="009B6D36">
        <w:rPr>
          <w:rtl/>
        </w:rPr>
        <w:t xml:space="preserve"> </w:t>
      </w:r>
      <w:r w:rsidRPr="009B6D36">
        <w:rPr>
          <w:rtl/>
        </w:rPr>
        <w:tab/>
        <w:t>תובעי גמלת הבטחת הכנסה או השלמת הכנסה שהמשיכו להתייצב בשירות התעסוקה ולא השתתפו בתוכנית.</w:t>
      </w:r>
    </w:p>
  </w:footnote>
  <w:footnote w:id="63">
    <w:p w:rsidR="009B6D36" w:rsidRPr="009B6D36" w:rsidP="009B6D36">
      <w:pPr>
        <w:pStyle w:val="FootnoteText"/>
        <w:rPr>
          <w:rtl/>
        </w:rPr>
      </w:pPr>
      <w:r w:rsidRPr="009B6D36">
        <w:rPr>
          <w:rStyle w:val="FootnoteReference0"/>
          <w:vertAlign w:val="baseline"/>
        </w:rPr>
        <w:footnoteRef/>
      </w:r>
      <w:r w:rsidRPr="009B6D36">
        <w:rPr>
          <w:rtl/>
        </w:rPr>
        <w:t xml:space="preserve"> </w:t>
      </w:r>
      <w:r w:rsidRPr="009B6D36">
        <w:rPr>
          <w:rtl/>
        </w:rPr>
        <w:tab/>
        <w:t xml:space="preserve">ראו </w:t>
      </w:r>
      <w:r w:rsidRPr="009B6D36">
        <w:rPr>
          <w:b/>
          <w:bCs/>
          <w:rtl/>
        </w:rPr>
        <w:t>סיכום פעילות המחלקה לטיפול בהתמכרויות במשרד הבריאות לשנת 2017</w:t>
      </w:r>
      <w:r w:rsidRPr="009B6D36">
        <w:rPr>
          <w:rtl/>
        </w:rPr>
        <w:t>, עמ' 21.</w:t>
      </w:r>
    </w:p>
  </w:footnote>
  <w:footnote w:id="64">
    <w:p w:rsidR="009B6D36" w:rsidRPr="009B6D36" w:rsidP="009B6D36">
      <w:pPr>
        <w:pStyle w:val="FootnoteText"/>
        <w:spacing w:line="269" w:lineRule="auto"/>
        <w:jc w:val="left"/>
        <w:rPr>
          <w:rtl/>
        </w:rPr>
      </w:pPr>
      <w:r w:rsidRPr="009B6D36">
        <w:rPr>
          <w:rStyle w:val="FootnoteReference0"/>
          <w:vertAlign w:val="baseline"/>
        </w:rPr>
        <w:footnoteRef/>
      </w:r>
      <w:r w:rsidRPr="009B6D36">
        <w:rPr>
          <w:rtl/>
        </w:rPr>
        <w:t xml:space="preserve"> </w:t>
      </w:r>
      <w:r w:rsidRPr="009B6D36">
        <w:rPr>
          <w:rtl/>
        </w:rPr>
        <w:tab/>
      </w:r>
      <w:r>
        <w:rPr>
          <w:rFonts w:hint="cs"/>
          <w:rtl/>
        </w:rPr>
        <w:t>ראו:</w:t>
      </w:r>
    </w:p>
    <w:p w:rsidR="009B6D36" w:rsidRPr="009B6D36" w:rsidP="009B6D36">
      <w:pPr>
        <w:pStyle w:val="FootnoteText"/>
        <w:bidi w:val="0"/>
        <w:spacing w:line="269" w:lineRule="auto"/>
        <w:ind w:left="2268" w:right="397" w:firstLine="0"/>
      </w:pPr>
      <w:r w:rsidRPr="009B6D36">
        <w:t xml:space="preserve">A. M. </w:t>
      </w:r>
      <w:r w:rsidRPr="009B6D36">
        <w:t>Ponizovsky</w:t>
      </w:r>
      <w:r w:rsidRPr="009B6D36">
        <w:t xml:space="preserve"> </w:t>
      </w:r>
      <w:r w:rsidRPr="009B6D36">
        <w:rPr>
          <w:i/>
        </w:rPr>
        <w:t>et al.</w:t>
      </w:r>
      <w:r w:rsidRPr="009B6D36">
        <w:t xml:space="preserve">, </w:t>
      </w:r>
      <w:r w:rsidRPr="009B6D36">
        <w:rPr>
          <w:i/>
        </w:rPr>
        <w:t>Trends in dual diagnosis of severe mental illness and substance use disorders</w:t>
      </w:r>
      <w:r w:rsidRPr="009B6D36">
        <w:rPr>
          <w:i/>
        </w:rPr>
        <w:t>,1996</w:t>
      </w:r>
      <w:r w:rsidRPr="009B6D36">
        <w:rPr>
          <w:i/>
        </w:rPr>
        <w:t>-2010, Israel</w:t>
      </w:r>
      <w:r w:rsidRPr="009B6D36">
        <w:t xml:space="preserve">, Drug Alcohol Depend (2015). </w:t>
      </w:r>
    </w:p>
  </w:footnote>
  <w:footnote w:id="65">
    <w:p w:rsidR="009B6D36" w:rsidRPr="009B6D36" w:rsidP="009B6D36">
      <w:pPr>
        <w:pStyle w:val="FootnoteText"/>
      </w:pPr>
      <w:r w:rsidRPr="009B6D36">
        <w:rPr>
          <w:rStyle w:val="FootnoteReference0"/>
          <w:vertAlign w:val="baseline"/>
        </w:rPr>
        <w:footnoteRef/>
      </w:r>
      <w:r w:rsidRPr="009B6D36">
        <w:rPr>
          <w:rtl/>
        </w:rPr>
        <w:t xml:space="preserve"> </w:t>
      </w:r>
      <w:r w:rsidRPr="009B6D36">
        <w:rPr>
          <w:rtl/>
        </w:rPr>
        <w:tab/>
      </w:r>
      <w:r w:rsidRPr="009B6D36">
        <w:rPr>
          <w:b/>
          <w:bCs/>
          <w:rtl/>
        </w:rPr>
        <w:t>סיכום פעילות המחלקה לטיפול בהתמכרויות במשרד הבריאות לשנת 2016</w:t>
      </w:r>
      <w:r w:rsidRPr="009B6D36">
        <w:rPr>
          <w:rtl/>
        </w:rPr>
        <w:t xml:space="preserve">, עמ' 32. ראו גם מבקר המדינה, </w:t>
      </w:r>
      <w:r w:rsidRPr="009B6D36">
        <w:rPr>
          <w:b/>
          <w:bCs/>
          <w:rtl/>
        </w:rPr>
        <w:t>דוח שנתי 66ג</w:t>
      </w:r>
      <w:r w:rsidRPr="009B6D36">
        <w:rPr>
          <w:rtl/>
        </w:rPr>
        <w:t xml:space="preserve"> (2016) בפרק "שיקום נכי נפש בקהילה", עמ' 575; מבקר המדינה, </w:t>
      </w:r>
      <w:r w:rsidRPr="009B6D36">
        <w:rPr>
          <w:b/>
          <w:bCs/>
          <w:rtl/>
        </w:rPr>
        <w:t>דוח שנתי 68ג (</w:t>
      </w:r>
      <w:r w:rsidRPr="009B6D36">
        <w:rPr>
          <w:rtl/>
        </w:rPr>
        <w:t>2016) בפרק "מערך האשפוז בבתי החולים הממשלתיים לבריאות הנפש", עמ' 531.</w:t>
      </w:r>
    </w:p>
  </w:footnote>
  <w:footnote w:id="66">
    <w:p w:rsidR="009B6D36" w:rsidRPr="009B6D36" w:rsidP="009B6D36">
      <w:pPr>
        <w:pStyle w:val="FootnoteText"/>
        <w:rPr>
          <w:rtl/>
        </w:rPr>
      </w:pPr>
      <w:r w:rsidRPr="009B6D36">
        <w:rPr>
          <w:rStyle w:val="FootnoteReference0"/>
          <w:vertAlign w:val="baseline"/>
        </w:rPr>
        <w:footnoteRef/>
      </w:r>
      <w:r w:rsidRPr="009B6D36">
        <w:rPr>
          <w:rtl/>
        </w:rPr>
        <w:t xml:space="preserve"> </w:t>
      </w:r>
      <w:r w:rsidRPr="009B6D36">
        <w:rPr>
          <w:rtl/>
        </w:rPr>
        <w:tab/>
        <w:t>בנות 25 ומעלה. במהלך הביקורת בשנת 2018 העביר משרד הבריאות מימון לארבע מיטות לנשים באשפוזית פרטית המיועדת לנשים.</w:t>
      </w:r>
    </w:p>
  </w:footnote>
  <w:footnote w:id="67">
    <w:p w:rsidR="009B6D36" w:rsidRPr="009B6D36" w:rsidP="009B6D36">
      <w:pPr>
        <w:pStyle w:val="FootnoteText"/>
        <w:rPr>
          <w:rtl/>
        </w:rPr>
      </w:pPr>
      <w:r w:rsidRPr="009B6D36">
        <w:rPr>
          <w:rStyle w:val="FootnoteReference0"/>
          <w:vertAlign w:val="baseline"/>
        </w:rPr>
        <w:footnoteRef/>
      </w:r>
      <w:r w:rsidRPr="009B6D36">
        <w:rPr>
          <w:rtl/>
        </w:rPr>
        <w:t xml:space="preserve"> </w:t>
      </w:r>
      <w:r w:rsidRPr="009B6D36">
        <w:rPr>
          <w:rtl/>
        </w:rPr>
        <w:tab/>
        <w:t xml:space="preserve">מרכז טיפול ראשוני אבחוני המיועד לאיתור מוקדם של מכורים, לביצוע אבחון ולבניית </w:t>
      </w:r>
      <w:r w:rsidRPr="009B6D36">
        <w:rPr>
          <w:rtl/>
        </w:rPr>
        <w:t>תוכנית</w:t>
      </w:r>
      <w:r w:rsidRPr="009B6D36">
        <w:rPr>
          <w:rtl/>
        </w:rPr>
        <w:t xml:space="preserve"> התערבות כוללנית.</w:t>
      </w:r>
    </w:p>
  </w:footnote>
  <w:footnote w:id="68">
    <w:p w:rsidR="009B6D36" w:rsidRPr="009B6D36" w:rsidP="009B6D36">
      <w:pPr>
        <w:pStyle w:val="FootnoteText"/>
        <w:rPr>
          <w:rtl/>
        </w:rPr>
      </w:pPr>
      <w:r w:rsidRPr="009B6D36">
        <w:rPr>
          <w:rStyle w:val="FootnoteReference0"/>
          <w:vertAlign w:val="baseline"/>
        </w:rPr>
        <w:footnoteRef/>
      </w:r>
      <w:r w:rsidRPr="009B6D36">
        <w:rPr>
          <w:rtl/>
        </w:rPr>
        <w:t xml:space="preserve"> </w:t>
      </w:r>
      <w:r w:rsidRPr="009B6D36">
        <w:rPr>
          <w:rtl/>
        </w:rPr>
        <w:tab/>
        <w:t>נוסף על כך ייעד השירות תוספות תקציב שקיבל למסגרות חוץ ביתיות בסך ארבעה מיליון ש"ח לנשים - כשני מיליון ש"ח ליחידת אימהות וכשני מיליון ש"ח למקלט חירום. להערכת מנהל השירות ייפתחו מסגרות אלה רק במהלך שנת 2019.</w:t>
      </w:r>
    </w:p>
  </w:footnote>
  <w:footnote w:id="69">
    <w:p w:rsidR="009B6D36" w:rsidRPr="009B6D36" w:rsidP="009B6D36">
      <w:pPr>
        <w:pStyle w:val="FootnoteText"/>
        <w:rPr>
          <w:rtl/>
        </w:rPr>
      </w:pPr>
      <w:r w:rsidRPr="009B6D36">
        <w:rPr>
          <w:rStyle w:val="FootnoteReference0"/>
          <w:vertAlign w:val="baseline"/>
        </w:rPr>
        <w:footnoteRef/>
      </w:r>
      <w:r w:rsidRPr="009B6D36">
        <w:rPr>
          <w:rtl/>
        </w:rPr>
        <w:t xml:space="preserve"> </w:t>
      </w:r>
      <w:r w:rsidRPr="009B6D36">
        <w:rPr>
          <w:rtl/>
        </w:rPr>
        <w:tab/>
        <w:t>התנהגויות סיכון כוללות, בין היתר, הימורים או שימוש בחומרים</w:t>
      </w:r>
      <w:r w:rsidR="002E34D6">
        <w:rPr>
          <w:rFonts w:hint="cs"/>
          <w:rtl/>
        </w:rPr>
        <w:t xml:space="preserve"> ממכרים</w:t>
      </w:r>
      <w:r w:rsidRPr="009B6D36">
        <w:rPr>
          <w:rtl/>
        </w:rPr>
        <w:t xml:space="preserve"> כמו סמים או אלכוהול.</w:t>
      </w:r>
    </w:p>
  </w:footnote>
  <w:footnote w:id="70">
    <w:p w:rsidR="009B6D36" w:rsidRPr="009B6D36" w:rsidP="009B6D36">
      <w:pPr>
        <w:pStyle w:val="FootnoteText"/>
        <w:rPr>
          <w:rtl/>
        </w:rPr>
      </w:pPr>
      <w:r w:rsidRPr="009B6D36">
        <w:rPr>
          <w:rStyle w:val="FootnoteReference0"/>
          <w:vertAlign w:val="baseline"/>
        </w:rPr>
        <w:footnoteRef/>
      </w:r>
      <w:r w:rsidRPr="009B6D36">
        <w:rPr>
          <w:rtl/>
        </w:rPr>
        <w:t xml:space="preserve"> </w:t>
      </w:r>
      <w:r w:rsidRPr="009B6D36">
        <w:rPr>
          <w:rtl/>
        </w:rPr>
        <w:tab/>
        <w:t>במקרים שבהם כללה האבחנה שימוש באלכוהול ושימוש בסמים הפנייה נספרה פעמיים.</w:t>
      </w:r>
    </w:p>
  </w:footnote>
  <w:footnote w:id="71">
    <w:p w:rsidR="009B6D36" w:rsidRPr="009B6D36" w:rsidP="009B6D36">
      <w:pPr>
        <w:pStyle w:val="FootnoteText"/>
        <w:rPr>
          <w:rtl/>
        </w:rPr>
      </w:pPr>
      <w:r w:rsidRPr="009B6D36">
        <w:rPr>
          <w:rStyle w:val="FootnoteReference0"/>
          <w:vertAlign w:val="baseline"/>
        </w:rPr>
        <w:footnoteRef/>
      </w:r>
      <w:r w:rsidRPr="009B6D36">
        <w:rPr>
          <w:rtl/>
        </w:rPr>
        <w:t xml:space="preserve"> </w:t>
      </w:r>
      <w:r w:rsidRPr="009B6D36">
        <w:rPr>
          <w:rtl/>
        </w:rPr>
        <w:tab/>
      </w:r>
      <w:r w:rsidRPr="009B6D36">
        <w:rPr>
          <w:b/>
          <w:bCs/>
          <w:rtl/>
        </w:rPr>
        <w:t>נוער בישראל: בריאות, רווחה נפשית וחברתית ודפוסי התנהגויות סיכון בקרב בני נוער בישראל – סיכום ממצאי המחקר הארצי השביעי (2014), ניתוח מגמות בין השנים 2014-1994 והשוואה בין לאומית</w:t>
      </w:r>
      <w:r w:rsidRPr="009B6D36">
        <w:rPr>
          <w:rtl/>
        </w:rPr>
        <w:t xml:space="preserve">, תכנית המחקר הבינלאומי על רווחתם של בני הנוער, בית הספר לחינוך, אוניברסיטת בר אילן ומכון </w:t>
      </w:r>
      <w:r w:rsidRPr="009B6D36">
        <w:rPr>
          <w:rtl/>
        </w:rPr>
        <w:t>מאיירס</w:t>
      </w:r>
      <w:r w:rsidRPr="009B6D36">
        <w:rPr>
          <w:rtl/>
        </w:rPr>
        <w:t>-ג'וינט-</w:t>
      </w:r>
      <w:r w:rsidRPr="009B6D36">
        <w:rPr>
          <w:rtl/>
        </w:rPr>
        <w:t>ברוקדייל</w:t>
      </w:r>
      <w:r w:rsidRPr="009B6D36">
        <w:rPr>
          <w:rtl/>
        </w:rPr>
        <w:t xml:space="preserve"> (להלן - מחקר בריאות רווחה ודפוסי התנהגות סיכון נוער - 2014), עמ' 222.</w:t>
      </w:r>
    </w:p>
  </w:footnote>
  <w:footnote w:id="72">
    <w:p w:rsidR="009B6D36" w:rsidRPr="009B6D36" w:rsidP="009B6D36">
      <w:pPr>
        <w:pStyle w:val="FootnoteText"/>
        <w:rPr>
          <w:rtl/>
        </w:rPr>
      </w:pPr>
      <w:r w:rsidRPr="009B6D36">
        <w:rPr>
          <w:rStyle w:val="FootnoteReference0"/>
          <w:vertAlign w:val="baseline"/>
        </w:rPr>
        <w:footnoteRef/>
      </w:r>
      <w:r w:rsidRPr="009B6D36">
        <w:rPr>
          <w:rtl/>
        </w:rPr>
        <w:t xml:space="preserve"> </w:t>
      </w:r>
      <w:r w:rsidRPr="009B6D36">
        <w:rPr>
          <w:rtl/>
        </w:rPr>
        <w:tab/>
        <w:t>ראו הפניה בהערה 70, עמ' 229.</w:t>
      </w:r>
    </w:p>
  </w:footnote>
  <w:footnote w:id="73">
    <w:p w:rsidR="009B6D36" w:rsidRPr="009B6D36" w:rsidP="009B6D36">
      <w:pPr>
        <w:pStyle w:val="FootnoteText"/>
        <w:rPr>
          <w:rtl/>
        </w:rPr>
      </w:pPr>
      <w:r w:rsidRPr="009B6D36">
        <w:rPr>
          <w:rStyle w:val="FootnoteReference0"/>
          <w:vertAlign w:val="baseline"/>
        </w:rPr>
        <w:footnoteRef/>
      </w:r>
      <w:r w:rsidRPr="009B6D36">
        <w:rPr>
          <w:rtl/>
        </w:rPr>
        <w:t xml:space="preserve"> </w:t>
      </w:r>
      <w:r w:rsidRPr="009B6D36">
        <w:rPr>
          <w:rtl/>
        </w:rPr>
        <w:tab/>
      </w:r>
      <w:r w:rsidRPr="009B6D36">
        <w:rPr>
          <w:b/>
          <w:bCs/>
          <w:rtl/>
        </w:rPr>
        <w:t>סיכום פעילות המחלקה לטיפול בהתמכרויות במשרד הבריאות לשנת 2016</w:t>
      </w:r>
      <w:r w:rsidRPr="009B6D36">
        <w:rPr>
          <w:rtl/>
        </w:rPr>
        <w:t>, עמ' 68.</w:t>
      </w:r>
    </w:p>
  </w:footnote>
  <w:footnote w:id="74">
    <w:p w:rsidR="009B6D36" w:rsidRPr="009B6D36" w:rsidP="009B6D36">
      <w:pPr>
        <w:pStyle w:val="FootnoteText"/>
      </w:pPr>
      <w:r w:rsidRPr="009B6D36">
        <w:rPr>
          <w:rStyle w:val="FootnoteReference0"/>
          <w:vertAlign w:val="baseline"/>
        </w:rPr>
        <w:footnoteRef/>
      </w:r>
      <w:r w:rsidRPr="009B6D36">
        <w:rPr>
          <w:rtl/>
        </w:rPr>
        <w:t xml:space="preserve"> </w:t>
      </w:r>
      <w:r w:rsidRPr="009B6D36">
        <w:rPr>
          <w:rtl/>
        </w:rPr>
        <w:tab/>
      </w:r>
      <w:r w:rsidRPr="009B6D36">
        <w:rPr>
          <w:rFonts w:eastAsia="Times New Roman"/>
          <w:rtl/>
          <w:lang w:eastAsia="he-IL"/>
        </w:rPr>
        <w:t>תוכניות</w:t>
      </w:r>
      <w:r w:rsidRPr="009B6D36">
        <w:rPr>
          <w:rFonts w:eastAsia="Times New Roman"/>
          <w:rtl/>
          <w:lang w:eastAsia="he-IL"/>
        </w:rPr>
        <w:t xml:space="preserve"> המניעה המרכזיות בתוכנית כישורי חיים להתמודדות עם התנהגויות סיכון הן: "עמיתים ומשפיעים" -</w:t>
      </w:r>
      <w:r w:rsidRPr="009B6D36">
        <w:rPr>
          <w:rtl/>
        </w:rPr>
        <w:t xml:space="preserve"> </w:t>
      </w:r>
      <w:r w:rsidRPr="009B6D36">
        <w:rPr>
          <w:rtl/>
        </w:rPr>
        <w:t>תוכנית</w:t>
      </w:r>
      <w:r w:rsidRPr="009B6D36">
        <w:rPr>
          <w:rtl/>
        </w:rPr>
        <w:t xml:space="preserve"> שמטרתה לחזק את יכולתם של בני הנוער להתמודד עם ספקות בנושא סמים, אלכוהול וטבק, באמצעות עמיתים שהוכשרו להיות סוכני שינוי שיש להם יכולת השפעה על הסביבה החברתית שלהם; </w:t>
      </w:r>
      <w:r w:rsidRPr="009B6D36">
        <w:rPr>
          <w:rFonts w:eastAsia="Times New Roman"/>
          <w:rtl/>
          <w:lang w:eastAsia="he-IL"/>
        </w:rPr>
        <w:t>"גדולים ולא שותים"</w:t>
      </w:r>
      <w:r w:rsidRPr="009B6D36">
        <w:rPr>
          <w:rtl/>
        </w:rPr>
        <w:t xml:space="preserve"> - המיועדת לילדים בכיתות ה-ו, מופצת כערכת למידה לבתי הספר ומאפשרת רב-שיח עם התלמידים על ההשפעה המזיקה של שתיית אלכוהול בקרב ילדים ומתבגרים, תוך פיתוח כישורי התמודדות כלפי פיתויים והשפעות חברתיות.</w:t>
      </w:r>
    </w:p>
  </w:footnote>
  <w:footnote w:id="75">
    <w:p w:rsidR="009B6D36" w:rsidRPr="009B6D36" w:rsidP="009B6D36">
      <w:pPr>
        <w:pStyle w:val="CommentText"/>
        <w:rPr>
          <w:rFonts w:ascii="Tahoma" w:hAnsi="Tahoma" w:cs="Tahoma"/>
          <w:sz w:val="14"/>
          <w:szCs w:val="14"/>
          <w:rtl/>
        </w:rPr>
      </w:pPr>
      <w:r w:rsidRPr="009B6D36">
        <w:rPr>
          <w:rStyle w:val="FootnoteReference0"/>
          <w:rFonts w:ascii="Tahoma" w:hAnsi="Tahoma" w:cs="Tahoma"/>
          <w:sz w:val="14"/>
          <w:szCs w:val="14"/>
          <w:vertAlign w:val="baseline"/>
        </w:rPr>
        <w:footnoteRef/>
      </w:r>
      <w:r w:rsidRPr="009B6D36">
        <w:rPr>
          <w:rFonts w:ascii="Tahoma" w:hAnsi="Tahoma" w:cs="Tahoma"/>
          <w:sz w:val="14"/>
          <w:szCs w:val="14"/>
          <w:rtl/>
        </w:rPr>
        <w:t xml:space="preserve"> </w:t>
      </w:r>
      <w:r w:rsidRPr="009B6D36">
        <w:rPr>
          <w:rFonts w:ascii="Tahoma" w:hAnsi="Tahoma" w:cs="Tahoma"/>
          <w:sz w:val="14"/>
          <w:szCs w:val="14"/>
          <w:rtl/>
        </w:rPr>
        <w:tab/>
        <w:t>חוזר מנכ"ל תשס"ד/7(א)</w:t>
      </w:r>
    </w:p>
  </w:footnote>
  <w:footnote w:id="76">
    <w:p w:rsidR="009B6D36" w:rsidRPr="009B6D36" w:rsidP="009B6D36">
      <w:pPr>
        <w:pStyle w:val="FootnoteText"/>
      </w:pPr>
      <w:r w:rsidRPr="009B6D36">
        <w:rPr>
          <w:rStyle w:val="FootnoteReference0"/>
          <w:vertAlign w:val="baseline"/>
        </w:rPr>
        <w:footnoteRef/>
      </w:r>
      <w:r w:rsidRPr="009B6D36">
        <w:rPr>
          <w:rtl/>
        </w:rPr>
        <w:t xml:space="preserve"> </w:t>
      </w:r>
      <w:r w:rsidRPr="009B6D36">
        <w:rPr>
          <w:rtl/>
        </w:rPr>
        <w:tab/>
        <w:t xml:space="preserve">השירות לטיפול בהתמכרויות, </w:t>
      </w:r>
      <w:r w:rsidRPr="009B6D36">
        <w:rPr>
          <w:b/>
          <w:bCs/>
          <w:rtl/>
        </w:rPr>
        <w:t>חזון מדיניות פרקטיקה ונתונים - שנת 2016</w:t>
      </w:r>
      <w:r w:rsidRPr="009B6D36">
        <w:rPr>
          <w:rtl/>
        </w:rPr>
        <w:t>, עמ' 34.</w:t>
      </w:r>
    </w:p>
  </w:footnote>
  <w:footnote w:id="77">
    <w:p w:rsidR="009B6D36" w:rsidRPr="009B6D36" w:rsidP="009B6D36">
      <w:pPr>
        <w:pStyle w:val="FootnoteText"/>
        <w:rPr>
          <w:rtl/>
        </w:rPr>
      </w:pPr>
      <w:r w:rsidRPr="009B6D36">
        <w:rPr>
          <w:rStyle w:val="FootnoteReference0"/>
          <w:vertAlign w:val="baseline"/>
        </w:rPr>
        <w:footnoteRef/>
      </w:r>
      <w:r w:rsidRPr="009B6D36">
        <w:rPr>
          <w:rtl/>
        </w:rPr>
        <w:t xml:space="preserve"> </w:t>
      </w:r>
      <w:r w:rsidRPr="009B6D36">
        <w:rPr>
          <w:rtl/>
        </w:rPr>
        <w:tab/>
        <w:t xml:space="preserve">למעט הדיווח על שימוש בריטלין ללא מרשם רופא. </w:t>
      </w:r>
    </w:p>
  </w:footnote>
  <w:footnote w:id="78">
    <w:p w:rsidR="009B6D36" w:rsidRPr="009B6D36" w:rsidP="009B6D36">
      <w:pPr>
        <w:pStyle w:val="FootnoteText"/>
        <w:rPr>
          <w:rtl/>
        </w:rPr>
      </w:pPr>
      <w:r w:rsidRPr="009B6D36">
        <w:rPr>
          <w:rStyle w:val="FootnoteReference0"/>
          <w:vertAlign w:val="baseline"/>
        </w:rPr>
        <w:footnoteRef/>
      </w:r>
      <w:r w:rsidRPr="009B6D36">
        <w:rPr>
          <w:rtl/>
        </w:rPr>
        <w:t xml:space="preserve"> </w:t>
      </w:r>
      <w:r w:rsidRPr="009B6D36">
        <w:rPr>
          <w:rtl/>
        </w:rPr>
        <w:tab/>
      </w:r>
      <w:r w:rsidRPr="009B6D36">
        <w:rPr>
          <w:b/>
          <w:bCs/>
          <w:rtl/>
        </w:rPr>
        <w:t>נוער בישראל: דפוסי שימוש והתייחסות לחומרים ממכרים, סיכום ממצאי המחקר הארצי (2014), ניתוח מגמות בין השנים 2014-1994 והשוואה בין לאומית</w:t>
      </w:r>
      <w:r w:rsidRPr="009B6D36">
        <w:rPr>
          <w:rtl/>
        </w:rPr>
        <w:t xml:space="preserve">, תכנית המחקר הבינלאומי על רווחתם ובריאותם של בני הנוער, בית הספר לחינוך, אוניברסיטת בר אילן (להלן - מחקר דפוסי שימוש נוער - 2014), עמ' 2, 3, 45, 77-62. יצוין כי בנות דיווחו על שתייה מופרזת בשכיחות נמוכה יותר מבנים. הפער בין בנים לבנות בולט יותר בקרב תלמידים במגזר הערבי (במגזר היהודי 23% בקרב בנים ו-12% בקרב בנות ובמגזר הערבי 22% בקרב בנים ו-5% בקרב בנות) </w:t>
      </w:r>
    </w:p>
  </w:footnote>
  <w:footnote w:id="79">
    <w:p w:rsidR="009B6D36" w:rsidRPr="009B6D36" w:rsidP="009B6D36">
      <w:pPr>
        <w:pStyle w:val="FootnoteText"/>
      </w:pPr>
      <w:r w:rsidRPr="009B6D36">
        <w:rPr>
          <w:rStyle w:val="FootnoteReference0"/>
          <w:vertAlign w:val="baseline"/>
        </w:rPr>
        <w:footnoteRef/>
      </w:r>
      <w:r w:rsidRPr="009B6D36">
        <w:rPr>
          <w:rtl/>
        </w:rPr>
        <w:t xml:space="preserve"> </w:t>
      </w:r>
      <w:r w:rsidRPr="009B6D36">
        <w:rPr>
          <w:rtl/>
        </w:rPr>
        <w:tab/>
      </w:r>
      <w:r w:rsidRPr="009B6D36">
        <w:rPr>
          <w:b/>
          <w:bCs/>
          <w:rtl/>
        </w:rPr>
        <w:t xml:space="preserve">נוער דתי בישראל: דפוסי שימוש והתייחסות לחומרים ממכרים בקרב תלמידי החינוך הממלכתי-דתי, דפוסי התנהגויות סיכון ורווחה נפשית ותפקודית של תלמידי החינוך הממלכתי-דתי בישראל: מדגם מייצג ארצי של תלמידי </w:t>
      </w:r>
      <w:r w:rsidRPr="009B6D36">
        <w:rPr>
          <w:b/>
          <w:bCs/>
          <w:rtl/>
        </w:rPr>
        <w:t>החמ"ד</w:t>
      </w:r>
      <w:r w:rsidRPr="009B6D36">
        <w:rPr>
          <w:b/>
          <w:bCs/>
          <w:rtl/>
        </w:rPr>
        <w:t xml:space="preserve"> כהרחבה של הסקר הבינלאומי </w:t>
      </w:r>
      <w:r w:rsidRPr="009B6D36">
        <w:rPr>
          <w:b/>
          <w:bCs/>
        </w:rPr>
        <w:t>WHO-HBSC</w:t>
      </w:r>
      <w:r w:rsidRPr="009B6D36">
        <w:rPr>
          <w:rtl/>
        </w:rPr>
        <w:t>, תכנית המחקר הבינלאומי על רווחתם ובריאותם של בני הנוער, בית הספר לחינוך, אוניברסיטת בר אילן, עמ' 31-30.</w:t>
      </w:r>
    </w:p>
  </w:footnote>
  <w:footnote w:id="80">
    <w:p w:rsidR="009B6D36" w:rsidRPr="009B6D36" w:rsidP="009B6D36">
      <w:pPr>
        <w:pStyle w:val="FootnoteText"/>
        <w:rPr>
          <w:rtl/>
        </w:rPr>
      </w:pPr>
      <w:r w:rsidRPr="009B6D36">
        <w:rPr>
          <w:rStyle w:val="FootnoteReference0"/>
          <w:vertAlign w:val="baseline"/>
        </w:rPr>
        <w:footnoteRef/>
      </w:r>
      <w:r w:rsidRPr="009B6D36">
        <w:rPr>
          <w:rtl/>
        </w:rPr>
        <w:t xml:space="preserve"> </w:t>
      </w:r>
      <w:r w:rsidRPr="009B6D36">
        <w:rPr>
          <w:rtl/>
        </w:rPr>
        <w:tab/>
      </w:r>
      <w:r w:rsidRPr="009B6D36">
        <w:rPr>
          <w:b/>
          <w:bCs/>
          <w:rtl/>
        </w:rPr>
        <w:t>מחקר דפוסי שימוש נוער - 2014</w:t>
      </w:r>
      <w:r w:rsidRPr="009B6D36">
        <w:rPr>
          <w:rtl/>
        </w:rPr>
        <w:t xml:space="preserve">, עמ' 45, 48, 49. </w:t>
      </w:r>
    </w:p>
  </w:footnote>
  <w:footnote w:id="81">
    <w:p w:rsidR="009B6D36" w:rsidRPr="009B6D36" w:rsidP="009B6D36">
      <w:pPr>
        <w:pStyle w:val="FootnoteText"/>
        <w:rPr>
          <w:rtl/>
        </w:rPr>
      </w:pPr>
      <w:r w:rsidRPr="009B6D36">
        <w:rPr>
          <w:rStyle w:val="FootnoteReference0"/>
          <w:vertAlign w:val="baseline"/>
        </w:rPr>
        <w:footnoteRef/>
      </w:r>
      <w:r w:rsidRPr="009B6D36">
        <w:rPr>
          <w:rtl/>
        </w:rPr>
        <w:t xml:space="preserve"> </w:t>
      </w:r>
      <w:r w:rsidRPr="009B6D36">
        <w:rPr>
          <w:rtl/>
        </w:rPr>
        <w:tab/>
        <w:t>תלמידים ששתו שתייה מופרזת הם תלמידים ששתו חמש מנות לפחות של משקה אלכוהולי (למעט יין למטרות דת) בתוך כמה שעות, לפחות פעם אחת ב-30 הימים שקדמו למילוי השאלון.</w:t>
      </w:r>
    </w:p>
  </w:footnote>
  <w:footnote w:id="82">
    <w:p w:rsidR="009B6D36" w:rsidRPr="009B6D36" w:rsidP="009B6D36">
      <w:pPr>
        <w:pStyle w:val="FootnoteText"/>
        <w:rPr>
          <w:rtl/>
        </w:rPr>
      </w:pPr>
      <w:r w:rsidRPr="009B6D36">
        <w:rPr>
          <w:rStyle w:val="FootnoteReference0"/>
          <w:vertAlign w:val="baseline"/>
        </w:rPr>
        <w:footnoteRef/>
      </w:r>
      <w:r w:rsidRPr="009B6D36">
        <w:rPr>
          <w:rtl/>
        </w:rPr>
        <w:t xml:space="preserve"> </w:t>
      </w:r>
      <w:r w:rsidRPr="009B6D36">
        <w:rPr>
          <w:rtl/>
        </w:rPr>
        <w:tab/>
        <w:t>על הסקר ענו 1048 יועצות בבתי הספר התיכוניים, 1053 יועצות בחטיבות הביניים ו-1774 יועצות בבתי הספר היסודיים.</w:t>
      </w:r>
    </w:p>
  </w:footnote>
  <w:footnote w:id="83">
    <w:p w:rsidR="009B6D36" w:rsidRPr="009B6D36" w:rsidP="009B6D36">
      <w:pPr>
        <w:pStyle w:val="FootnoteText"/>
        <w:rPr>
          <w:rtl/>
        </w:rPr>
      </w:pPr>
      <w:r w:rsidRPr="009B6D36">
        <w:rPr>
          <w:rStyle w:val="FootnoteReference0"/>
          <w:vertAlign w:val="baseline"/>
        </w:rPr>
        <w:footnoteRef/>
      </w:r>
      <w:r w:rsidRPr="009B6D36">
        <w:rPr>
          <w:rtl/>
        </w:rPr>
        <w:t xml:space="preserve"> </w:t>
      </w:r>
      <w:r w:rsidRPr="009B6D36">
        <w:rPr>
          <w:rtl/>
        </w:rPr>
        <w:tab/>
      </w:r>
      <w:r w:rsidRPr="009B6D36">
        <w:rPr>
          <w:b/>
          <w:bCs/>
          <w:rtl/>
        </w:rPr>
        <w:t>מחקר בריאות רווחה ודפוסי התנהגות סיכון נוער - 2014</w:t>
      </w:r>
      <w:r w:rsidRPr="009B6D36">
        <w:rPr>
          <w:rtl/>
        </w:rPr>
        <w:t>, עמ' 234</w:t>
      </w:r>
      <w:r w:rsidR="002E34D6">
        <w:rPr>
          <w:rFonts w:hint="cs"/>
          <w:rtl/>
        </w:rPr>
        <w:t>, 236</w:t>
      </w:r>
      <w:r w:rsidRPr="009B6D36">
        <w:rPr>
          <w:rtl/>
        </w:rPr>
        <w:t>.</w:t>
      </w:r>
    </w:p>
  </w:footnote>
  <w:footnote w:id="84">
    <w:p w:rsidR="009B6D36" w:rsidRPr="009B6D36" w:rsidP="009B6D36">
      <w:pPr>
        <w:pStyle w:val="FootnoteText"/>
        <w:rPr>
          <w:rtl/>
        </w:rPr>
      </w:pPr>
      <w:r w:rsidRPr="009B6D36">
        <w:rPr>
          <w:rStyle w:val="FootnoteReference0"/>
          <w:vertAlign w:val="baseline"/>
        </w:rPr>
        <w:footnoteRef/>
      </w:r>
      <w:r w:rsidRPr="009B6D36">
        <w:rPr>
          <w:rtl/>
        </w:rPr>
        <w:t xml:space="preserve"> </w:t>
      </w:r>
      <w:r w:rsidRPr="009B6D36">
        <w:rPr>
          <w:rtl/>
        </w:rPr>
        <w:tab/>
      </w:r>
      <w:r w:rsidRPr="009B6D36">
        <w:rPr>
          <w:b/>
          <w:bCs/>
          <w:rtl/>
        </w:rPr>
        <w:t>מחקר דפוסי שימוש נוער - 2014</w:t>
      </w:r>
      <w:r w:rsidRPr="009B6D36">
        <w:rPr>
          <w:rtl/>
        </w:rPr>
        <w:t>, עמ' 72, 75, 79, 80.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B6D36" w:rsidRPr="000536D4" w:rsidP="003D09D3">
    <w:pPr>
      <w:pStyle w:val="Heading1"/>
      <w:pBdr>
        <w:bottom w:val="none" w:sz="0" w:space="0" w:color="auto"/>
      </w:pBdr>
      <w:tabs>
        <w:tab w:val="center" w:pos="4536"/>
        <w:tab w:val="right" w:pos="9072"/>
      </w:tabs>
      <w:ind w:left="0" w:firstLine="0"/>
      <w:rPr>
        <w:rFonts w:ascii="Arial Bold" w:hAnsi="Arial Bold" w:cs="Tahoma"/>
        <w:b w:val="0"/>
        <w:bCs w:val="0"/>
        <w:sz w:val="16"/>
        <w:szCs w:val="16"/>
      </w:rPr>
    </w:pP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Pr>
        <w:rFonts w:ascii="Arial Bold" w:hAnsi="Arial Bold" w:cs="Tahoma"/>
        <w:noProof/>
        <w:sz w:val="16"/>
        <w:szCs w:val="16"/>
        <w:rtl/>
      </w:rPr>
      <w:t>76</w:t>
    </w:r>
    <w:r w:rsidRPr="000536D4">
      <w:rPr>
        <w:rFonts w:ascii="Arial Bold" w:hAnsi="Arial Bold" w:cs="Tahoma"/>
        <w:noProof/>
        <w:sz w:val="16"/>
        <w:szCs w:val="16"/>
      </w:rPr>
      <w:fldChar w:fldCharType="end"/>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eastAsia"/>
        <w:b w:val="0"/>
        <w:bCs w:val="0"/>
        <w:sz w:val="16"/>
        <w:szCs w:val="16"/>
        <w:rtl/>
      </w:rPr>
      <w:t>דוח</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שנתי</w:t>
    </w:r>
    <w:r w:rsidRPr="000536D4">
      <w:rPr>
        <w:rFonts w:ascii="Arial Bold" w:hAnsi="Arial Bold" w:cs="Tahoma"/>
        <w:b w:val="0"/>
        <w:bCs w:val="0"/>
        <w:sz w:val="16"/>
        <w:szCs w:val="16"/>
        <w:rtl/>
      </w:rPr>
      <w:t xml:space="preserve"> 65</w:t>
    </w:r>
    <w:r w:rsidRPr="000536D4">
      <w:rPr>
        <w:rFonts w:ascii="Arial Bold" w:hAnsi="Arial Bold" w:cs="Tahoma" w:hint="eastAsia"/>
        <w:b w:val="0"/>
        <w:bCs w:val="0"/>
        <w:sz w:val="16"/>
        <w:szCs w:val="16"/>
        <w:rtl/>
      </w:rPr>
      <w:t>ג</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B6D36" w:rsidRPr="000536D4" w:rsidP="003D09D3">
    <w:pPr>
      <w:pStyle w:val="Heading1"/>
      <w:pBdr>
        <w:bottom w:val="none" w:sz="0" w:space="0" w:color="auto"/>
      </w:pBdr>
      <w:tabs>
        <w:tab w:val="center" w:pos="4536"/>
        <w:tab w:val="right" w:pos="9072"/>
      </w:tabs>
      <w:ind w:left="0" w:firstLine="0"/>
      <w:jc w:val="right"/>
      <w:rPr>
        <w:rFonts w:ascii="Arial Bold" w:hAnsi="Arial Bold" w:cs="Tahoma"/>
        <w:sz w:val="16"/>
        <w:szCs w:val="16"/>
      </w:rPr>
    </w:pPr>
    <w:r w:rsidRPr="000536D4">
      <w:rPr>
        <w:rFonts w:ascii="Arial Bold" w:hAnsi="Arial Bold" w:cs="Tahoma" w:hint="eastAsia"/>
        <w:b w:val="0"/>
        <w:bCs w:val="0"/>
        <w:sz w:val="16"/>
        <w:szCs w:val="16"/>
        <w:rtl/>
      </w:rPr>
      <w:t>אבדן</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מזון</w:t>
    </w:r>
    <w:r w:rsidRPr="000536D4">
      <w:rPr>
        <w:rFonts w:ascii="Arial Bold" w:hAnsi="Arial Bold" w:cs="Tahoma"/>
        <w:b w:val="0"/>
        <w:bCs w:val="0"/>
        <w:sz w:val="16"/>
        <w:szCs w:val="16"/>
        <w:rtl/>
      </w:rPr>
      <w:t xml:space="preserve"> - </w:t>
    </w:r>
    <w:r w:rsidRPr="000536D4">
      <w:rPr>
        <w:rFonts w:ascii="Arial Bold" w:hAnsi="Arial Bold" w:cs="Tahoma" w:hint="eastAsia"/>
        <w:b w:val="0"/>
        <w:bCs w:val="0"/>
        <w:sz w:val="16"/>
        <w:szCs w:val="16"/>
        <w:rtl/>
      </w:rPr>
      <w:t>השלכות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חברתיות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סביבתיות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וכלכליות</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Pr>
        <w:rFonts w:ascii="Arial Bold" w:hAnsi="Arial Bold" w:cs="Tahoma"/>
        <w:noProof/>
        <w:sz w:val="16"/>
        <w:szCs w:val="16"/>
        <w:rtl/>
      </w:rPr>
      <w:t>77</w:t>
    </w:r>
    <w:r w:rsidRPr="000536D4">
      <w:rPr>
        <w:rFonts w:ascii="Arial Bold" w:hAnsi="Arial Bold" w:cs="Tahoma"/>
        <w:noProof/>
        <w:sz w:val="16"/>
        <w:szCs w:val="16"/>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B6D36" w:rsidRPr="007F1A39" w:rsidP="00890ED9">
    <w:pPr>
      <w:pStyle w:val="Header"/>
      <w:spacing w:before="240" w:after="180"/>
      <w:rPr>
        <w:rFonts w:ascii="Tahoma" w:hAnsi="Tahoma" w:eastAsiaTheme="majorEastAsia" w:cs="Tahoma"/>
        <w:noProof/>
        <w:color w:val="0B5294" w:themeColor="accent1" w:themeShade="BF"/>
        <w:sz w:val="16"/>
        <w:szCs w:val="16"/>
      </w:rPr>
    </w:pPr>
    <w:r w:rsidRPr="007F1A39">
      <w:rPr>
        <w:rFonts w:ascii="Tahoma" w:hAnsi="Tahoma" w:eastAsiaTheme="majorEastAsia" w:cs="Tahoma"/>
        <w:b/>
        <w:bCs/>
        <w:noProof/>
        <w:color w:val="0B5294" w:themeColor="accent1" w:themeShade="BF"/>
        <w:sz w:val="16"/>
        <w:szCs w:val="16"/>
      </w:rPr>
      <w:fldChar w:fldCharType="begin"/>
    </w:r>
    <w:r w:rsidRPr="007F1A39">
      <w:rPr>
        <w:rFonts w:ascii="Tahoma" w:hAnsi="Tahoma" w:eastAsiaTheme="majorEastAsia" w:cs="Tahoma"/>
        <w:b/>
        <w:bCs/>
        <w:noProof/>
        <w:color w:val="0B5294" w:themeColor="accent1" w:themeShade="BF"/>
        <w:sz w:val="16"/>
        <w:szCs w:val="16"/>
      </w:rPr>
      <w:instrText xml:space="preserve"> PAGE   \* MERGEFORMAT </w:instrText>
    </w:r>
    <w:r w:rsidRPr="007F1A39">
      <w:rPr>
        <w:rFonts w:ascii="Tahoma" w:hAnsi="Tahoma" w:eastAsiaTheme="majorEastAsia" w:cs="Tahoma"/>
        <w:b/>
        <w:bCs/>
        <w:noProof/>
        <w:color w:val="0B5294" w:themeColor="accent1" w:themeShade="BF"/>
        <w:sz w:val="16"/>
        <w:szCs w:val="16"/>
      </w:rPr>
      <w:fldChar w:fldCharType="separate"/>
    </w:r>
    <w:r w:rsidR="00CF1F92">
      <w:rPr>
        <w:rFonts w:ascii="Tahoma" w:hAnsi="Tahoma" w:eastAsiaTheme="majorEastAsia" w:cs="Tahoma"/>
        <w:b/>
        <w:bCs/>
        <w:noProof/>
        <w:color w:val="0B5294" w:themeColor="accent1" w:themeShade="BF"/>
        <w:sz w:val="16"/>
        <w:szCs w:val="16"/>
        <w:rtl/>
      </w:rPr>
      <w:t>1462</w:t>
    </w:r>
    <w:r w:rsidRPr="007F1A39">
      <w:rPr>
        <w:rFonts w:ascii="Tahoma" w:hAnsi="Tahoma" w:eastAsiaTheme="majorEastAsia" w:cs="Tahoma"/>
        <w:b/>
        <w:bCs/>
        <w:noProof/>
        <w:color w:val="0B5294" w:themeColor="accent1" w:themeShade="BF"/>
        <w:sz w:val="16"/>
        <w:szCs w:val="16"/>
      </w:rPr>
      <w:fldChar w:fldCharType="end"/>
    </w:r>
    <w:r w:rsidRPr="007F1A39">
      <w:rPr>
        <w:rFonts w:ascii="Tahoma" w:hAnsi="Tahoma" w:eastAsiaTheme="majorEastAsia" w:cs="Tahoma" w:hint="cs"/>
        <w:noProof/>
        <w:color w:val="0B5294" w:themeColor="accent1" w:themeShade="BF"/>
        <w:sz w:val="16"/>
        <w:szCs w:val="16"/>
        <w:rtl/>
      </w:rPr>
      <w:t xml:space="preserve">  |  </w:t>
    </w:r>
    <w:r w:rsidRPr="007F1A39">
      <w:rPr>
        <w:rFonts w:ascii="Tahoma" w:hAnsi="Tahoma" w:eastAsiaTheme="majorEastAsia" w:cs="Tahoma" w:hint="eastAsia"/>
        <w:noProof/>
        <w:color w:val="0B5294" w:themeColor="accent1" w:themeShade="BF"/>
        <w:sz w:val="16"/>
        <w:szCs w:val="16"/>
        <w:rtl/>
      </w:rPr>
      <mc:AlternateContent>
        <mc:Choice Requires="wps">
          <w:drawing>
            <wp:anchor distT="0" distB="0" distL="114300" distR="114300" simplePos="0" relativeHeight="251660288" behindDoc="1" locked="0" layoutInCell="1" allowOverlap="1">
              <wp:simplePos x="0" y="0"/>
              <wp:positionH relativeFrom="page">
                <wp:align>center</wp:align>
              </wp:positionH>
              <wp:positionV relativeFrom="page">
                <wp:align>center</wp:align>
              </wp:positionV>
              <wp:extent cx="7560000" cy="9720000"/>
              <wp:effectExtent l="0" t="0" r="22225" b="14605"/>
              <wp:wrapNone/>
              <wp:docPr id="9" name="Rectangle 9"/>
              <wp:cNvGraphicFramePr/>
              <a:graphic xmlns:a="http://schemas.openxmlformats.org/drawingml/2006/main">
                <a:graphicData uri="http://schemas.microsoft.com/office/word/2010/wordprocessingShape">
                  <wps:wsp xmlns:wps="http://schemas.microsoft.com/office/word/2010/wordprocessingShape">
                    <wps:cNvSpPr/>
                    <wps:spPr>
                      <a:xfrm>
                        <a:off x="0" y="0"/>
                        <a:ext cx="7560000" cy="9720000"/>
                      </a:xfrm>
                      <a:prstGeom prst="rect">
                        <a:avLst/>
                      </a:prstGeom>
                      <a:solidFill>
                        <a:srgbClr val="FEF7EA"/>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9" o:spid="_x0000_s2049" style="width:595.3pt;height:765.35pt;margin-top:0;margin-left:0;mso-height-percent:0;mso-height-relative:margin;mso-position-horizontal:center;mso-position-horizontal-relative:page;mso-position-vertical:center;mso-position-vertical-relative:page;mso-width-percent:0;mso-width-relative:margin;mso-wrap-distance-bottom:0;mso-wrap-distance-left:9pt;mso-wrap-distance-right:9pt;mso-wrap-distance-top:0;mso-wrap-style:square;position:absolute;visibility:visible;v-text-anchor:middle;z-index:-251655168" fillcolor="#fef7ea" strokecolor="white" strokeweight="1.5pt">
              <v:stroke endcap="round"/>
            </v:rect>
          </w:pict>
        </mc:Fallback>
      </mc:AlternateContent>
    </w:r>
    <w:r w:rsidRPr="008E0524">
      <w:rPr>
        <w:rFonts w:ascii="Tahoma" w:hAnsi="Tahoma" w:eastAsiaTheme="majorEastAsia" w:cs="Tahoma" w:hint="eastAsia"/>
        <w:noProof/>
        <w:color w:val="0B5294" w:themeColor="accent1" w:themeShade="BF"/>
        <w:sz w:val="16"/>
        <w:szCs w:val="16"/>
        <w:rtl/>
      </w:rPr>
      <w:t>דוח</w:t>
    </w:r>
    <w:r w:rsidRPr="008E0524">
      <w:rPr>
        <w:rFonts w:ascii="Tahoma" w:hAnsi="Tahoma" w:eastAsiaTheme="majorEastAsia" w:cs="Tahoma"/>
        <w:noProof/>
        <w:color w:val="0B5294" w:themeColor="accent1" w:themeShade="BF"/>
        <w:sz w:val="16"/>
        <w:szCs w:val="16"/>
        <w:rtl/>
      </w:rPr>
      <w:t xml:space="preserve"> </w:t>
    </w:r>
    <w:r w:rsidRPr="008E0524">
      <w:rPr>
        <w:rFonts w:ascii="Tahoma" w:hAnsi="Tahoma" w:eastAsiaTheme="majorEastAsia" w:cs="Tahoma" w:hint="eastAsia"/>
        <w:noProof/>
        <w:color w:val="0B5294" w:themeColor="accent1" w:themeShade="BF"/>
        <w:sz w:val="16"/>
        <w:szCs w:val="16"/>
        <w:rtl/>
      </w:rPr>
      <w:t>שנתי</w:t>
    </w:r>
    <w:r w:rsidRPr="008E0524">
      <w:rPr>
        <w:rFonts w:ascii="Tahoma" w:hAnsi="Tahoma" w:eastAsiaTheme="majorEastAsia" w:cs="Tahoma"/>
        <w:noProof/>
        <w:color w:val="0B5294" w:themeColor="accent1" w:themeShade="BF"/>
        <w:sz w:val="16"/>
        <w:szCs w:val="16"/>
        <w:rtl/>
      </w:rPr>
      <w:t xml:space="preserve"> </w:t>
    </w:r>
    <w:r>
      <w:rPr>
        <w:rFonts w:ascii="Tahoma" w:hAnsi="Tahoma" w:eastAsiaTheme="majorEastAsia" w:cs="Tahoma"/>
        <w:noProof/>
        <w:color w:val="0B5294" w:themeColor="accent1" w:themeShade="BF"/>
        <w:sz w:val="16"/>
        <w:szCs w:val="16"/>
        <w:rtl/>
      </w:rPr>
      <w:t>6</w:t>
    </w:r>
    <w:r>
      <w:rPr>
        <w:rFonts w:ascii="Tahoma" w:hAnsi="Tahoma" w:eastAsiaTheme="majorEastAsia" w:cs="Tahoma" w:hint="cs"/>
        <w:noProof/>
        <w:color w:val="0B5294" w:themeColor="accent1" w:themeShade="BF"/>
        <w:sz w:val="16"/>
        <w:szCs w:val="16"/>
        <w:rtl/>
      </w:rPr>
      <w:t>9ב</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B6D36" w:rsidRPr="007F1A39" w:rsidP="007F1A39">
    <w:pPr>
      <w:pStyle w:val="Header"/>
      <w:spacing w:before="240" w:after="180"/>
      <w:jc w:val="right"/>
      <w:rPr>
        <w:rFonts w:ascii="Tahoma" w:hAnsi="Tahoma" w:eastAsiaTheme="majorEastAsia" w:cs="Tahoma"/>
        <w:noProof/>
        <w:color w:val="0B5294" w:themeColor="accent1" w:themeShade="BF"/>
        <w:sz w:val="16"/>
        <w:szCs w:val="16"/>
      </w:rPr>
    </w:pPr>
    <w:r w:rsidRPr="007F1A39">
      <w:rPr>
        <w:rFonts w:ascii="Tahoma" w:hAnsi="Tahoma" w:eastAsiaTheme="majorEastAsia" w:cs="Tahoma" w:hint="eastAsia"/>
        <w:noProof/>
        <w:color w:val="0B5294" w:themeColor="accent1" w:themeShade="BF"/>
        <w:sz w:val="16"/>
        <w:szCs w:val="16"/>
        <w:rtl/>
      </w:rPr>
      <mc:AlternateContent>
        <mc:Choice Requires="wps">
          <w:drawing>
            <wp:anchor distT="0" distB="0" distL="114300" distR="114300" simplePos="0" relativeHeight="251658240" behindDoc="1" locked="0" layoutInCell="1" allowOverlap="1">
              <wp:simplePos x="0" y="0"/>
              <wp:positionH relativeFrom="page">
                <wp:align>center</wp:align>
              </wp:positionH>
              <wp:positionV relativeFrom="page">
                <wp:align>center</wp:align>
              </wp:positionV>
              <wp:extent cx="7560000" cy="9720000"/>
              <wp:effectExtent l="0" t="0" r="22225" b="14605"/>
              <wp:wrapNone/>
              <wp:docPr id="8" name="Rectangle 8"/>
              <wp:cNvGraphicFramePr/>
              <a:graphic xmlns:a="http://schemas.openxmlformats.org/drawingml/2006/main">
                <a:graphicData uri="http://schemas.microsoft.com/office/word/2010/wordprocessingShape">
                  <wps:wsp xmlns:wps="http://schemas.microsoft.com/office/word/2010/wordprocessingShape">
                    <wps:cNvSpPr/>
                    <wps:spPr>
                      <a:xfrm>
                        <a:off x="0" y="0"/>
                        <a:ext cx="7560000" cy="9720000"/>
                      </a:xfrm>
                      <a:prstGeom prst="rect">
                        <a:avLst/>
                      </a:prstGeom>
                      <a:solidFill>
                        <a:srgbClr val="FEF7EA"/>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8" o:spid="_x0000_s2050" style="width:595.3pt;height:765.35pt;margin-top:0;margin-left:0;mso-height-percent:0;mso-height-relative:margin;mso-position-horizontal:center;mso-position-horizontal-relative:page;mso-position-vertical:center;mso-position-vertical-relative:page;mso-width-percent:0;mso-width-relative:margin;mso-wrap-distance-bottom:0;mso-wrap-distance-left:9pt;mso-wrap-distance-right:9pt;mso-wrap-distance-top:0;mso-wrap-style:square;position:absolute;visibility:visible;v-text-anchor:middle;z-index:-251657216" fillcolor="#fef7ea" strokecolor="white" strokeweight="1.5pt">
              <v:stroke endcap="round"/>
            </v:rect>
          </w:pict>
        </mc:Fallback>
      </mc:AlternateContent>
    </w:r>
    <w:r w:rsidRPr="009B6D36">
      <w:rPr>
        <w:rFonts w:ascii="Tahoma" w:hAnsi="Tahoma" w:eastAsiaTheme="majorEastAsia" w:cs="Tahoma" w:hint="eastAsia"/>
        <w:noProof/>
        <w:color w:val="0B5294" w:themeColor="accent1" w:themeShade="BF"/>
        <w:sz w:val="16"/>
        <w:szCs w:val="16"/>
        <w:rtl/>
      </w:rPr>
      <w:t>משרד</w:t>
    </w:r>
    <w:r w:rsidRPr="009B6D36">
      <w:rPr>
        <w:rFonts w:ascii="Tahoma" w:hAnsi="Tahoma" w:eastAsiaTheme="majorEastAsia" w:cs="Tahoma"/>
        <w:noProof/>
        <w:color w:val="0B5294" w:themeColor="accent1" w:themeShade="BF"/>
        <w:sz w:val="16"/>
        <w:szCs w:val="16"/>
        <w:rtl/>
      </w:rPr>
      <w:t xml:space="preserve"> </w:t>
    </w:r>
    <w:r w:rsidRPr="009B6D36">
      <w:rPr>
        <w:rFonts w:ascii="Tahoma" w:hAnsi="Tahoma" w:eastAsiaTheme="majorEastAsia" w:cs="Tahoma" w:hint="eastAsia"/>
        <w:noProof/>
        <w:color w:val="0B5294" w:themeColor="accent1" w:themeShade="BF"/>
        <w:sz w:val="16"/>
        <w:szCs w:val="16"/>
        <w:rtl/>
      </w:rPr>
      <w:t>העבודה</w:t>
    </w:r>
    <w:r w:rsidRPr="009B6D36">
      <w:rPr>
        <w:rFonts w:ascii="Tahoma" w:hAnsi="Tahoma" w:eastAsiaTheme="majorEastAsia" w:cs="Tahoma"/>
        <w:noProof/>
        <w:color w:val="0B5294" w:themeColor="accent1" w:themeShade="BF"/>
        <w:sz w:val="16"/>
        <w:szCs w:val="16"/>
        <w:rtl/>
      </w:rPr>
      <w:t xml:space="preserve">, </w:t>
    </w:r>
    <w:r w:rsidRPr="009B6D36">
      <w:rPr>
        <w:rFonts w:ascii="Tahoma" w:hAnsi="Tahoma" w:eastAsiaTheme="majorEastAsia" w:cs="Tahoma" w:hint="eastAsia"/>
        <w:noProof/>
        <w:color w:val="0B5294" w:themeColor="accent1" w:themeShade="BF"/>
        <w:sz w:val="16"/>
        <w:szCs w:val="16"/>
        <w:rtl/>
      </w:rPr>
      <w:t>הרווחה</w:t>
    </w:r>
    <w:r w:rsidRPr="009B6D36">
      <w:rPr>
        <w:rFonts w:ascii="Tahoma" w:hAnsi="Tahoma" w:eastAsiaTheme="majorEastAsia" w:cs="Tahoma"/>
        <w:noProof/>
        <w:color w:val="0B5294" w:themeColor="accent1" w:themeShade="BF"/>
        <w:sz w:val="16"/>
        <w:szCs w:val="16"/>
        <w:rtl/>
      </w:rPr>
      <w:t xml:space="preserve"> </w:t>
    </w:r>
    <w:r w:rsidRPr="009B6D36">
      <w:rPr>
        <w:rFonts w:ascii="Tahoma" w:hAnsi="Tahoma" w:eastAsiaTheme="majorEastAsia" w:cs="Tahoma" w:hint="eastAsia"/>
        <w:noProof/>
        <w:color w:val="0B5294" w:themeColor="accent1" w:themeShade="BF"/>
        <w:sz w:val="16"/>
        <w:szCs w:val="16"/>
        <w:rtl/>
      </w:rPr>
      <w:t>והשירותים</w:t>
    </w:r>
    <w:r w:rsidRPr="009B6D36">
      <w:rPr>
        <w:rFonts w:ascii="Tahoma" w:hAnsi="Tahoma" w:eastAsiaTheme="majorEastAsia" w:cs="Tahoma"/>
        <w:noProof/>
        <w:color w:val="0B5294" w:themeColor="accent1" w:themeShade="BF"/>
        <w:sz w:val="16"/>
        <w:szCs w:val="16"/>
        <w:rtl/>
      </w:rPr>
      <w:t xml:space="preserve"> </w:t>
    </w:r>
    <w:r w:rsidRPr="009B6D36">
      <w:rPr>
        <w:rFonts w:ascii="Tahoma" w:hAnsi="Tahoma" w:eastAsiaTheme="majorEastAsia" w:cs="Tahoma" w:hint="eastAsia"/>
        <w:noProof/>
        <w:color w:val="0B5294" w:themeColor="accent1" w:themeShade="BF"/>
        <w:sz w:val="16"/>
        <w:szCs w:val="16"/>
        <w:rtl/>
      </w:rPr>
      <w:t>החברתיים</w:t>
    </w:r>
    <w:r w:rsidRPr="007F1A39">
      <w:rPr>
        <w:rFonts w:ascii="Tahoma" w:hAnsi="Tahoma" w:eastAsiaTheme="majorEastAsia" w:cs="Tahoma" w:hint="cs"/>
        <w:noProof/>
        <w:color w:val="0B5294" w:themeColor="accent1" w:themeShade="BF"/>
        <w:sz w:val="16"/>
        <w:szCs w:val="16"/>
        <w:rtl/>
      </w:rPr>
      <w:t xml:space="preserve"> |  </w:t>
    </w:r>
    <w:r w:rsidRPr="007F1A39">
      <w:rPr>
        <w:rFonts w:ascii="Tahoma" w:hAnsi="Tahoma" w:eastAsiaTheme="majorEastAsia" w:cs="Tahoma"/>
        <w:b/>
        <w:bCs/>
        <w:noProof/>
        <w:color w:val="0B5294" w:themeColor="accent1" w:themeShade="BF"/>
        <w:sz w:val="16"/>
        <w:szCs w:val="16"/>
      </w:rPr>
      <w:fldChar w:fldCharType="begin"/>
    </w:r>
    <w:r w:rsidRPr="007F1A39">
      <w:rPr>
        <w:rFonts w:ascii="Tahoma" w:hAnsi="Tahoma" w:eastAsiaTheme="majorEastAsia" w:cs="Tahoma"/>
        <w:b/>
        <w:bCs/>
        <w:noProof/>
        <w:color w:val="0B5294" w:themeColor="accent1" w:themeShade="BF"/>
        <w:sz w:val="16"/>
        <w:szCs w:val="16"/>
      </w:rPr>
      <w:instrText xml:space="preserve"> PAGE   \* MERGEFORMAT </w:instrText>
    </w:r>
    <w:r w:rsidRPr="007F1A39">
      <w:rPr>
        <w:rFonts w:ascii="Tahoma" w:hAnsi="Tahoma" w:eastAsiaTheme="majorEastAsia" w:cs="Tahoma"/>
        <w:b/>
        <w:bCs/>
        <w:noProof/>
        <w:color w:val="0B5294" w:themeColor="accent1" w:themeShade="BF"/>
        <w:sz w:val="16"/>
        <w:szCs w:val="16"/>
      </w:rPr>
      <w:fldChar w:fldCharType="separate"/>
    </w:r>
    <w:r w:rsidR="00CF1F92">
      <w:rPr>
        <w:rFonts w:ascii="Tahoma" w:hAnsi="Tahoma" w:eastAsiaTheme="majorEastAsia" w:cs="Tahoma"/>
        <w:b/>
        <w:bCs/>
        <w:noProof/>
        <w:color w:val="0B5294" w:themeColor="accent1" w:themeShade="BF"/>
        <w:sz w:val="16"/>
        <w:szCs w:val="16"/>
        <w:rtl/>
      </w:rPr>
      <w:t>1461</w:t>
    </w:r>
    <w:r w:rsidRPr="007F1A39">
      <w:rPr>
        <w:rFonts w:ascii="Tahoma" w:hAnsi="Tahoma" w:eastAsiaTheme="majorEastAsia" w:cs="Tahoma"/>
        <w:b/>
        <w:bCs/>
        <w:noProof/>
        <w:color w:val="0B5294" w:themeColor="accent1" w:themeShade="BF"/>
        <w:sz w:val="16"/>
        <w:szCs w:val="16"/>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B6D36" w:rsidRPr="00890ED9" w:rsidP="00890ED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B6D36" w:rsidRPr="00B4501E" w:rsidP="00890ED9">
    <w:pPr>
      <w:pStyle w:val="Header"/>
      <w:spacing w:before="240" w:after="180"/>
      <w:rPr>
        <w:rFonts w:ascii="Tahoma" w:hAnsi="Tahoma" w:eastAsiaTheme="majorEastAsia" w:cs="Tahoma"/>
        <w:color w:val="0B5294" w:themeColor="accent1" w:themeShade="BF"/>
        <w:sz w:val="16"/>
        <w:szCs w:val="16"/>
      </w:rPr>
    </w:pPr>
    <w:r w:rsidRPr="00B4501E">
      <w:rPr>
        <w:rFonts w:ascii="Tahoma" w:hAnsi="Tahoma" w:eastAsiaTheme="majorEastAsia" w:cs="Tahoma"/>
        <w:b/>
        <w:bCs/>
        <w:color w:val="0B5294" w:themeColor="accent1" w:themeShade="BF"/>
        <w:sz w:val="16"/>
        <w:szCs w:val="16"/>
      </w:rPr>
      <w:fldChar w:fldCharType="begin"/>
    </w:r>
    <w:r w:rsidRPr="00B4501E">
      <w:rPr>
        <w:rFonts w:ascii="Tahoma" w:hAnsi="Tahoma" w:eastAsiaTheme="majorEastAsia" w:cs="Tahoma"/>
        <w:b/>
        <w:bCs/>
        <w:color w:val="0B5294" w:themeColor="accent1" w:themeShade="BF"/>
        <w:sz w:val="16"/>
        <w:szCs w:val="16"/>
      </w:rPr>
      <w:instrText xml:space="preserve"> PAGE   \* MERGEFORMAT </w:instrText>
    </w:r>
    <w:r w:rsidRPr="00B4501E">
      <w:rPr>
        <w:rFonts w:ascii="Tahoma" w:hAnsi="Tahoma" w:eastAsiaTheme="majorEastAsia" w:cs="Tahoma"/>
        <w:b/>
        <w:bCs/>
        <w:color w:val="0B5294" w:themeColor="accent1" w:themeShade="BF"/>
        <w:sz w:val="16"/>
        <w:szCs w:val="16"/>
      </w:rPr>
      <w:fldChar w:fldCharType="separate"/>
    </w:r>
    <w:r w:rsidR="00CF1F92">
      <w:rPr>
        <w:rFonts w:ascii="Tahoma" w:hAnsi="Tahoma" w:eastAsiaTheme="majorEastAsia" w:cs="Tahoma"/>
        <w:b/>
        <w:bCs/>
        <w:noProof/>
        <w:color w:val="0B5294" w:themeColor="accent1" w:themeShade="BF"/>
        <w:sz w:val="16"/>
        <w:szCs w:val="16"/>
        <w:rtl/>
      </w:rPr>
      <w:t>1498</w:t>
    </w:r>
    <w:r w:rsidRPr="00B4501E">
      <w:rPr>
        <w:rFonts w:ascii="Tahoma" w:hAnsi="Tahoma" w:eastAsiaTheme="majorEastAsia" w:cs="Tahoma"/>
        <w:b/>
        <w:bCs/>
        <w:color w:val="0B5294" w:themeColor="accent1" w:themeShade="BF"/>
        <w:sz w:val="16"/>
        <w:szCs w:val="16"/>
      </w:rPr>
      <w:fldChar w:fldCharType="end"/>
    </w:r>
    <w:r w:rsidRPr="00B4501E">
      <w:rPr>
        <w:rFonts w:ascii="Tahoma" w:hAnsi="Tahoma" w:eastAsiaTheme="majorEastAsia" w:cs="Tahoma"/>
        <w:color w:val="0B5294" w:themeColor="accent1" w:themeShade="BF"/>
        <w:sz w:val="16"/>
        <w:szCs w:val="16"/>
        <w:rtl/>
      </w:rPr>
      <w:t xml:space="preserve">  |  </w:t>
    </w:r>
    <w:r w:rsidRPr="008E0524">
      <w:rPr>
        <w:rFonts w:ascii="Tahoma" w:hAnsi="Tahoma" w:eastAsiaTheme="majorEastAsia" w:cs="Tahoma" w:hint="eastAsia"/>
        <w:noProof/>
        <w:color w:val="0B5294" w:themeColor="accent1" w:themeShade="BF"/>
        <w:sz w:val="16"/>
        <w:szCs w:val="16"/>
        <w:rtl/>
      </w:rPr>
      <w:t>דוח</w:t>
    </w:r>
    <w:r w:rsidRPr="008E0524">
      <w:rPr>
        <w:rFonts w:ascii="Tahoma" w:hAnsi="Tahoma" w:eastAsiaTheme="majorEastAsia" w:cs="Tahoma"/>
        <w:noProof/>
        <w:color w:val="0B5294" w:themeColor="accent1" w:themeShade="BF"/>
        <w:sz w:val="16"/>
        <w:szCs w:val="16"/>
        <w:rtl/>
      </w:rPr>
      <w:t xml:space="preserve"> </w:t>
    </w:r>
    <w:r w:rsidRPr="008E0524">
      <w:rPr>
        <w:rFonts w:ascii="Tahoma" w:hAnsi="Tahoma" w:eastAsiaTheme="majorEastAsia" w:cs="Tahoma" w:hint="eastAsia"/>
        <w:noProof/>
        <w:color w:val="0B5294" w:themeColor="accent1" w:themeShade="BF"/>
        <w:sz w:val="16"/>
        <w:szCs w:val="16"/>
        <w:rtl/>
      </w:rPr>
      <w:t>שנתי</w:t>
    </w:r>
    <w:r w:rsidRPr="008E0524">
      <w:rPr>
        <w:rFonts w:ascii="Tahoma" w:hAnsi="Tahoma" w:eastAsiaTheme="majorEastAsia" w:cs="Tahoma"/>
        <w:noProof/>
        <w:color w:val="0B5294" w:themeColor="accent1" w:themeShade="BF"/>
        <w:sz w:val="16"/>
        <w:szCs w:val="16"/>
        <w:rtl/>
      </w:rPr>
      <w:t xml:space="preserve"> </w:t>
    </w:r>
    <w:r>
      <w:rPr>
        <w:rFonts w:ascii="Tahoma" w:hAnsi="Tahoma" w:eastAsiaTheme="majorEastAsia" w:cs="Tahoma"/>
        <w:noProof/>
        <w:color w:val="0B5294" w:themeColor="accent1" w:themeShade="BF"/>
        <w:sz w:val="16"/>
        <w:szCs w:val="16"/>
        <w:rtl/>
      </w:rPr>
      <w:t>6</w:t>
    </w:r>
    <w:r>
      <w:rPr>
        <w:rFonts w:ascii="Tahoma" w:hAnsi="Tahoma" w:eastAsiaTheme="majorEastAsia" w:cs="Tahoma" w:hint="cs"/>
        <w:noProof/>
        <w:color w:val="0B5294" w:themeColor="accent1" w:themeShade="BF"/>
        <w:sz w:val="16"/>
        <w:szCs w:val="16"/>
        <w:rtl/>
      </w:rPr>
      <w:t>9ב</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B6D36" w:rsidRPr="007F1A39" w:rsidP="007F1A39">
    <w:pPr>
      <w:pStyle w:val="Header"/>
      <w:spacing w:before="240" w:after="180"/>
      <w:jc w:val="right"/>
      <w:rPr>
        <w:rFonts w:ascii="Tahoma" w:hAnsi="Tahoma" w:eastAsiaTheme="majorEastAsia" w:cs="Tahoma"/>
        <w:noProof/>
        <w:color w:val="0B5294" w:themeColor="accent1" w:themeShade="BF"/>
        <w:sz w:val="16"/>
        <w:szCs w:val="16"/>
      </w:rPr>
    </w:pPr>
    <w:r w:rsidRPr="009B6D36">
      <w:rPr>
        <w:rFonts w:ascii="Tahoma" w:hAnsi="Tahoma" w:eastAsiaTheme="majorEastAsia" w:cs="Tahoma" w:hint="eastAsia"/>
        <w:noProof/>
        <w:color w:val="0B5294" w:themeColor="accent1" w:themeShade="BF"/>
        <w:sz w:val="16"/>
        <w:szCs w:val="16"/>
        <w:rtl/>
      </w:rPr>
      <w:t>משרד</w:t>
    </w:r>
    <w:r w:rsidRPr="009B6D36">
      <w:rPr>
        <w:rFonts w:ascii="Tahoma" w:hAnsi="Tahoma" w:eastAsiaTheme="majorEastAsia" w:cs="Tahoma"/>
        <w:noProof/>
        <w:color w:val="0B5294" w:themeColor="accent1" w:themeShade="BF"/>
        <w:sz w:val="16"/>
        <w:szCs w:val="16"/>
        <w:rtl/>
      </w:rPr>
      <w:t xml:space="preserve"> </w:t>
    </w:r>
    <w:r w:rsidRPr="009B6D36">
      <w:rPr>
        <w:rFonts w:ascii="Tahoma" w:hAnsi="Tahoma" w:eastAsiaTheme="majorEastAsia" w:cs="Tahoma" w:hint="eastAsia"/>
        <w:noProof/>
        <w:color w:val="0B5294" w:themeColor="accent1" w:themeShade="BF"/>
        <w:sz w:val="16"/>
        <w:szCs w:val="16"/>
        <w:rtl/>
      </w:rPr>
      <w:t>העבודה</w:t>
    </w:r>
    <w:r w:rsidRPr="009B6D36">
      <w:rPr>
        <w:rFonts w:ascii="Tahoma" w:hAnsi="Tahoma" w:eastAsiaTheme="majorEastAsia" w:cs="Tahoma"/>
        <w:noProof/>
        <w:color w:val="0B5294" w:themeColor="accent1" w:themeShade="BF"/>
        <w:sz w:val="16"/>
        <w:szCs w:val="16"/>
        <w:rtl/>
      </w:rPr>
      <w:t xml:space="preserve">, </w:t>
    </w:r>
    <w:r w:rsidRPr="009B6D36">
      <w:rPr>
        <w:rFonts w:ascii="Tahoma" w:hAnsi="Tahoma" w:eastAsiaTheme="majorEastAsia" w:cs="Tahoma" w:hint="eastAsia"/>
        <w:noProof/>
        <w:color w:val="0B5294" w:themeColor="accent1" w:themeShade="BF"/>
        <w:sz w:val="16"/>
        <w:szCs w:val="16"/>
        <w:rtl/>
      </w:rPr>
      <w:t>הרווחה</w:t>
    </w:r>
    <w:r w:rsidRPr="009B6D36">
      <w:rPr>
        <w:rFonts w:ascii="Tahoma" w:hAnsi="Tahoma" w:eastAsiaTheme="majorEastAsia" w:cs="Tahoma"/>
        <w:noProof/>
        <w:color w:val="0B5294" w:themeColor="accent1" w:themeShade="BF"/>
        <w:sz w:val="16"/>
        <w:szCs w:val="16"/>
        <w:rtl/>
      </w:rPr>
      <w:t xml:space="preserve"> </w:t>
    </w:r>
    <w:r w:rsidRPr="009B6D36">
      <w:rPr>
        <w:rFonts w:ascii="Tahoma" w:hAnsi="Tahoma" w:eastAsiaTheme="majorEastAsia" w:cs="Tahoma" w:hint="eastAsia"/>
        <w:noProof/>
        <w:color w:val="0B5294" w:themeColor="accent1" w:themeShade="BF"/>
        <w:sz w:val="16"/>
        <w:szCs w:val="16"/>
        <w:rtl/>
      </w:rPr>
      <w:t>והשירותים</w:t>
    </w:r>
    <w:r w:rsidRPr="009B6D36">
      <w:rPr>
        <w:rFonts w:ascii="Tahoma" w:hAnsi="Tahoma" w:eastAsiaTheme="majorEastAsia" w:cs="Tahoma"/>
        <w:noProof/>
        <w:color w:val="0B5294" w:themeColor="accent1" w:themeShade="BF"/>
        <w:sz w:val="16"/>
        <w:szCs w:val="16"/>
        <w:rtl/>
      </w:rPr>
      <w:t xml:space="preserve"> </w:t>
    </w:r>
    <w:r w:rsidRPr="009B6D36">
      <w:rPr>
        <w:rFonts w:ascii="Tahoma" w:hAnsi="Tahoma" w:eastAsiaTheme="majorEastAsia" w:cs="Tahoma" w:hint="eastAsia"/>
        <w:noProof/>
        <w:color w:val="0B5294" w:themeColor="accent1" w:themeShade="BF"/>
        <w:sz w:val="16"/>
        <w:szCs w:val="16"/>
        <w:rtl/>
      </w:rPr>
      <w:t>החברתיים</w:t>
    </w:r>
    <w:r w:rsidRPr="007F1A39">
      <w:rPr>
        <w:rFonts w:ascii="Tahoma" w:hAnsi="Tahoma" w:eastAsiaTheme="majorEastAsia" w:cs="Tahoma" w:hint="cs"/>
        <w:noProof/>
        <w:color w:val="0B5294" w:themeColor="accent1" w:themeShade="BF"/>
        <w:sz w:val="16"/>
        <w:szCs w:val="16"/>
        <w:rtl/>
      </w:rPr>
      <w:t xml:space="preserve">  |  </w:t>
    </w:r>
    <w:r w:rsidRPr="007F1A39">
      <w:rPr>
        <w:rFonts w:ascii="Tahoma" w:hAnsi="Tahoma" w:eastAsiaTheme="majorEastAsia" w:cs="Tahoma"/>
        <w:b/>
        <w:bCs/>
        <w:noProof/>
        <w:color w:val="0B5294" w:themeColor="accent1" w:themeShade="BF"/>
        <w:sz w:val="16"/>
        <w:szCs w:val="16"/>
      </w:rPr>
      <w:fldChar w:fldCharType="begin"/>
    </w:r>
    <w:r w:rsidRPr="007F1A39">
      <w:rPr>
        <w:rFonts w:ascii="Tahoma" w:hAnsi="Tahoma" w:eastAsiaTheme="majorEastAsia" w:cs="Tahoma"/>
        <w:b/>
        <w:bCs/>
        <w:noProof/>
        <w:color w:val="0B5294" w:themeColor="accent1" w:themeShade="BF"/>
        <w:sz w:val="16"/>
        <w:szCs w:val="16"/>
      </w:rPr>
      <w:instrText xml:space="preserve"> PAGE   \* MERGEFORMAT </w:instrText>
    </w:r>
    <w:r w:rsidRPr="007F1A39">
      <w:rPr>
        <w:rFonts w:ascii="Tahoma" w:hAnsi="Tahoma" w:eastAsiaTheme="majorEastAsia" w:cs="Tahoma"/>
        <w:b/>
        <w:bCs/>
        <w:noProof/>
        <w:color w:val="0B5294" w:themeColor="accent1" w:themeShade="BF"/>
        <w:sz w:val="16"/>
        <w:szCs w:val="16"/>
      </w:rPr>
      <w:fldChar w:fldCharType="separate"/>
    </w:r>
    <w:r w:rsidR="00CF1F92">
      <w:rPr>
        <w:rFonts w:ascii="Tahoma" w:hAnsi="Tahoma" w:eastAsiaTheme="majorEastAsia" w:cs="Tahoma"/>
        <w:b/>
        <w:bCs/>
        <w:noProof/>
        <w:color w:val="0B5294" w:themeColor="accent1" w:themeShade="BF"/>
        <w:sz w:val="16"/>
        <w:szCs w:val="16"/>
        <w:rtl/>
      </w:rPr>
      <w:t>1499</w:t>
    </w:r>
    <w:r w:rsidRPr="007F1A39">
      <w:rPr>
        <w:rFonts w:ascii="Tahoma" w:hAnsi="Tahoma" w:eastAsiaTheme="majorEastAsia" w:cs="Tahoma"/>
        <w:b/>
        <w:bCs/>
        <w:noProof/>
        <w:color w:val="0B5294" w:themeColor="accent1" w:themeShade="BF"/>
        <w:sz w:val="16"/>
        <w:szCs w:val="16"/>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DC573EF"/>
    <w:multiLevelType w:val="multilevel"/>
    <w:tmpl w:val="23D88FDA"/>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
    <w:nsid w:val="20DF4A07"/>
    <w:multiLevelType w:val="hybridMultilevel"/>
    <w:tmpl w:val="537A00B0"/>
    <w:lvl w:ilvl="0">
      <w:start w:val="1"/>
      <w:numFmt w:val="decimal"/>
      <w:pStyle w:val="takzir-list-paragraph"/>
      <w:lvlText w:val="%1."/>
      <w:lvlJc w:val="left"/>
      <w:pPr>
        <w:ind w:left="890" w:hanging="360"/>
      </w:pPr>
    </w:lvl>
    <w:lvl w:ilvl="1" w:tentative="1">
      <w:start w:val="1"/>
      <w:numFmt w:val="lowerLetter"/>
      <w:lvlText w:val="%2."/>
      <w:lvlJc w:val="left"/>
      <w:pPr>
        <w:ind w:left="1610" w:hanging="360"/>
      </w:pPr>
    </w:lvl>
    <w:lvl w:ilvl="2" w:tentative="1">
      <w:start w:val="1"/>
      <w:numFmt w:val="lowerRoman"/>
      <w:lvlText w:val="%3."/>
      <w:lvlJc w:val="right"/>
      <w:pPr>
        <w:ind w:left="2330" w:hanging="180"/>
      </w:pPr>
    </w:lvl>
    <w:lvl w:ilvl="3" w:tentative="1">
      <w:start w:val="1"/>
      <w:numFmt w:val="decimal"/>
      <w:lvlText w:val="%4."/>
      <w:lvlJc w:val="left"/>
      <w:pPr>
        <w:ind w:left="3050" w:hanging="360"/>
      </w:pPr>
    </w:lvl>
    <w:lvl w:ilvl="4" w:tentative="1">
      <w:start w:val="1"/>
      <w:numFmt w:val="lowerLetter"/>
      <w:lvlText w:val="%5."/>
      <w:lvlJc w:val="left"/>
      <w:pPr>
        <w:ind w:left="3770" w:hanging="360"/>
      </w:pPr>
    </w:lvl>
    <w:lvl w:ilvl="5" w:tentative="1">
      <w:start w:val="1"/>
      <w:numFmt w:val="lowerRoman"/>
      <w:lvlText w:val="%6."/>
      <w:lvlJc w:val="right"/>
      <w:pPr>
        <w:ind w:left="4490" w:hanging="180"/>
      </w:pPr>
    </w:lvl>
    <w:lvl w:ilvl="6" w:tentative="1">
      <w:start w:val="1"/>
      <w:numFmt w:val="decimal"/>
      <w:lvlText w:val="%7."/>
      <w:lvlJc w:val="left"/>
      <w:pPr>
        <w:ind w:left="5210" w:hanging="360"/>
      </w:pPr>
    </w:lvl>
    <w:lvl w:ilvl="7" w:tentative="1">
      <w:start w:val="1"/>
      <w:numFmt w:val="lowerLetter"/>
      <w:lvlText w:val="%8."/>
      <w:lvlJc w:val="left"/>
      <w:pPr>
        <w:ind w:left="5930" w:hanging="360"/>
      </w:pPr>
    </w:lvl>
    <w:lvl w:ilvl="8" w:tentative="1">
      <w:start w:val="1"/>
      <w:numFmt w:val="lowerRoman"/>
      <w:lvlText w:val="%9."/>
      <w:lvlJc w:val="right"/>
      <w:pPr>
        <w:ind w:left="6650" w:hanging="180"/>
      </w:pPr>
    </w:lvl>
  </w:abstractNum>
  <w:abstractNum w:abstractNumId="2">
    <w:nsid w:val="235F1CDB"/>
    <w:multiLevelType w:val="hybridMultilevel"/>
    <w:tmpl w:val="8284614E"/>
    <w:lvl w:ilvl="0">
      <w:start w:val="1"/>
      <w:numFmt w:val="decimal"/>
      <w:pStyle w:val="ListParagraph"/>
      <w:lvlText w:val="%1."/>
      <w:lvlJc w:val="left"/>
      <w:pPr>
        <w:ind w:left="720" w:hanging="360"/>
      </w:pPr>
      <w:rPr>
        <w:rFonts w:hint="default"/>
        <w:b w:val="0"/>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32907E6D"/>
    <w:multiLevelType w:val="multilevel"/>
    <w:tmpl w:val="AD6C91BE"/>
    <w:lvl w:ilvl="0">
      <w:start w:val="1"/>
      <w:numFmt w:val="decimal"/>
      <w:lvlText w:val="%1"/>
      <w:lvlJc w:val="left"/>
      <w:pPr>
        <w:ind w:left="432" w:hanging="432"/>
      </w:pPr>
    </w:lvl>
    <w:lvl w:ilvl="1">
      <w:start w:val="1"/>
      <w:numFmt w:val="decimal"/>
      <w:lvlText w:val="%1.%2"/>
      <w:lvlJc w:val="left"/>
      <w:pPr>
        <w:ind w:left="1002" w:hanging="576"/>
      </w:pPr>
      <w:rPr>
        <w:b w:val="0"/>
        <w:bCs w: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nsid w:val="37D52415"/>
    <w:multiLevelType w:val="hybridMultilevel"/>
    <w:tmpl w:val="DD5A6B44"/>
    <w:lvl w:ilvl="0">
      <w:start w:val="1"/>
      <w:numFmt w:val="decimal"/>
      <w:lvlText w:val="%1."/>
      <w:lvlJc w:val="left"/>
      <w:pPr>
        <w:ind w:left="36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nsid w:val="3BF90406"/>
    <w:multiLevelType w:val="hybridMultilevel"/>
    <w:tmpl w:val="2AC4F398"/>
    <w:lvl w:ilvl="0">
      <w:start w:val="1"/>
      <w:numFmt w:val="decimal"/>
      <w:lvlText w:val="%1."/>
      <w:lvlJc w:val="left"/>
      <w:pPr>
        <w:ind w:left="644" w:hanging="360"/>
      </w:pPr>
      <w:rPr>
        <w:rFonts w:ascii="Tahoma" w:hAnsi="Tahoma" w:cs="Tahoma" w:hint="default"/>
        <w:sz w:val="18"/>
        <w:szCs w:val="18"/>
        <w:lang w:bidi="he-IL"/>
      </w:rPr>
    </w:lvl>
    <w:lvl w:ilvl="1" w:tentative="1">
      <w:start w:val="1"/>
      <w:numFmt w:val="lowerLetter"/>
      <w:lvlText w:val="%2."/>
      <w:lvlJc w:val="left"/>
      <w:pPr>
        <w:ind w:left="1364" w:hanging="360"/>
      </w:pPr>
    </w:lvl>
    <w:lvl w:ilvl="2" w:tentative="1">
      <w:start w:val="1"/>
      <w:numFmt w:val="lowerRoman"/>
      <w:lvlText w:val="%3."/>
      <w:lvlJc w:val="right"/>
      <w:pPr>
        <w:ind w:left="2084" w:hanging="180"/>
      </w:pPr>
    </w:lvl>
    <w:lvl w:ilvl="3" w:tentative="1">
      <w:start w:val="1"/>
      <w:numFmt w:val="decimal"/>
      <w:lvlText w:val="%4."/>
      <w:lvlJc w:val="left"/>
      <w:pPr>
        <w:ind w:left="2804" w:hanging="360"/>
      </w:pPr>
    </w:lvl>
    <w:lvl w:ilvl="4" w:tentative="1">
      <w:start w:val="1"/>
      <w:numFmt w:val="lowerLetter"/>
      <w:lvlText w:val="%5."/>
      <w:lvlJc w:val="left"/>
      <w:pPr>
        <w:ind w:left="3524" w:hanging="360"/>
      </w:pPr>
    </w:lvl>
    <w:lvl w:ilvl="5" w:tentative="1">
      <w:start w:val="1"/>
      <w:numFmt w:val="lowerRoman"/>
      <w:lvlText w:val="%6."/>
      <w:lvlJc w:val="right"/>
      <w:pPr>
        <w:ind w:left="4244" w:hanging="180"/>
      </w:pPr>
    </w:lvl>
    <w:lvl w:ilvl="6" w:tentative="1">
      <w:start w:val="1"/>
      <w:numFmt w:val="decimal"/>
      <w:lvlText w:val="%7."/>
      <w:lvlJc w:val="left"/>
      <w:pPr>
        <w:ind w:left="4964" w:hanging="360"/>
      </w:pPr>
    </w:lvl>
    <w:lvl w:ilvl="7" w:tentative="1">
      <w:start w:val="1"/>
      <w:numFmt w:val="lowerLetter"/>
      <w:lvlText w:val="%8."/>
      <w:lvlJc w:val="left"/>
      <w:pPr>
        <w:ind w:left="5684" w:hanging="360"/>
      </w:pPr>
    </w:lvl>
    <w:lvl w:ilvl="8" w:tentative="1">
      <w:start w:val="1"/>
      <w:numFmt w:val="lowerRoman"/>
      <w:lvlText w:val="%9."/>
      <w:lvlJc w:val="right"/>
      <w:pPr>
        <w:ind w:left="6404" w:hanging="180"/>
      </w:pPr>
    </w:lvl>
  </w:abstractNum>
  <w:abstractNum w:abstractNumId="6">
    <w:nsid w:val="3D9A0AFD"/>
    <w:multiLevelType w:val="hybridMultilevel"/>
    <w:tmpl w:val="187EF63C"/>
    <w:lvl w:ilvl="0">
      <w:start w:val="1"/>
      <w:numFmt w:val="decimal"/>
      <w:lvlText w:val="%1."/>
      <w:lvlJc w:val="left"/>
      <w:pPr>
        <w:ind w:left="720" w:hanging="360"/>
      </w:pPr>
      <w:rPr>
        <w:rFonts w:hint="default"/>
        <w:sz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nsid w:val="67BF5139"/>
    <w:multiLevelType w:val="multilevel"/>
    <w:tmpl w:val="DC6C961C"/>
    <w:lvl w:ilvl="0">
      <w:start w:val="1"/>
      <w:numFmt w:val="decimal"/>
      <w:pStyle w:val="a3"/>
      <w:lvlText w:val="%1."/>
      <w:lvlJc w:val="right"/>
      <w:pPr>
        <w:tabs>
          <w:tab w:val="num" w:pos="2721"/>
        </w:tabs>
        <w:ind w:left="2721" w:hanging="397"/>
      </w:pPr>
      <w:rPr>
        <w:rFonts w:cs="FrankRuehl" w:hint="cs"/>
        <w:bCs w:val="0"/>
        <w:iCs w:val="0"/>
        <w:sz w:val="24"/>
        <w:szCs w:val="24"/>
      </w:rPr>
    </w:lvl>
    <w:lvl w:ilvl="1">
      <w:start w:val="1"/>
      <w:numFmt w:val="hebrew1"/>
      <w:lvlText w:val="(%2)"/>
      <w:lvlJc w:val="right"/>
      <w:pPr>
        <w:tabs>
          <w:tab w:val="num" w:pos="2001"/>
        </w:tabs>
        <w:ind w:left="2001" w:hanging="397"/>
      </w:pPr>
      <w:rPr>
        <w:rFonts w:cs="Times New Roman" w:hint="default"/>
        <w:sz w:val="2"/>
        <w:szCs w:val="24"/>
      </w:rPr>
    </w:lvl>
    <w:lvl w:ilvl="2">
      <w:start w:val="1"/>
      <w:numFmt w:val="decimal"/>
      <w:lvlRestart w:val="0"/>
      <w:lvlText w:val="%3)"/>
      <w:lvlJc w:val="right"/>
      <w:pPr>
        <w:tabs>
          <w:tab w:val="num" w:pos="2001"/>
        </w:tabs>
        <w:ind w:left="2001" w:hanging="397"/>
      </w:pPr>
      <w:rPr>
        <w:rFonts w:cs="Times New Roman" w:hint="default"/>
      </w:rPr>
    </w:lvl>
    <w:lvl w:ilvl="3">
      <w:start w:val="1"/>
      <w:numFmt w:val="decimal"/>
      <w:lvlText w:val="(%4)"/>
      <w:lvlJc w:val="right"/>
      <w:pPr>
        <w:tabs>
          <w:tab w:val="num" w:pos="2001"/>
        </w:tabs>
        <w:ind w:left="2001" w:hanging="397"/>
      </w:pPr>
      <w:rPr>
        <w:rFonts w:cs="Times New Roman" w:hint="default"/>
        <w:bCs w:val="0"/>
        <w:iCs w:val="0"/>
      </w:rPr>
    </w:lvl>
    <w:lvl w:ilvl="4">
      <w:start w:val="1"/>
      <w:numFmt w:val="lowerLetter"/>
      <w:lvlText w:val="(%5)"/>
      <w:lvlJc w:val="left"/>
      <w:pPr>
        <w:tabs>
          <w:tab w:val="num" w:pos="2553"/>
        </w:tabs>
        <w:ind w:left="2553" w:hanging="360"/>
      </w:pPr>
      <w:rPr>
        <w:rFonts w:cs="Times New Roman" w:hint="default"/>
      </w:rPr>
    </w:lvl>
    <w:lvl w:ilvl="5">
      <w:start w:val="1"/>
      <w:numFmt w:val="lowerRoman"/>
      <w:lvlText w:val="(%6)"/>
      <w:lvlJc w:val="left"/>
      <w:pPr>
        <w:tabs>
          <w:tab w:val="num" w:pos="2913"/>
        </w:tabs>
        <w:ind w:left="2913" w:hanging="360"/>
      </w:pPr>
      <w:rPr>
        <w:rFonts w:cs="Times New Roman" w:hint="default"/>
      </w:rPr>
    </w:lvl>
    <w:lvl w:ilvl="6">
      <w:start w:val="1"/>
      <w:numFmt w:val="decimal"/>
      <w:lvlText w:val="%7."/>
      <w:lvlJc w:val="left"/>
      <w:pPr>
        <w:tabs>
          <w:tab w:val="num" w:pos="3273"/>
        </w:tabs>
        <w:ind w:left="3273" w:hanging="360"/>
      </w:pPr>
      <w:rPr>
        <w:rFonts w:cs="Times New Roman" w:hint="default"/>
      </w:rPr>
    </w:lvl>
    <w:lvl w:ilvl="7">
      <w:start w:val="1"/>
      <w:numFmt w:val="lowerLetter"/>
      <w:lvlText w:val="%8."/>
      <w:lvlJc w:val="left"/>
      <w:pPr>
        <w:tabs>
          <w:tab w:val="num" w:pos="3633"/>
        </w:tabs>
        <w:ind w:left="3633" w:hanging="360"/>
      </w:pPr>
      <w:rPr>
        <w:rFonts w:cs="Times New Roman" w:hint="default"/>
      </w:rPr>
    </w:lvl>
    <w:lvl w:ilvl="8">
      <w:start w:val="1"/>
      <w:numFmt w:val="lowerRoman"/>
      <w:lvlText w:val="%9."/>
      <w:lvlJc w:val="left"/>
      <w:pPr>
        <w:tabs>
          <w:tab w:val="num" w:pos="3993"/>
        </w:tabs>
        <w:ind w:left="3993" w:hanging="360"/>
      </w:pPr>
      <w:rPr>
        <w:rFonts w:cs="Times New Roman" w:hint="default"/>
      </w:rPr>
    </w:lvl>
  </w:abstractNum>
  <w:abstractNum w:abstractNumId="8">
    <w:nsid w:val="6A812C87"/>
    <w:multiLevelType w:val="multilevel"/>
    <w:tmpl w:val="E7A098D0"/>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9">
    <w:nsid w:val="75406C8C"/>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7E8B5FB3"/>
    <w:multiLevelType w:val="hybridMultilevel"/>
    <w:tmpl w:val="DD209C1C"/>
    <w:lvl w:ilvl="0">
      <w:start w:val="1"/>
      <w:numFmt w:val="decimal"/>
      <w:lvlText w:val="%1."/>
      <w:lvlJc w:val="left"/>
      <w:pPr>
        <w:ind w:left="502" w:hanging="360"/>
      </w:pPr>
      <w:rPr>
        <w:rFonts w:hint="default"/>
        <w:b w:val="0"/>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3"/>
  </w:num>
  <w:num w:numId="2">
    <w:abstractNumId w:val="7"/>
  </w:num>
  <w:num w:numId="3">
    <w:abstractNumId w:val="2"/>
  </w:num>
  <w:num w:numId="4">
    <w:abstractNumId w:val="8"/>
  </w:num>
  <w:num w:numId="5">
    <w:abstractNumId w:val="1"/>
  </w:num>
  <w:num w:numId="6">
    <w:abstractNumId w:val="4"/>
  </w:num>
  <w:num w:numId="7">
    <w:abstractNumId w:val="5"/>
  </w:num>
  <w:num w:numId="8">
    <w:abstractNumId w:val="6"/>
  </w:num>
  <w:num w:numId="9">
    <w:abstractNumId w:val="0"/>
  </w:num>
  <w:num w:numId="10">
    <w:abstractNumId w:val="10"/>
  </w:num>
  <w:num w:numId="11">
    <w:abstractNumId w:val="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isplayBackgroundShape/>
  <w:proofState w:spelling="clean" w:grammar="clean"/>
  <w:defaultTabStop w:val="397"/>
  <w:evenAndOddHeaders/>
  <w:characterSpacingControl w:val="doNotCompress"/>
  <w:footnotePr>
    <w:footnote w:id="0"/>
    <w:footnote w:id="1"/>
  </w:foot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43AF"/>
    <w:rsid w:val="0000095B"/>
    <w:rsid w:val="00000B2A"/>
    <w:rsid w:val="00002000"/>
    <w:rsid w:val="000021BD"/>
    <w:rsid w:val="000035C3"/>
    <w:rsid w:val="0000362C"/>
    <w:rsid w:val="000047FD"/>
    <w:rsid w:val="00005D49"/>
    <w:rsid w:val="00006C22"/>
    <w:rsid w:val="000073CC"/>
    <w:rsid w:val="000105AD"/>
    <w:rsid w:val="000114F5"/>
    <w:rsid w:val="00011508"/>
    <w:rsid w:val="000123B5"/>
    <w:rsid w:val="00012511"/>
    <w:rsid w:val="00012E42"/>
    <w:rsid w:val="00012FC5"/>
    <w:rsid w:val="00013127"/>
    <w:rsid w:val="00013FBB"/>
    <w:rsid w:val="00015D42"/>
    <w:rsid w:val="00017099"/>
    <w:rsid w:val="000174BC"/>
    <w:rsid w:val="00017749"/>
    <w:rsid w:val="00021662"/>
    <w:rsid w:val="000217C4"/>
    <w:rsid w:val="000225D3"/>
    <w:rsid w:val="000249E2"/>
    <w:rsid w:val="00025440"/>
    <w:rsid w:val="00025650"/>
    <w:rsid w:val="0002681A"/>
    <w:rsid w:val="0002689B"/>
    <w:rsid w:val="00026AE4"/>
    <w:rsid w:val="00027245"/>
    <w:rsid w:val="000315F5"/>
    <w:rsid w:val="00031938"/>
    <w:rsid w:val="00032126"/>
    <w:rsid w:val="000331D3"/>
    <w:rsid w:val="0003470F"/>
    <w:rsid w:val="00034F3F"/>
    <w:rsid w:val="000350BF"/>
    <w:rsid w:val="000356A7"/>
    <w:rsid w:val="00035AA3"/>
    <w:rsid w:val="00035BD0"/>
    <w:rsid w:val="00036469"/>
    <w:rsid w:val="000365D3"/>
    <w:rsid w:val="00036B1B"/>
    <w:rsid w:val="00037596"/>
    <w:rsid w:val="00040CFC"/>
    <w:rsid w:val="00044478"/>
    <w:rsid w:val="00044647"/>
    <w:rsid w:val="00044A44"/>
    <w:rsid w:val="000461F4"/>
    <w:rsid w:val="00046B8C"/>
    <w:rsid w:val="00046DDB"/>
    <w:rsid w:val="00046F96"/>
    <w:rsid w:val="000473A2"/>
    <w:rsid w:val="0004763A"/>
    <w:rsid w:val="000504A0"/>
    <w:rsid w:val="00051008"/>
    <w:rsid w:val="000523CB"/>
    <w:rsid w:val="000536D4"/>
    <w:rsid w:val="0005686C"/>
    <w:rsid w:val="00057227"/>
    <w:rsid w:val="00057394"/>
    <w:rsid w:val="00057941"/>
    <w:rsid w:val="00057DBB"/>
    <w:rsid w:val="00060A1A"/>
    <w:rsid w:val="0006122C"/>
    <w:rsid w:val="00061AC6"/>
    <w:rsid w:val="00061BAA"/>
    <w:rsid w:val="00061F85"/>
    <w:rsid w:val="00063866"/>
    <w:rsid w:val="0006471A"/>
    <w:rsid w:val="00064B2A"/>
    <w:rsid w:val="00064CC2"/>
    <w:rsid w:val="00064F00"/>
    <w:rsid w:val="000668F3"/>
    <w:rsid w:val="00067E4F"/>
    <w:rsid w:val="00067F8D"/>
    <w:rsid w:val="000700BA"/>
    <w:rsid w:val="00070DF2"/>
    <w:rsid w:val="00072DC7"/>
    <w:rsid w:val="000760A4"/>
    <w:rsid w:val="00076160"/>
    <w:rsid w:val="000761E8"/>
    <w:rsid w:val="00076C3B"/>
    <w:rsid w:val="00076C6A"/>
    <w:rsid w:val="000771FA"/>
    <w:rsid w:val="000772F2"/>
    <w:rsid w:val="000812BC"/>
    <w:rsid w:val="0008321A"/>
    <w:rsid w:val="00083F4F"/>
    <w:rsid w:val="000841FE"/>
    <w:rsid w:val="000847F9"/>
    <w:rsid w:val="00084F1F"/>
    <w:rsid w:val="0008572D"/>
    <w:rsid w:val="000868BD"/>
    <w:rsid w:val="00090AB0"/>
    <w:rsid w:val="00092220"/>
    <w:rsid w:val="00092F71"/>
    <w:rsid w:val="00093068"/>
    <w:rsid w:val="00095581"/>
    <w:rsid w:val="0009699F"/>
    <w:rsid w:val="00096FC5"/>
    <w:rsid w:val="000A0FC0"/>
    <w:rsid w:val="000A16EF"/>
    <w:rsid w:val="000A18FC"/>
    <w:rsid w:val="000A2903"/>
    <w:rsid w:val="000A2BC9"/>
    <w:rsid w:val="000A34B5"/>
    <w:rsid w:val="000A3DC6"/>
    <w:rsid w:val="000A47E6"/>
    <w:rsid w:val="000A57AD"/>
    <w:rsid w:val="000A5B7B"/>
    <w:rsid w:val="000A60EB"/>
    <w:rsid w:val="000A62A7"/>
    <w:rsid w:val="000A659E"/>
    <w:rsid w:val="000A6BFF"/>
    <w:rsid w:val="000A6DBB"/>
    <w:rsid w:val="000A7C62"/>
    <w:rsid w:val="000B0EA1"/>
    <w:rsid w:val="000B0EAD"/>
    <w:rsid w:val="000B10B2"/>
    <w:rsid w:val="000B1876"/>
    <w:rsid w:val="000B2128"/>
    <w:rsid w:val="000B291F"/>
    <w:rsid w:val="000B2D78"/>
    <w:rsid w:val="000B3659"/>
    <w:rsid w:val="000B4E54"/>
    <w:rsid w:val="000B544F"/>
    <w:rsid w:val="000B565F"/>
    <w:rsid w:val="000B6085"/>
    <w:rsid w:val="000B62E6"/>
    <w:rsid w:val="000B6799"/>
    <w:rsid w:val="000B7227"/>
    <w:rsid w:val="000B73A9"/>
    <w:rsid w:val="000C0334"/>
    <w:rsid w:val="000C0F9D"/>
    <w:rsid w:val="000C19F9"/>
    <w:rsid w:val="000C1BB0"/>
    <w:rsid w:val="000C1F02"/>
    <w:rsid w:val="000C2E22"/>
    <w:rsid w:val="000C4DEF"/>
    <w:rsid w:val="000C5425"/>
    <w:rsid w:val="000C57FF"/>
    <w:rsid w:val="000C6708"/>
    <w:rsid w:val="000C7018"/>
    <w:rsid w:val="000D18BB"/>
    <w:rsid w:val="000D2DD0"/>
    <w:rsid w:val="000D3360"/>
    <w:rsid w:val="000D4784"/>
    <w:rsid w:val="000D5240"/>
    <w:rsid w:val="000D59A4"/>
    <w:rsid w:val="000D5D8A"/>
    <w:rsid w:val="000D5F4A"/>
    <w:rsid w:val="000D649A"/>
    <w:rsid w:val="000D6EAA"/>
    <w:rsid w:val="000D7D5B"/>
    <w:rsid w:val="000E03FF"/>
    <w:rsid w:val="000E0EF4"/>
    <w:rsid w:val="000E1559"/>
    <w:rsid w:val="000E1A45"/>
    <w:rsid w:val="000E1B3C"/>
    <w:rsid w:val="000E1E7D"/>
    <w:rsid w:val="000E28D1"/>
    <w:rsid w:val="000E37F3"/>
    <w:rsid w:val="000E42E0"/>
    <w:rsid w:val="000E46D3"/>
    <w:rsid w:val="000E49E4"/>
    <w:rsid w:val="000E5B6C"/>
    <w:rsid w:val="000E5C35"/>
    <w:rsid w:val="000E642B"/>
    <w:rsid w:val="000E6B72"/>
    <w:rsid w:val="000E6D1A"/>
    <w:rsid w:val="000E761F"/>
    <w:rsid w:val="000E7FC4"/>
    <w:rsid w:val="000F0117"/>
    <w:rsid w:val="000F0D79"/>
    <w:rsid w:val="000F3B27"/>
    <w:rsid w:val="000F41D0"/>
    <w:rsid w:val="000F4951"/>
    <w:rsid w:val="000F4997"/>
    <w:rsid w:val="000F49B9"/>
    <w:rsid w:val="000F4C6C"/>
    <w:rsid w:val="000F4E31"/>
    <w:rsid w:val="000F51B7"/>
    <w:rsid w:val="000F68CD"/>
    <w:rsid w:val="000F69B0"/>
    <w:rsid w:val="000F6B40"/>
    <w:rsid w:val="000F722D"/>
    <w:rsid w:val="000F7E18"/>
    <w:rsid w:val="00100786"/>
    <w:rsid w:val="0010121F"/>
    <w:rsid w:val="001012CC"/>
    <w:rsid w:val="00101DD5"/>
    <w:rsid w:val="0010229A"/>
    <w:rsid w:val="001024AF"/>
    <w:rsid w:val="001033B3"/>
    <w:rsid w:val="00103971"/>
    <w:rsid w:val="00103CED"/>
    <w:rsid w:val="00103D42"/>
    <w:rsid w:val="00103FBC"/>
    <w:rsid w:val="00104839"/>
    <w:rsid w:val="00104E94"/>
    <w:rsid w:val="0010599F"/>
    <w:rsid w:val="00105A73"/>
    <w:rsid w:val="00105B88"/>
    <w:rsid w:val="00105ED4"/>
    <w:rsid w:val="00106FBF"/>
    <w:rsid w:val="00106FC5"/>
    <w:rsid w:val="00107938"/>
    <w:rsid w:val="00111817"/>
    <w:rsid w:val="00111D0B"/>
    <w:rsid w:val="00112B7B"/>
    <w:rsid w:val="00112D83"/>
    <w:rsid w:val="00113A65"/>
    <w:rsid w:val="00113BEC"/>
    <w:rsid w:val="0011400B"/>
    <w:rsid w:val="00114587"/>
    <w:rsid w:val="001156F5"/>
    <w:rsid w:val="00115F32"/>
    <w:rsid w:val="00116EC6"/>
    <w:rsid w:val="00117163"/>
    <w:rsid w:val="00117668"/>
    <w:rsid w:val="00120C15"/>
    <w:rsid w:val="00121460"/>
    <w:rsid w:val="001215F4"/>
    <w:rsid w:val="001221B2"/>
    <w:rsid w:val="00124D10"/>
    <w:rsid w:val="00125732"/>
    <w:rsid w:val="00126FB8"/>
    <w:rsid w:val="00127083"/>
    <w:rsid w:val="00127147"/>
    <w:rsid w:val="00127204"/>
    <w:rsid w:val="001275EC"/>
    <w:rsid w:val="00130912"/>
    <w:rsid w:val="00130ABF"/>
    <w:rsid w:val="00130E45"/>
    <w:rsid w:val="0013170A"/>
    <w:rsid w:val="00131A11"/>
    <w:rsid w:val="00131AAF"/>
    <w:rsid w:val="00132921"/>
    <w:rsid w:val="00132AB3"/>
    <w:rsid w:val="00132FFC"/>
    <w:rsid w:val="00134716"/>
    <w:rsid w:val="00135EB9"/>
    <w:rsid w:val="00136B9E"/>
    <w:rsid w:val="00141E28"/>
    <w:rsid w:val="00143613"/>
    <w:rsid w:val="00144786"/>
    <w:rsid w:val="00145DAD"/>
    <w:rsid w:val="00146345"/>
    <w:rsid w:val="00150E90"/>
    <w:rsid w:val="001510CF"/>
    <w:rsid w:val="0015132E"/>
    <w:rsid w:val="001519D2"/>
    <w:rsid w:val="00152684"/>
    <w:rsid w:val="00152C39"/>
    <w:rsid w:val="00153D39"/>
    <w:rsid w:val="00154886"/>
    <w:rsid w:val="00154C30"/>
    <w:rsid w:val="00154C71"/>
    <w:rsid w:val="001551EA"/>
    <w:rsid w:val="001553E4"/>
    <w:rsid w:val="00156292"/>
    <w:rsid w:val="001563D0"/>
    <w:rsid w:val="0015686E"/>
    <w:rsid w:val="00156A81"/>
    <w:rsid w:val="00156CF1"/>
    <w:rsid w:val="00160149"/>
    <w:rsid w:val="00160DE1"/>
    <w:rsid w:val="00161297"/>
    <w:rsid w:val="00161324"/>
    <w:rsid w:val="0016160F"/>
    <w:rsid w:val="00161CBD"/>
    <w:rsid w:val="0016215A"/>
    <w:rsid w:val="00162D9B"/>
    <w:rsid w:val="001632AB"/>
    <w:rsid w:val="0016419A"/>
    <w:rsid w:val="001643E8"/>
    <w:rsid w:val="0016445C"/>
    <w:rsid w:val="00165197"/>
    <w:rsid w:val="001666D8"/>
    <w:rsid w:val="00166EE9"/>
    <w:rsid w:val="00170C02"/>
    <w:rsid w:val="00171743"/>
    <w:rsid w:val="00171E57"/>
    <w:rsid w:val="001740DF"/>
    <w:rsid w:val="00175C43"/>
    <w:rsid w:val="00175DFF"/>
    <w:rsid w:val="001762F4"/>
    <w:rsid w:val="00176E39"/>
    <w:rsid w:val="00177295"/>
    <w:rsid w:val="001772DD"/>
    <w:rsid w:val="00177493"/>
    <w:rsid w:val="0018090E"/>
    <w:rsid w:val="00180C76"/>
    <w:rsid w:val="001816A1"/>
    <w:rsid w:val="00181B5A"/>
    <w:rsid w:val="001856B7"/>
    <w:rsid w:val="00185FFD"/>
    <w:rsid w:val="0018650A"/>
    <w:rsid w:val="001866EE"/>
    <w:rsid w:val="00186FA6"/>
    <w:rsid w:val="0018762D"/>
    <w:rsid w:val="0018773C"/>
    <w:rsid w:val="001877CA"/>
    <w:rsid w:val="0019127D"/>
    <w:rsid w:val="001927CC"/>
    <w:rsid w:val="00192DC4"/>
    <w:rsid w:val="001933DD"/>
    <w:rsid w:val="0019373E"/>
    <w:rsid w:val="00193C51"/>
    <w:rsid w:val="00194AD1"/>
    <w:rsid w:val="00194FE0"/>
    <w:rsid w:val="00196762"/>
    <w:rsid w:val="00196B27"/>
    <w:rsid w:val="00196D01"/>
    <w:rsid w:val="001977DD"/>
    <w:rsid w:val="001A06FA"/>
    <w:rsid w:val="001A14B8"/>
    <w:rsid w:val="001A1832"/>
    <w:rsid w:val="001A1A35"/>
    <w:rsid w:val="001A1D8E"/>
    <w:rsid w:val="001A214C"/>
    <w:rsid w:val="001A2E4B"/>
    <w:rsid w:val="001A2F80"/>
    <w:rsid w:val="001A39E5"/>
    <w:rsid w:val="001A3DA4"/>
    <w:rsid w:val="001A417A"/>
    <w:rsid w:val="001A559D"/>
    <w:rsid w:val="001A5864"/>
    <w:rsid w:val="001A7760"/>
    <w:rsid w:val="001A7A97"/>
    <w:rsid w:val="001A7E91"/>
    <w:rsid w:val="001B011A"/>
    <w:rsid w:val="001B0380"/>
    <w:rsid w:val="001B0381"/>
    <w:rsid w:val="001B04A4"/>
    <w:rsid w:val="001B0961"/>
    <w:rsid w:val="001B18C7"/>
    <w:rsid w:val="001B19A1"/>
    <w:rsid w:val="001B21ED"/>
    <w:rsid w:val="001B257E"/>
    <w:rsid w:val="001B2867"/>
    <w:rsid w:val="001B3A3F"/>
    <w:rsid w:val="001B40DE"/>
    <w:rsid w:val="001B476F"/>
    <w:rsid w:val="001B7FC5"/>
    <w:rsid w:val="001C0ABC"/>
    <w:rsid w:val="001C125C"/>
    <w:rsid w:val="001C265D"/>
    <w:rsid w:val="001C29CD"/>
    <w:rsid w:val="001C3D63"/>
    <w:rsid w:val="001C3F29"/>
    <w:rsid w:val="001C4789"/>
    <w:rsid w:val="001C4FC8"/>
    <w:rsid w:val="001C5E08"/>
    <w:rsid w:val="001C6058"/>
    <w:rsid w:val="001C617B"/>
    <w:rsid w:val="001C65F5"/>
    <w:rsid w:val="001C7644"/>
    <w:rsid w:val="001D071A"/>
    <w:rsid w:val="001D200A"/>
    <w:rsid w:val="001D220E"/>
    <w:rsid w:val="001D3B88"/>
    <w:rsid w:val="001D409D"/>
    <w:rsid w:val="001D4460"/>
    <w:rsid w:val="001D458D"/>
    <w:rsid w:val="001D5906"/>
    <w:rsid w:val="001D6D5E"/>
    <w:rsid w:val="001D7F39"/>
    <w:rsid w:val="001E070A"/>
    <w:rsid w:val="001E179C"/>
    <w:rsid w:val="001E21EA"/>
    <w:rsid w:val="001E25A0"/>
    <w:rsid w:val="001E3D2B"/>
    <w:rsid w:val="001E5A0D"/>
    <w:rsid w:val="001E5BF1"/>
    <w:rsid w:val="001E5C22"/>
    <w:rsid w:val="001E7054"/>
    <w:rsid w:val="001E7248"/>
    <w:rsid w:val="001E732D"/>
    <w:rsid w:val="001E7790"/>
    <w:rsid w:val="001F042F"/>
    <w:rsid w:val="001F184D"/>
    <w:rsid w:val="001F249E"/>
    <w:rsid w:val="001F2D9E"/>
    <w:rsid w:val="001F30C9"/>
    <w:rsid w:val="001F3894"/>
    <w:rsid w:val="001F3A92"/>
    <w:rsid w:val="001F449D"/>
    <w:rsid w:val="001F4B27"/>
    <w:rsid w:val="001F4FD0"/>
    <w:rsid w:val="001F540E"/>
    <w:rsid w:val="001F573D"/>
    <w:rsid w:val="001F60D3"/>
    <w:rsid w:val="001F6433"/>
    <w:rsid w:val="001F683F"/>
    <w:rsid w:val="001F6D2B"/>
    <w:rsid w:val="001F7132"/>
    <w:rsid w:val="00200BFE"/>
    <w:rsid w:val="00201773"/>
    <w:rsid w:val="00201C60"/>
    <w:rsid w:val="002020AF"/>
    <w:rsid w:val="00202CDF"/>
    <w:rsid w:val="00203A69"/>
    <w:rsid w:val="00204FD5"/>
    <w:rsid w:val="00206427"/>
    <w:rsid w:val="00206B50"/>
    <w:rsid w:val="00206E89"/>
    <w:rsid w:val="0020737B"/>
    <w:rsid w:val="002076B8"/>
    <w:rsid w:val="00211542"/>
    <w:rsid w:val="002115E2"/>
    <w:rsid w:val="00211890"/>
    <w:rsid w:val="00211CD5"/>
    <w:rsid w:val="00211D07"/>
    <w:rsid w:val="00212C70"/>
    <w:rsid w:val="00212CC9"/>
    <w:rsid w:val="00213940"/>
    <w:rsid w:val="00213D63"/>
    <w:rsid w:val="00214667"/>
    <w:rsid w:val="002164D6"/>
    <w:rsid w:val="00216564"/>
    <w:rsid w:val="00216CE4"/>
    <w:rsid w:val="00216E18"/>
    <w:rsid w:val="00217002"/>
    <w:rsid w:val="00217D25"/>
    <w:rsid w:val="00220150"/>
    <w:rsid w:val="00220A56"/>
    <w:rsid w:val="00220B1E"/>
    <w:rsid w:val="00220D93"/>
    <w:rsid w:val="00221B6D"/>
    <w:rsid w:val="00222EFD"/>
    <w:rsid w:val="00223E18"/>
    <w:rsid w:val="00225614"/>
    <w:rsid w:val="00225E4F"/>
    <w:rsid w:val="002262C7"/>
    <w:rsid w:val="00226BE5"/>
    <w:rsid w:val="00226D6C"/>
    <w:rsid w:val="002303B8"/>
    <w:rsid w:val="00230D48"/>
    <w:rsid w:val="0023147E"/>
    <w:rsid w:val="002314C8"/>
    <w:rsid w:val="002330D7"/>
    <w:rsid w:val="00233EF1"/>
    <w:rsid w:val="002348BC"/>
    <w:rsid w:val="0023632E"/>
    <w:rsid w:val="00236CF1"/>
    <w:rsid w:val="0023718D"/>
    <w:rsid w:val="002373DF"/>
    <w:rsid w:val="00240202"/>
    <w:rsid w:val="0024074B"/>
    <w:rsid w:val="00240B64"/>
    <w:rsid w:val="00240FF7"/>
    <w:rsid w:val="002415B8"/>
    <w:rsid w:val="0024225C"/>
    <w:rsid w:val="002422F3"/>
    <w:rsid w:val="00242B03"/>
    <w:rsid w:val="00242DD2"/>
    <w:rsid w:val="002438EA"/>
    <w:rsid w:val="00243FB3"/>
    <w:rsid w:val="00244F89"/>
    <w:rsid w:val="00245388"/>
    <w:rsid w:val="002455D9"/>
    <w:rsid w:val="002511A2"/>
    <w:rsid w:val="002518DB"/>
    <w:rsid w:val="002525CC"/>
    <w:rsid w:val="002530C2"/>
    <w:rsid w:val="00255959"/>
    <w:rsid w:val="00255CC3"/>
    <w:rsid w:val="00260172"/>
    <w:rsid w:val="002630E9"/>
    <w:rsid w:val="002634FC"/>
    <w:rsid w:val="00263865"/>
    <w:rsid w:val="00264588"/>
    <w:rsid w:val="002647FF"/>
    <w:rsid w:val="00264915"/>
    <w:rsid w:val="00265813"/>
    <w:rsid w:val="002665EC"/>
    <w:rsid w:val="00266740"/>
    <w:rsid w:val="0026692E"/>
    <w:rsid w:val="0027002F"/>
    <w:rsid w:val="00270AD8"/>
    <w:rsid w:val="002712C2"/>
    <w:rsid w:val="002717B8"/>
    <w:rsid w:val="00271BBF"/>
    <w:rsid w:val="002722F1"/>
    <w:rsid w:val="00272DCB"/>
    <w:rsid w:val="002735DC"/>
    <w:rsid w:val="00273C82"/>
    <w:rsid w:val="00274D7E"/>
    <w:rsid w:val="00277717"/>
    <w:rsid w:val="00277BC2"/>
    <w:rsid w:val="00277E0B"/>
    <w:rsid w:val="002805E4"/>
    <w:rsid w:val="00280807"/>
    <w:rsid w:val="00280A33"/>
    <w:rsid w:val="00280F37"/>
    <w:rsid w:val="00281CA7"/>
    <w:rsid w:val="00281E80"/>
    <w:rsid w:val="002821A4"/>
    <w:rsid w:val="0028253B"/>
    <w:rsid w:val="00283C5E"/>
    <w:rsid w:val="00284052"/>
    <w:rsid w:val="0028477B"/>
    <w:rsid w:val="002861DE"/>
    <w:rsid w:val="002867D6"/>
    <w:rsid w:val="00286F9F"/>
    <w:rsid w:val="00287413"/>
    <w:rsid w:val="0028785B"/>
    <w:rsid w:val="002908EC"/>
    <w:rsid w:val="00290C9B"/>
    <w:rsid w:val="002917D1"/>
    <w:rsid w:val="00293651"/>
    <w:rsid w:val="00293C1D"/>
    <w:rsid w:val="00294765"/>
    <w:rsid w:val="0029606C"/>
    <w:rsid w:val="002963FC"/>
    <w:rsid w:val="0029657A"/>
    <w:rsid w:val="00296649"/>
    <w:rsid w:val="00296C96"/>
    <w:rsid w:val="002975FB"/>
    <w:rsid w:val="00297F9D"/>
    <w:rsid w:val="002A0F5E"/>
    <w:rsid w:val="002A11BD"/>
    <w:rsid w:val="002A122A"/>
    <w:rsid w:val="002A38DF"/>
    <w:rsid w:val="002A4062"/>
    <w:rsid w:val="002A4C50"/>
    <w:rsid w:val="002A51A3"/>
    <w:rsid w:val="002A7A49"/>
    <w:rsid w:val="002A7A4A"/>
    <w:rsid w:val="002A7C14"/>
    <w:rsid w:val="002B0204"/>
    <w:rsid w:val="002B064A"/>
    <w:rsid w:val="002B0758"/>
    <w:rsid w:val="002B07BA"/>
    <w:rsid w:val="002B0A10"/>
    <w:rsid w:val="002B1D68"/>
    <w:rsid w:val="002B256C"/>
    <w:rsid w:val="002B285B"/>
    <w:rsid w:val="002B3C5B"/>
    <w:rsid w:val="002B5441"/>
    <w:rsid w:val="002B5517"/>
    <w:rsid w:val="002B5743"/>
    <w:rsid w:val="002B6920"/>
    <w:rsid w:val="002B6B84"/>
    <w:rsid w:val="002B701A"/>
    <w:rsid w:val="002C0374"/>
    <w:rsid w:val="002C0D01"/>
    <w:rsid w:val="002C167F"/>
    <w:rsid w:val="002C1805"/>
    <w:rsid w:val="002C3001"/>
    <w:rsid w:val="002C3A61"/>
    <w:rsid w:val="002C4A33"/>
    <w:rsid w:val="002C53F1"/>
    <w:rsid w:val="002C5B6E"/>
    <w:rsid w:val="002C5D25"/>
    <w:rsid w:val="002C6165"/>
    <w:rsid w:val="002C6364"/>
    <w:rsid w:val="002C68CB"/>
    <w:rsid w:val="002C6F0A"/>
    <w:rsid w:val="002D1462"/>
    <w:rsid w:val="002D1F63"/>
    <w:rsid w:val="002D2002"/>
    <w:rsid w:val="002D238D"/>
    <w:rsid w:val="002D239D"/>
    <w:rsid w:val="002D2A02"/>
    <w:rsid w:val="002D2A09"/>
    <w:rsid w:val="002D2B39"/>
    <w:rsid w:val="002D41DC"/>
    <w:rsid w:val="002D4324"/>
    <w:rsid w:val="002D54F5"/>
    <w:rsid w:val="002D62C9"/>
    <w:rsid w:val="002D644D"/>
    <w:rsid w:val="002E19D0"/>
    <w:rsid w:val="002E2762"/>
    <w:rsid w:val="002E317F"/>
    <w:rsid w:val="002E34D6"/>
    <w:rsid w:val="002E395E"/>
    <w:rsid w:val="002E4809"/>
    <w:rsid w:val="002E4AD0"/>
    <w:rsid w:val="002E4B6B"/>
    <w:rsid w:val="002E4D18"/>
    <w:rsid w:val="002E6C36"/>
    <w:rsid w:val="002E7650"/>
    <w:rsid w:val="002E7F4E"/>
    <w:rsid w:val="002F0C58"/>
    <w:rsid w:val="002F1280"/>
    <w:rsid w:val="002F165F"/>
    <w:rsid w:val="002F195C"/>
    <w:rsid w:val="002F1A0D"/>
    <w:rsid w:val="002F2133"/>
    <w:rsid w:val="002F2319"/>
    <w:rsid w:val="002F2754"/>
    <w:rsid w:val="002F3251"/>
    <w:rsid w:val="002F6D3A"/>
    <w:rsid w:val="003006EA"/>
    <w:rsid w:val="00300E9F"/>
    <w:rsid w:val="00301280"/>
    <w:rsid w:val="003027AA"/>
    <w:rsid w:val="00302CDA"/>
    <w:rsid w:val="003044D4"/>
    <w:rsid w:val="00304A28"/>
    <w:rsid w:val="00305501"/>
    <w:rsid w:val="00306333"/>
    <w:rsid w:val="00310CE8"/>
    <w:rsid w:val="00311D24"/>
    <w:rsid w:val="00312650"/>
    <w:rsid w:val="003133FC"/>
    <w:rsid w:val="003139B3"/>
    <w:rsid w:val="00313EC4"/>
    <w:rsid w:val="003150B1"/>
    <w:rsid w:val="00316C90"/>
    <w:rsid w:val="003173E0"/>
    <w:rsid w:val="00320159"/>
    <w:rsid w:val="00321D1B"/>
    <w:rsid w:val="003243AF"/>
    <w:rsid w:val="00325332"/>
    <w:rsid w:val="00325469"/>
    <w:rsid w:val="00327C2A"/>
    <w:rsid w:val="00327FBF"/>
    <w:rsid w:val="0033032D"/>
    <w:rsid w:val="00330465"/>
    <w:rsid w:val="00330697"/>
    <w:rsid w:val="0033100C"/>
    <w:rsid w:val="00331522"/>
    <w:rsid w:val="00331A56"/>
    <w:rsid w:val="00331DAB"/>
    <w:rsid w:val="00333FB0"/>
    <w:rsid w:val="00334BBC"/>
    <w:rsid w:val="00335960"/>
    <w:rsid w:val="00335CD4"/>
    <w:rsid w:val="00335F65"/>
    <w:rsid w:val="00336A22"/>
    <w:rsid w:val="00336A9C"/>
    <w:rsid w:val="00341EDA"/>
    <w:rsid w:val="00342E41"/>
    <w:rsid w:val="00342F9F"/>
    <w:rsid w:val="003437E8"/>
    <w:rsid w:val="00344900"/>
    <w:rsid w:val="00345A36"/>
    <w:rsid w:val="003466C7"/>
    <w:rsid w:val="00346DF9"/>
    <w:rsid w:val="003504AD"/>
    <w:rsid w:val="00351463"/>
    <w:rsid w:val="00352F48"/>
    <w:rsid w:val="00353326"/>
    <w:rsid w:val="0035361A"/>
    <w:rsid w:val="003541A3"/>
    <w:rsid w:val="0035442A"/>
    <w:rsid w:val="00354900"/>
    <w:rsid w:val="00357D06"/>
    <w:rsid w:val="003609E2"/>
    <w:rsid w:val="00361B78"/>
    <w:rsid w:val="00361CD3"/>
    <w:rsid w:val="0036393B"/>
    <w:rsid w:val="00363DBE"/>
    <w:rsid w:val="00364230"/>
    <w:rsid w:val="00364FDF"/>
    <w:rsid w:val="00366DF1"/>
    <w:rsid w:val="00367BD8"/>
    <w:rsid w:val="00370725"/>
    <w:rsid w:val="003707D3"/>
    <w:rsid w:val="00373C5D"/>
    <w:rsid w:val="00373C76"/>
    <w:rsid w:val="0037422E"/>
    <w:rsid w:val="0037507E"/>
    <w:rsid w:val="00375407"/>
    <w:rsid w:val="003757ED"/>
    <w:rsid w:val="00375D53"/>
    <w:rsid w:val="00377C93"/>
    <w:rsid w:val="003807F4"/>
    <w:rsid w:val="00380913"/>
    <w:rsid w:val="00381451"/>
    <w:rsid w:val="00381B6E"/>
    <w:rsid w:val="00381C43"/>
    <w:rsid w:val="00381C86"/>
    <w:rsid w:val="00381F88"/>
    <w:rsid w:val="0038206D"/>
    <w:rsid w:val="00382614"/>
    <w:rsid w:val="00383BAA"/>
    <w:rsid w:val="00384065"/>
    <w:rsid w:val="00384B2A"/>
    <w:rsid w:val="003850F7"/>
    <w:rsid w:val="00385249"/>
    <w:rsid w:val="003859A8"/>
    <w:rsid w:val="00385AF7"/>
    <w:rsid w:val="00386540"/>
    <w:rsid w:val="00386671"/>
    <w:rsid w:val="003875EE"/>
    <w:rsid w:val="00387A0C"/>
    <w:rsid w:val="00390616"/>
    <w:rsid w:val="00390F86"/>
    <w:rsid w:val="003923EB"/>
    <w:rsid w:val="00392980"/>
    <w:rsid w:val="00392AA4"/>
    <w:rsid w:val="00392AA6"/>
    <w:rsid w:val="0039302F"/>
    <w:rsid w:val="0039384A"/>
    <w:rsid w:val="00393B5E"/>
    <w:rsid w:val="00393B7D"/>
    <w:rsid w:val="00393D36"/>
    <w:rsid w:val="00394BB0"/>
    <w:rsid w:val="003954BF"/>
    <w:rsid w:val="00396C01"/>
    <w:rsid w:val="003976F4"/>
    <w:rsid w:val="003A082D"/>
    <w:rsid w:val="003A0B69"/>
    <w:rsid w:val="003A0F7A"/>
    <w:rsid w:val="003A10E7"/>
    <w:rsid w:val="003A16B7"/>
    <w:rsid w:val="003A1745"/>
    <w:rsid w:val="003A2E56"/>
    <w:rsid w:val="003A3862"/>
    <w:rsid w:val="003A4357"/>
    <w:rsid w:val="003A436D"/>
    <w:rsid w:val="003B0565"/>
    <w:rsid w:val="003B159D"/>
    <w:rsid w:val="003B1E8D"/>
    <w:rsid w:val="003B1FEC"/>
    <w:rsid w:val="003B348F"/>
    <w:rsid w:val="003B4D44"/>
    <w:rsid w:val="003B5B95"/>
    <w:rsid w:val="003B69D2"/>
    <w:rsid w:val="003B6EA3"/>
    <w:rsid w:val="003B7DC9"/>
    <w:rsid w:val="003C0020"/>
    <w:rsid w:val="003C02EE"/>
    <w:rsid w:val="003C1185"/>
    <w:rsid w:val="003C11B6"/>
    <w:rsid w:val="003C2223"/>
    <w:rsid w:val="003C317B"/>
    <w:rsid w:val="003C3AD5"/>
    <w:rsid w:val="003C4D6C"/>
    <w:rsid w:val="003C57DC"/>
    <w:rsid w:val="003C5926"/>
    <w:rsid w:val="003C5929"/>
    <w:rsid w:val="003C67A4"/>
    <w:rsid w:val="003D04FC"/>
    <w:rsid w:val="003D0701"/>
    <w:rsid w:val="003D09D3"/>
    <w:rsid w:val="003D14AF"/>
    <w:rsid w:val="003D15EC"/>
    <w:rsid w:val="003D3AD8"/>
    <w:rsid w:val="003D4208"/>
    <w:rsid w:val="003D4441"/>
    <w:rsid w:val="003D4A2A"/>
    <w:rsid w:val="003D4DAC"/>
    <w:rsid w:val="003D4FDE"/>
    <w:rsid w:val="003D5F15"/>
    <w:rsid w:val="003D7986"/>
    <w:rsid w:val="003E04AC"/>
    <w:rsid w:val="003E06C7"/>
    <w:rsid w:val="003E0C5E"/>
    <w:rsid w:val="003E1352"/>
    <w:rsid w:val="003E1383"/>
    <w:rsid w:val="003E323C"/>
    <w:rsid w:val="003E5430"/>
    <w:rsid w:val="003E709A"/>
    <w:rsid w:val="003F0A5C"/>
    <w:rsid w:val="003F0C3A"/>
    <w:rsid w:val="003F112F"/>
    <w:rsid w:val="003F2367"/>
    <w:rsid w:val="003F2902"/>
    <w:rsid w:val="003F2CA1"/>
    <w:rsid w:val="003F2E86"/>
    <w:rsid w:val="003F2FA6"/>
    <w:rsid w:val="003F35EC"/>
    <w:rsid w:val="003F4201"/>
    <w:rsid w:val="003F566D"/>
    <w:rsid w:val="003F5CC7"/>
    <w:rsid w:val="003F5E93"/>
    <w:rsid w:val="003F6C4B"/>
    <w:rsid w:val="003F6E1A"/>
    <w:rsid w:val="0040161B"/>
    <w:rsid w:val="004018FE"/>
    <w:rsid w:val="00402710"/>
    <w:rsid w:val="00403B07"/>
    <w:rsid w:val="00403F22"/>
    <w:rsid w:val="00404D52"/>
    <w:rsid w:val="00405C49"/>
    <w:rsid w:val="00406649"/>
    <w:rsid w:val="00406A0E"/>
    <w:rsid w:val="004101F3"/>
    <w:rsid w:val="00410B08"/>
    <w:rsid w:val="004113F4"/>
    <w:rsid w:val="00411D15"/>
    <w:rsid w:val="00412094"/>
    <w:rsid w:val="004128AD"/>
    <w:rsid w:val="00413AE2"/>
    <w:rsid w:val="004145F3"/>
    <w:rsid w:val="00417BE8"/>
    <w:rsid w:val="00417E58"/>
    <w:rsid w:val="0042074F"/>
    <w:rsid w:val="00420EE4"/>
    <w:rsid w:val="0042187F"/>
    <w:rsid w:val="00421913"/>
    <w:rsid w:val="00422464"/>
    <w:rsid w:val="0042253C"/>
    <w:rsid w:val="00422CF1"/>
    <w:rsid w:val="0042326E"/>
    <w:rsid w:val="00423366"/>
    <w:rsid w:val="004238F9"/>
    <w:rsid w:val="00423AB4"/>
    <w:rsid w:val="004248CA"/>
    <w:rsid w:val="00424B82"/>
    <w:rsid w:val="0042536D"/>
    <w:rsid w:val="00425447"/>
    <w:rsid w:val="004255E3"/>
    <w:rsid w:val="00425D49"/>
    <w:rsid w:val="00426A12"/>
    <w:rsid w:val="00427615"/>
    <w:rsid w:val="004278E5"/>
    <w:rsid w:val="00427DE9"/>
    <w:rsid w:val="00430526"/>
    <w:rsid w:val="004309C5"/>
    <w:rsid w:val="00431864"/>
    <w:rsid w:val="00431E6E"/>
    <w:rsid w:val="00432DBC"/>
    <w:rsid w:val="004334FD"/>
    <w:rsid w:val="004335F4"/>
    <w:rsid w:val="00434573"/>
    <w:rsid w:val="00434979"/>
    <w:rsid w:val="00436B3D"/>
    <w:rsid w:val="00436DAE"/>
    <w:rsid w:val="00437A8F"/>
    <w:rsid w:val="00437CA8"/>
    <w:rsid w:val="00441319"/>
    <w:rsid w:val="00441A9F"/>
    <w:rsid w:val="00442153"/>
    <w:rsid w:val="00442E1F"/>
    <w:rsid w:val="00444737"/>
    <w:rsid w:val="00445112"/>
    <w:rsid w:val="00445C07"/>
    <w:rsid w:val="00445CE5"/>
    <w:rsid w:val="00446104"/>
    <w:rsid w:val="0044687F"/>
    <w:rsid w:val="00446C74"/>
    <w:rsid w:val="00447EBD"/>
    <w:rsid w:val="0045028B"/>
    <w:rsid w:val="004505D6"/>
    <w:rsid w:val="00450E59"/>
    <w:rsid w:val="00451F72"/>
    <w:rsid w:val="00451F8B"/>
    <w:rsid w:val="004535E7"/>
    <w:rsid w:val="004557A8"/>
    <w:rsid w:val="00455D99"/>
    <w:rsid w:val="00456430"/>
    <w:rsid w:val="0045656B"/>
    <w:rsid w:val="0045684E"/>
    <w:rsid w:val="00456CEF"/>
    <w:rsid w:val="00460993"/>
    <w:rsid w:val="004618B5"/>
    <w:rsid w:val="00461FDC"/>
    <w:rsid w:val="00462875"/>
    <w:rsid w:val="004638C4"/>
    <w:rsid w:val="00464628"/>
    <w:rsid w:val="004649FA"/>
    <w:rsid w:val="004660F8"/>
    <w:rsid w:val="00466196"/>
    <w:rsid w:val="0046631D"/>
    <w:rsid w:val="0046700E"/>
    <w:rsid w:val="00467F06"/>
    <w:rsid w:val="00470F05"/>
    <w:rsid w:val="00472462"/>
    <w:rsid w:val="00472670"/>
    <w:rsid w:val="00472C02"/>
    <w:rsid w:val="00472DBD"/>
    <w:rsid w:val="00473314"/>
    <w:rsid w:val="0047349A"/>
    <w:rsid w:val="004739CF"/>
    <w:rsid w:val="00473C08"/>
    <w:rsid w:val="00475484"/>
    <w:rsid w:val="00475740"/>
    <w:rsid w:val="004768DA"/>
    <w:rsid w:val="004800D1"/>
    <w:rsid w:val="0048083D"/>
    <w:rsid w:val="00480E15"/>
    <w:rsid w:val="00480F04"/>
    <w:rsid w:val="004813E6"/>
    <w:rsid w:val="0048191F"/>
    <w:rsid w:val="00484C76"/>
    <w:rsid w:val="004859FE"/>
    <w:rsid w:val="004862E9"/>
    <w:rsid w:val="0048660B"/>
    <w:rsid w:val="00487C38"/>
    <w:rsid w:val="00487D38"/>
    <w:rsid w:val="00487D6F"/>
    <w:rsid w:val="0049073A"/>
    <w:rsid w:val="004912FC"/>
    <w:rsid w:val="00491500"/>
    <w:rsid w:val="00491D9E"/>
    <w:rsid w:val="00492BEB"/>
    <w:rsid w:val="00492C38"/>
    <w:rsid w:val="004936A3"/>
    <w:rsid w:val="0049381F"/>
    <w:rsid w:val="00493A82"/>
    <w:rsid w:val="00494463"/>
    <w:rsid w:val="00494DFB"/>
    <w:rsid w:val="00494F20"/>
    <w:rsid w:val="00494FCB"/>
    <w:rsid w:val="0049571D"/>
    <w:rsid w:val="004957E6"/>
    <w:rsid w:val="004958EF"/>
    <w:rsid w:val="00497B53"/>
    <w:rsid w:val="004A0293"/>
    <w:rsid w:val="004A083D"/>
    <w:rsid w:val="004A1648"/>
    <w:rsid w:val="004A36ED"/>
    <w:rsid w:val="004A4AA6"/>
    <w:rsid w:val="004A4B65"/>
    <w:rsid w:val="004A5646"/>
    <w:rsid w:val="004A7324"/>
    <w:rsid w:val="004A7AFD"/>
    <w:rsid w:val="004B02B5"/>
    <w:rsid w:val="004B1AC6"/>
    <w:rsid w:val="004B2AE7"/>
    <w:rsid w:val="004B2F00"/>
    <w:rsid w:val="004B4F74"/>
    <w:rsid w:val="004B5BE6"/>
    <w:rsid w:val="004B6CE7"/>
    <w:rsid w:val="004B781B"/>
    <w:rsid w:val="004B7EE2"/>
    <w:rsid w:val="004C1982"/>
    <w:rsid w:val="004C24BD"/>
    <w:rsid w:val="004C2BED"/>
    <w:rsid w:val="004C41A4"/>
    <w:rsid w:val="004C5249"/>
    <w:rsid w:val="004C646D"/>
    <w:rsid w:val="004C777F"/>
    <w:rsid w:val="004D04A5"/>
    <w:rsid w:val="004D2DF8"/>
    <w:rsid w:val="004D4132"/>
    <w:rsid w:val="004D496C"/>
    <w:rsid w:val="004D54CD"/>
    <w:rsid w:val="004D650D"/>
    <w:rsid w:val="004D67A8"/>
    <w:rsid w:val="004D78FF"/>
    <w:rsid w:val="004D7DDE"/>
    <w:rsid w:val="004E018A"/>
    <w:rsid w:val="004E0FD4"/>
    <w:rsid w:val="004E106A"/>
    <w:rsid w:val="004E1BCE"/>
    <w:rsid w:val="004E2013"/>
    <w:rsid w:val="004E382E"/>
    <w:rsid w:val="004E3B8C"/>
    <w:rsid w:val="004E44CC"/>
    <w:rsid w:val="004E55BE"/>
    <w:rsid w:val="004E5760"/>
    <w:rsid w:val="004E5C99"/>
    <w:rsid w:val="004E7AEF"/>
    <w:rsid w:val="004F0150"/>
    <w:rsid w:val="004F08EA"/>
    <w:rsid w:val="004F287A"/>
    <w:rsid w:val="004F2A5F"/>
    <w:rsid w:val="004F3A7A"/>
    <w:rsid w:val="004F417B"/>
    <w:rsid w:val="004F41E1"/>
    <w:rsid w:val="004F44AB"/>
    <w:rsid w:val="004F47FA"/>
    <w:rsid w:val="004F4842"/>
    <w:rsid w:val="004F49B8"/>
    <w:rsid w:val="004F4D11"/>
    <w:rsid w:val="004F52F1"/>
    <w:rsid w:val="004F58FF"/>
    <w:rsid w:val="004F5A33"/>
    <w:rsid w:val="004F6702"/>
    <w:rsid w:val="005000F1"/>
    <w:rsid w:val="00501EBE"/>
    <w:rsid w:val="00503016"/>
    <w:rsid w:val="00503346"/>
    <w:rsid w:val="00503914"/>
    <w:rsid w:val="00505054"/>
    <w:rsid w:val="00505951"/>
    <w:rsid w:val="00505E67"/>
    <w:rsid w:val="00505EE4"/>
    <w:rsid w:val="00505EE7"/>
    <w:rsid w:val="00506823"/>
    <w:rsid w:val="00506896"/>
    <w:rsid w:val="005072C0"/>
    <w:rsid w:val="005073A4"/>
    <w:rsid w:val="00510C73"/>
    <w:rsid w:val="00511771"/>
    <w:rsid w:val="00511D75"/>
    <w:rsid w:val="00512355"/>
    <w:rsid w:val="005124C7"/>
    <w:rsid w:val="00512C90"/>
    <w:rsid w:val="00512CF1"/>
    <w:rsid w:val="00513FBC"/>
    <w:rsid w:val="00514E43"/>
    <w:rsid w:val="00515123"/>
    <w:rsid w:val="0051556D"/>
    <w:rsid w:val="0052041C"/>
    <w:rsid w:val="00521E20"/>
    <w:rsid w:val="00522AB2"/>
    <w:rsid w:val="00523A2E"/>
    <w:rsid w:val="0052427E"/>
    <w:rsid w:val="00524A5D"/>
    <w:rsid w:val="005256F3"/>
    <w:rsid w:val="0052621D"/>
    <w:rsid w:val="00527462"/>
    <w:rsid w:val="005276C3"/>
    <w:rsid w:val="00527873"/>
    <w:rsid w:val="00530040"/>
    <w:rsid w:val="005302AB"/>
    <w:rsid w:val="00530A7F"/>
    <w:rsid w:val="00531652"/>
    <w:rsid w:val="00532AAB"/>
    <w:rsid w:val="00532B27"/>
    <w:rsid w:val="00535208"/>
    <w:rsid w:val="00536356"/>
    <w:rsid w:val="005377A6"/>
    <w:rsid w:val="00540FE0"/>
    <w:rsid w:val="0054263B"/>
    <w:rsid w:val="0054264F"/>
    <w:rsid w:val="00542ACA"/>
    <w:rsid w:val="005437E8"/>
    <w:rsid w:val="005438E7"/>
    <w:rsid w:val="00543BD2"/>
    <w:rsid w:val="00543F87"/>
    <w:rsid w:val="00544C20"/>
    <w:rsid w:val="00544E40"/>
    <w:rsid w:val="00545D3C"/>
    <w:rsid w:val="00551A41"/>
    <w:rsid w:val="00552038"/>
    <w:rsid w:val="005529D8"/>
    <w:rsid w:val="00553692"/>
    <w:rsid w:val="00554A39"/>
    <w:rsid w:val="00555B3E"/>
    <w:rsid w:val="005560EB"/>
    <w:rsid w:val="0055660D"/>
    <w:rsid w:val="00557333"/>
    <w:rsid w:val="00557DD2"/>
    <w:rsid w:val="0056030C"/>
    <w:rsid w:val="00560F4B"/>
    <w:rsid w:val="00561B31"/>
    <w:rsid w:val="00562A5B"/>
    <w:rsid w:val="00562C7D"/>
    <w:rsid w:val="00563438"/>
    <w:rsid w:val="005634A6"/>
    <w:rsid w:val="005638B0"/>
    <w:rsid w:val="00563A26"/>
    <w:rsid w:val="00563B11"/>
    <w:rsid w:val="005643A3"/>
    <w:rsid w:val="005656C4"/>
    <w:rsid w:val="0056610F"/>
    <w:rsid w:val="0056734E"/>
    <w:rsid w:val="005679A6"/>
    <w:rsid w:val="005711E1"/>
    <w:rsid w:val="005721C0"/>
    <w:rsid w:val="005733A6"/>
    <w:rsid w:val="005733F3"/>
    <w:rsid w:val="00575075"/>
    <w:rsid w:val="00575AD1"/>
    <w:rsid w:val="005765C7"/>
    <w:rsid w:val="00576828"/>
    <w:rsid w:val="00577182"/>
    <w:rsid w:val="0057796D"/>
    <w:rsid w:val="00580C39"/>
    <w:rsid w:val="005818ED"/>
    <w:rsid w:val="00582EEE"/>
    <w:rsid w:val="0058546D"/>
    <w:rsid w:val="0058562D"/>
    <w:rsid w:val="00586C76"/>
    <w:rsid w:val="005874E8"/>
    <w:rsid w:val="0059097C"/>
    <w:rsid w:val="00590AF8"/>
    <w:rsid w:val="00592176"/>
    <w:rsid w:val="0059367A"/>
    <w:rsid w:val="005943AE"/>
    <w:rsid w:val="00595206"/>
    <w:rsid w:val="00595D31"/>
    <w:rsid w:val="00595EE3"/>
    <w:rsid w:val="005968D1"/>
    <w:rsid w:val="00597D43"/>
    <w:rsid w:val="005A00A1"/>
    <w:rsid w:val="005A01C8"/>
    <w:rsid w:val="005A0264"/>
    <w:rsid w:val="005A02D4"/>
    <w:rsid w:val="005A15A4"/>
    <w:rsid w:val="005A169C"/>
    <w:rsid w:val="005A1CF1"/>
    <w:rsid w:val="005A1F68"/>
    <w:rsid w:val="005A4DBF"/>
    <w:rsid w:val="005B0219"/>
    <w:rsid w:val="005B07DE"/>
    <w:rsid w:val="005B0DFE"/>
    <w:rsid w:val="005B12E9"/>
    <w:rsid w:val="005B1713"/>
    <w:rsid w:val="005B2281"/>
    <w:rsid w:val="005B2537"/>
    <w:rsid w:val="005B3350"/>
    <w:rsid w:val="005B426A"/>
    <w:rsid w:val="005B463B"/>
    <w:rsid w:val="005B515A"/>
    <w:rsid w:val="005B59FC"/>
    <w:rsid w:val="005B5C8A"/>
    <w:rsid w:val="005B622B"/>
    <w:rsid w:val="005B7EBA"/>
    <w:rsid w:val="005C0F41"/>
    <w:rsid w:val="005C593E"/>
    <w:rsid w:val="005C7407"/>
    <w:rsid w:val="005D0510"/>
    <w:rsid w:val="005D142B"/>
    <w:rsid w:val="005D2DCD"/>
    <w:rsid w:val="005D2F13"/>
    <w:rsid w:val="005D4091"/>
    <w:rsid w:val="005D4105"/>
    <w:rsid w:val="005D42F8"/>
    <w:rsid w:val="005D4696"/>
    <w:rsid w:val="005D5D01"/>
    <w:rsid w:val="005D5EA2"/>
    <w:rsid w:val="005D6AA1"/>
    <w:rsid w:val="005D6EC7"/>
    <w:rsid w:val="005D713A"/>
    <w:rsid w:val="005D7B4E"/>
    <w:rsid w:val="005D7FE0"/>
    <w:rsid w:val="005E2557"/>
    <w:rsid w:val="005E441D"/>
    <w:rsid w:val="005E4B81"/>
    <w:rsid w:val="005E50FE"/>
    <w:rsid w:val="005E62CC"/>
    <w:rsid w:val="005E65B0"/>
    <w:rsid w:val="005E6BCA"/>
    <w:rsid w:val="005E7520"/>
    <w:rsid w:val="005E7F2B"/>
    <w:rsid w:val="005F0AA4"/>
    <w:rsid w:val="005F1009"/>
    <w:rsid w:val="005F1021"/>
    <w:rsid w:val="005F18F1"/>
    <w:rsid w:val="005F1CD3"/>
    <w:rsid w:val="005F295F"/>
    <w:rsid w:val="005F29F8"/>
    <w:rsid w:val="005F3BAC"/>
    <w:rsid w:val="005F4396"/>
    <w:rsid w:val="005F4618"/>
    <w:rsid w:val="005F620B"/>
    <w:rsid w:val="005F665B"/>
    <w:rsid w:val="005F6FCA"/>
    <w:rsid w:val="0060059B"/>
    <w:rsid w:val="00601C39"/>
    <w:rsid w:val="00601FC8"/>
    <w:rsid w:val="00602B4F"/>
    <w:rsid w:val="0060384E"/>
    <w:rsid w:val="00603E92"/>
    <w:rsid w:val="00605EF8"/>
    <w:rsid w:val="00606EC8"/>
    <w:rsid w:val="00607172"/>
    <w:rsid w:val="00607298"/>
    <w:rsid w:val="00610160"/>
    <w:rsid w:val="00611F89"/>
    <w:rsid w:val="0061200A"/>
    <w:rsid w:val="0061213D"/>
    <w:rsid w:val="00613B94"/>
    <w:rsid w:val="0061400C"/>
    <w:rsid w:val="00614331"/>
    <w:rsid w:val="006152BC"/>
    <w:rsid w:val="00615499"/>
    <w:rsid w:val="00615BC7"/>
    <w:rsid w:val="006162C2"/>
    <w:rsid w:val="00616A04"/>
    <w:rsid w:val="00622048"/>
    <w:rsid w:val="00622944"/>
    <w:rsid w:val="00624217"/>
    <w:rsid w:val="00624795"/>
    <w:rsid w:val="00624B91"/>
    <w:rsid w:val="0062578F"/>
    <w:rsid w:val="00625EFD"/>
    <w:rsid w:val="00626741"/>
    <w:rsid w:val="006274AF"/>
    <w:rsid w:val="00627BBF"/>
    <w:rsid w:val="006339F3"/>
    <w:rsid w:val="00633BB2"/>
    <w:rsid w:val="00634119"/>
    <w:rsid w:val="0063470B"/>
    <w:rsid w:val="0063519E"/>
    <w:rsid w:val="0063632E"/>
    <w:rsid w:val="00640298"/>
    <w:rsid w:val="00641FC6"/>
    <w:rsid w:val="006423C5"/>
    <w:rsid w:val="0064502B"/>
    <w:rsid w:val="006453AA"/>
    <w:rsid w:val="006454C5"/>
    <w:rsid w:val="00646CF4"/>
    <w:rsid w:val="006474EC"/>
    <w:rsid w:val="00650187"/>
    <w:rsid w:val="0065147A"/>
    <w:rsid w:val="00651AFD"/>
    <w:rsid w:val="00652312"/>
    <w:rsid w:val="00652A0E"/>
    <w:rsid w:val="00652ADF"/>
    <w:rsid w:val="006548CE"/>
    <w:rsid w:val="00655A3C"/>
    <w:rsid w:val="00655C9A"/>
    <w:rsid w:val="006562BE"/>
    <w:rsid w:val="00656936"/>
    <w:rsid w:val="00656EF1"/>
    <w:rsid w:val="006571FD"/>
    <w:rsid w:val="006600F0"/>
    <w:rsid w:val="00660683"/>
    <w:rsid w:val="006620DC"/>
    <w:rsid w:val="006629F0"/>
    <w:rsid w:val="00662ED9"/>
    <w:rsid w:val="006638D7"/>
    <w:rsid w:val="00663E81"/>
    <w:rsid w:val="0066553D"/>
    <w:rsid w:val="006655A1"/>
    <w:rsid w:val="00665F32"/>
    <w:rsid w:val="006706C3"/>
    <w:rsid w:val="006716C5"/>
    <w:rsid w:val="00672A57"/>
    <w:rsid w:val="0067322C"/>
    <w:rsid w:val="00674685"/>
    <w:rsid w:val="00674B39"/>
    <w:rsid w:val="00674CB4"/>
    <w:rsid w:val="00676370"/>
    <w:rsid w:val="00677315"/>
    <w:rsid w:val="006779F2"/>
    <w:rsid w:val="00677C89"/>
    <w:rsid w:val="00680880"/>
    <w:rsid w:val="0068493A"/>
    <w:rsid w:val="00685F36"/>
    <w:rsid w:val="006864D0"/>
    <w:rsid w:val="006869CE"/>
    <w:rsid w:val="00686AC9"/>
    <w:rsid w:val="006879DE"/>
    <w:rsid w:val="006915EC"/>
    <w:rsid w:val="006917A2"/>
    <w:rsid w:val="00692071"/>
    <w:rsid w:val="0069266B"/>
    <w:rsid w:val="00692787"/>
    <w:rsid w:val="006928C5"/>
    <w:rsid w:val="00692AB8"/>
    <w:rsid w:val="006953FC"/>
    <w:rsid w:val="00696B9F"/>
    <w:rsid w:val="00696D29"/>
    <w:rsid w:val="006977B2"/>
    <w:rsid w:val="00697BF1"/>
    <w:rsid w:val="00697F56"/>
    <w:rsid w:val="006A019B"/>
    <w:rsid w:val="006A257A"/>
    <w:rsid w:val="006A2939"/>
    <w:rsid w:val="006A5A0D"/>
    <w:rsid w:val="006A639B"/>
    <w:rsid w:val="006A77B5"/>
    <w:rsid w:val="006B1191"/>
    <w:rsid w:val="006B1C39"/>
    <w:rsid w:val="006B3631"/>
    <w:rsid w:val="006B5117"/>
    <w:rsid w:val="006B5429"/>
    <w:rsid w:val="006B59CA"/>
    <w:rsid w:val="006B5D69"/>
    <w:rsid w:val="006B6B3C"/>
    <w:rsid w:val="006B6E97"/>
    <w:rsid w:val="006B77AC"/>
    <w:rsid w:val="006B78C5"/>
    <w:rsid w:val="006C3610"/>
    <w:rsid w:val="006C3674"/>
    <w:rsid w:val="006C3E19"/>
    <w:rsid w:val="006C47F6"/>
    <w:rsid w:val="006C4AC5"/>
    <w:rsid w:val="006C5F46"/>
    <w:rsid w:val="006C6EFC"/>
    <w:rsid w:val="006C7D34"/>
    <w:rsid w:val="006D0320"/>
    <w:rsid w:val="006D07E5"/>
    <w:rsid w:val="006D0882"/>
    <w:rsid w:val="006D093A"/>
    <w:rsid w:val="006D497F"/>
    <w:rsid w:val="006D50D8"/>
    <w:rsid w:val="006D5D93"/>
    <w:rsid w:val="006D6574"/>
    <w:rsid w:val="006D738E"/>
    <w:rsid w:val="006D7F0F"/>
    <w:rsid w:val="006E139E"/>
    <w:rsid w:val="006E1EA3"/>
    <w:rsid w:val="006E32AD"/>
    <w:rsid w:val="006E4CAE"/>
    <w:rsid w:val="006E53DD"/>
    <w:rsid w:val="006E6A69"/>
    <w:rsid w:val="006E6BDB"/>
    <w:rsid w:val="006E78D2"/>
    <w:rsid w:val="006F011F"/>
    <w:rsid w:val="006F06E2"/>
    <w:rsid w:val="006F20AD"/>
    <w:rsid w:val="006F3869"/>
    <w:rsid w:val="006F4319"/>
    <w:rsid w:val="006F5088"/>
    <w:rsid w:val="006F52D7"/>
    <w:rsid w:val="006F580D"/>
    <w:rsid w:val="006F63D4"/>
    <w:rsid w:val="006F6AA7"/>
    <w:rsid w:val="006F738C"/>
    <w:rsid w:val="006F75B9"/>
    <w:rsid w:val="006F7845"/>
    <w:rsid w:val="006F7E7F"/>
    <w:rsid w:val="00700AAE"/>
    <w:rsid w:val="00701BD8"/>
    <w:rsid w:val="007020A2"/>
    <w:rsid w:val="00702D9F"/>
    <w:rsid w:val="007034C9"/>
    <w:rsid w:val="00703639"/>
    <w:rsid w:val="00703667"/>
    <w:rsid w:val="00703D4D"/>
    <w:rsid w:val="007046B8"/>
    <w:rsid w:val="00704FBF"/>
    <w:rsid w:val="007050EE"/>
    <w:rsid w:val="007052DE"/>
    <w:rsid w:val="0070658D"/>
    <w:rsid w:val="00707B71"/>
    <w:rsid w:val="0071065C"/>
    <w:rsid w:val="00710A24"/>
    <w:rsid w:val="00710B0D"/>
    <w:rsid w:val="00710F9E"/>
    <w:rsid w:val="0071172E"/>
    <w:rsid w:val="00711A26"/>
    <w:rsid w:val="007121A5"/>
    <w:rsid w:val="00712AAD"/>
    <w:rsid w:val="0071362B"/>
    <w:rsid w:val="00713BB7"/>
    <w:rsid w:val="00714130"/>
    <w:rsid w:val="0071436C"/>
    <w:rsid w:val="007151B8"/>
    <w:rsid w:val="0071538E"/>
    <w:rsid w:val="00715C5C"/>
    <w:rsid w:val="00716E79"/>
    <w:rsid w:val="00717591"/>
    <w:rsid w:val="007177E4"/>
    <w:rsid w:val="00720F2C"/>
    <w:rsid w:val="007215EA"/>
    <w:rsid w:val="007256CC"/>
    <w:rsid w:val="00725709"/>
    <w:rsid w:val="00726A8E"/>
    <w:rsid w:val="00726E7C"/>
    <w:rsid w:val="007310D1"/>
    <w:rsid w:val="00731C66"/>
    <w:rsid w:val="00731F92"/>
    <w:rsid w:val="007323EF"/>
    <w:rsid w:val="0073258E"/>
    <w:rsid w:val="007334C1"/>
    <w:rsid w:val="0073386A"/>
    <w:rsid w:val="00733F84"/>
    <w:rsid w:val="00734514"/>
    <w:rsid w:val="007345A2"/>
    <w:rsid w:val="007349B8"/>
    <w:rsid w:val="007359A3"/>
    <w:rsid w:val="00736A81"/>
    <w:rsid w:val="00737811"/>
    <w:rsid w:val="0073787B"/>
    <w:rsid w:val="00737F3F"/>
    <w:rsid w:val="00737F8A"/>
    <w:rsid w:val="00740459"/>
    <w:rsid w:val="00741AC7"/>
    <w:rsid w:val="00741B41"/>
    <w:rsid w:val="00741B9F"/>
    <w:rsid w:val="00742351"/>
    <w:rsid w:val="00742EB6"/>
    <w:rsid w:val="007443E2"/>
    <w:rsid w:val="00744AB2"/>
    <w:rsid w:val="00745414"/>
    <w:rsid w:val="007457FE"/>
    <w:rsid w:val="00745E61"/>
    <w:rsid w:val="00745EA3"/>
    <w:rsid w:val="00747605"/>
    <w:rsid w:val="007478C9"/>
    <w:rsid w:val="00747A16"/>
    <w:rsid w:val="00747C60"/>
    <w:rsid w:val="00747FE0"/>
    <w:rsid w:val="007508DF"/>
    <w:rsid w:val="007509FE"/>
    <w:rsid w:val="00750CA6"/>
    <w:rsid w:val="00751401"/>
    <w:rsid w:val="0075152D"/>
    <w:rsid w:val="00751A50"/>
    <w:rsid w:val="00751CE2"/>
    <w:rsid w:val="00752D9A"/>
    <w:rsid w:val="00754C8A"/>
    <w:rsid w:val="00755065"/>
    <w:rsid w:val="00755174"/>
    <w:rsid w:val="00755361"/>
    <w:rsid w:val="0075563D"/>
    <w:rsid w:val="007568D6"/>
    <w:rsid w:val="00757121"/>
    <w:rsid w:val="007579EE"/>
    <w:rsid w:val="0076145B"/>
    <w:rsid w:val="007621B6"/>
    <w:rsid w:val="00762B63"/>
    <w:rsid w:val="00763840"/>
    <w:rsid w:val="00763FE4"/>
    <w:rsid w:val="0076417E"/>
    <w:rsid w:val="00764C43"/>
    <w:rsid w:val="00766F23"/>
    <w:rsid w:val="00767C08"/>
    <w:rsid w:val="0077052B"/>
    <w:rsid w:val="00770607"/>
    <w:rsid w:val="00770C49"/>
    <w:rsid w:val="00770FE5"/>
    <w:rsid w:val="00772DF5"/>
    <w:rsid w:val="007763DB"/>
    <w:rsid w:val="00777AED"/>
    <w:rsid w:val="00777DAE"/>
    <w:rsid w:val="00781580"/>
    <w:rsid w:val="00781B8F"/>
    <w:rsid w:val="007825F8"/>
    <w:rsid w:val="00783C28"/>
    <w:rsid w:val="0078411D"/>
    <w:rsid w:val="0078455B"/>
    <w:rsid w:val="00784CEF"/>
    <w:rsid w:val="007855D3"/>
    <w:rsid w:val="00785B8C"/>
    <w:rsid w:val="00786289"/>
    <w:rsid w:val="00786677"/>
    <w:rsid w:val="007870D3"/>
    <w:rsid w:val="00790729"/>
    <w:rsid w:val="00790BAE"/>
    <w:rsid w:val="0079102F"/>
    <w:rsid w:val="00791D84"/>
    <w:rsid w:val="00792192"/>
    <w:rsid w:val="00792257"/>
    <w:rsid w:val="00792932"/>
    <w:rsid w:val="00793681"/>
    <w:rsid w:val="00796B9C"/>
    <w:rsid w:val="00796C2E"/>
    <w:rsid w:val="007A071F"/>
    <w:rsid w:val="007A1C50"/>
    <w:rsid w:val="007A2601"/>
    <w:rsid w:val="007A55DD"/>
    <w:rsid w:val="007A6F7E"/>
    <w:rsid w:val="007A73F1"/>
    <w:rsid w:val="007A76BA"/>
    <w:rsid w:val="007B1194"/>
    <w:rsid w:val="007B1532"/>
    <w:rsid w:val="007B24B1"/>
    <w:rsid w:val="007B2A3E"/>
    <w:rsid w:val="007B3E10"/>
    <w:rsid w:val="007B4ADC"/>
    <w:rsid w:val="007B55B2"/>
    <w:rsid w:val="007B654B"/>
    <w:rsid w:val="007B6EC7"/>
    <w:rsid w:val="007B7880"/>
    <w:rsid w:val="007C08FF"/>
    <w:rsid w:val="007C1B63"/>
    <w:rsid w:val="007C206C"/>
    <w:rsid w:val="007C270F"/>
    <w:rsid w:val="007C2B52"/>
    <w:rsid w:val="007C375F"/>
    <w:rsid w:val="007C3BD0"/>
    <w:rsid w:val="007C4083"/>
    <w:rsid w:val="007C444C"/>
    <w:rsid w:val="007C52C8"/>
    <w:rsid w:val="007C62E0"/>
    <w:rsid w:val="007C657C"/>
    <w:rsid w:val="007C6F21"/>
    <w:rsid w:val="007D0B84"/>
    <w:rsid w:val="007D0CD4"/>
    <w:rsid w:val="007D12CB"/>
    <w:rsid w:val="007D156D"/>
    <w:rsid w:val="007D1E41"/>
    <w:rsid w:val="007D20AC"/>
    <w:rsid w:val="007D3698"/>
    <w:rsid w:val="007D3D17"/>
    <w:rsid w:val="007D3E7B"/>
    <w:rsid w:val="007D4375"/>
    <w:rsid w:val="007D43FC"/>
    <w:rsid w:val="007D5A8B"/>
    <w:rsid w:val="007D5EA7"/>
    <w:rsid w:val="007D65FD"/>
    <w:rsid w:val="007D7362"/>
    <w:rsid w:val="007E10DE"/>
    <w:rsid w:val="007E13D8"/>
    <w:rsid w:val="007E2125"/>
    <w:rsid w:val="007E277B"/>
    <w:rsid w:val="007E38A7"/>
    <w:rsid w:val="007E3DC8"/>
    <w:rsid w:val="007E5CB0"/>
    <w:rsid w:val="007E7DCC"/>
    <w:rsid w:val="007F0371"/>
    <w:rsid w:val="007F1528"/>
    <w:rsid w:val="007F1A39"/>
    <w:rsid w:val="007F1C80"/>
    <w:rsid w:val="007F25D7"/>
    <w:rsid w:val="007F2E2C"/>
    <w:rsid w:val="007F3DD9"/>
    <w:rsid w:val="007F4D25"/>
    <w:rsid w:val="007F58F7"/>
    <w:rsid w:val="007F5F57"/>
    <w:rsid w:val="007F6279"/>
    <w:rsid w:val="007F7121"/>
    <w:rsid w:val="007F7833"/>
    <w:rsid w:val="00800A36"/>
    <w:rsid w:val="008011FB"/>
    <w:rsid w:val="00801750"/>
    <w:rsid w:val="00801B26"/>
    <w:rsid w:val="00801D83"/>
    <w:rsid w:val="00805601"/>
    <w:rsid w:val="0081005B"/>
    <w:rsid w:val="00810C64"/>
    <w:rsid w:val="00810F32"/>
    <w:rsid w:val="008116BD"/>
    <w:rsid w:val="008119B8"/>
    <w:rsid w:val="008120B2"/>
    <w:rsid w:val="00812495"/>
    <w:rsid w:val="00812889"/>
    <w:rsid w:val="0081405F"/>
    <w:rsid w:val="0081431F"/>
    <w:rsid w:val="008145FF"/>
    <w:rsid w:val="008149D8"/>
    <w:rsid w:val="00814F32"/>
    <w:rsid w:val="00815050"/>
    <w:rsid w:val="0081575E"/>
    <w:rsid w:val="0081584B"/>
    <w:rsid w:val="00816193"/>
    <w:rsid w:val="00816EF0"/>
    <w:rsid w:val="008170D9"/>
    <w:rsid w:val="008173FC"/>
    <w:rsid w:val="00817431"/>
    <w:rsid w:val="00817709"/>
    <w:rsid w:val="00817DC4"/>
    <w:rsid w:val="00820812"/>
    <w:rsid w:val="00822AC6"/>
    <w:rsid w:val="008231DC"/>
    <w:rsid w:val="0082398B"/>
    <w:rsid w:val="00824815"/>
    <w:rsid w:val="00824E8B"/>
    <w:rsid w:val="00824F71"/>
    <w:rsid w:val="00825707"/>
    <w:rsid w:val="008266BB"/>
    <w:rsid w:val="008269D5"/>
    <w:rsid w:val="00827C3F"/>
    <w:rsid w:val="0083167E"/>
    <w:rsid w:val="00831F16"/>
    <w:rsid w:val="00832EA1"/>
    <w:rsid w:val="00833570"/>
    <w:rsid w:val="008341F0"/>
    <w:rsid w:val="008345DE"/>
    <w:rsid w:val="00835A31"/>
    <w:rsid w:val="00837511"/>
    <w:rsid w:val="00837A4C"/>
    <w:rsid w:val="00837D6E"/>
    <w:rsid w:val="008405E1"/>
    <w:rsid w:val="00840A50"/>
    <w:rsid w:val="00841411"/>
    <w:rsid w:val="008435D2"/>
    <w:rsid w:val="00843AF4"/>
    <w:rsid w:val="00843FC0"/>
    <w:rsid w:val="0084415B"/>
    <w:rsid w:val="008446DF"/>
    <w:rsid w:val="008460DC"/>
    <w:rsid w:val="00846236"/>
    <w:rsid w:val="00850CF8"/>
    <w:rsid w:val="00850D48"/>
    <w:rsid w:val="00850FF6"/>
    <w:rsid w:val="008510EB"/>
    <w:rsid w:val="00851C2F"/>
    <w:rsid w:val="00852B4D"/>
    <w:rsid w:val="0085313E"/>
    <w:rsid w:val="008536FF"/>
    <w:rsid w:val="0085406D"/>
    <w:rsid w:val="008541DD"/>
    <w:rsid w:val="0085492B"/>
    <w:rsid w:val="00854FDC"/>
    <w:rsid w:val="00855126"/>
    <w:rsid w:val="008562A8"/>
    <w:rsid w:val="0085690A"/>
    <w:rsid w:val="00856FB0"/>
    <w:rsid w:val="008572A2"/>
    <w:rsid w:val="00857574"/>
    <w:rsid w:val="008577DA"/>
    <w:rsid w:val="00860D6C"/>
    <w:rsid w:val="00862168"/>
    <w:rsid w:val="0086284D"/>
    <w:rsid w:val="008635A7"/>
    <w:rsid w:val="00865CCF"/>
    <w:rsid w:val="00865D67"/>
    <w:rsid w:val="00865F8B"/>
    <w:rsid w:val="00866E36"/>
    <w:rsid w:val="008672D0"/>
    <w:rsid w:val="00870102"/>
    <w:rsid w:val="00874CE4"/>
    <w:rsid w:val="00875335"/>
    <w:rsid w:val="0087623D"/>
    <w:rsid w:val="008769A8"/>
    <w:rsid w:val="008809B1"/>
    <w:rsid w:val="00881ACD"/>
    <w:rsid w:val="00881D99"/>
    <w:rsid w:val="00882BBF"/>
    <w:rsid w:val="00882DEC"/>
    <w:rsid w:val="00883CAF"/>
    <w:rsid w:val="00884819"/>
    <w:rsid w:val="00884846"/>
    <w:rsid w:val="00884DD7"/>
    <w:rsid w:val="00885759"/>
    <w:rsid w:val="008862D2"/>
    <w:rsid w:val="0088680D"/>
    <w:rsid w:val="00886893"/>
    <w:rsid w:val="00890ED9"/>
    <w:rsid w:val="008917FE"/>
    <w:rsid w:val="00891992"/>
    <w:rsid w:val="00891FD5"/>
    <w:rsid w:val="0089389E"/>
    <w:rsid w:val="00893B2F"/>
    <w:rsid w:val="008947B7"/>
    <w:rsid w:val="00894B47"/>
    <w:rsid w:val="008952A5"/>
    <w:rsid w:val="008968F5"/>
    <w:rsid w:val="00896F60"/>
    <w:rsid w:val="00897663"/>
    <w:rsid w:val="00897B6A"/>
    <w:rsid w:val="008A007A"/>
    <w:rsid w:val="008A0E23"/>
    <w:rsid w:val="008A0E45"/>
    <w:rsid w:val="008A1DA2"/>
    <w:rsid w:val="008A281D"/>
    <w:rsid w:val="008A3686"/>
    <w:rsid w:val="008A3BB9"/>
    <w:rsid w:val="008A3FF2"/>
    <w:rsid w:val="008A4077"/>
    <w:rsid w:val="008A4453"/>
    <w:rsid w:val="008A6F4C"/>
    <w:rsid w:val="008A74DD"/>
    <w:rsid w:val="008A76FB"/>
    <w:rsid w:val="008B059F"/>
    <w:rsid w:val="008B1A71"/>
    <w:rsid w:val="008B3389"/>
    <w:rsid w:val="008B5613"/>
    <w:rsid w:val="008B5617"/>
    <w:rsid w:val="008B57E5"/>
    <w:rsid w:val="008B6FFC"/>
    <w:rsid w:val="008C03D1"/>
    <w:rsid w:val="008C0AF8"/>
    <w:rsid w:val="008C1E66"/>
    <w:rsid w:val="008C25DE"/>
    <w:rsid w:val="008C26B7"/>
    <w:rsid w:val="008C37DE"/>
    <w:rsid w:val="008C3BD6"/>
    <w:rsid w:val="008C438F"/>
    <w:rsid w:val="008C43F1"/>
    <w:rsid w:val="008C51A0"/>
    <w:rsid w:val="008C590F"/>
    <w:rsid w:val="008C64A5"/>
    <w:rsid w:val="008C6B96"/>
    <w:rsid w:val="008C6DE4"/>
    <w:rsid w:val="008D0753"/>
    <w:rsid w:val="008D14B1"/>
    <w:rsid w:val="008D1C34"/>
    <w:rsid w:val="008D36FD"/>
    <w:rsid w:val="008D3AE9"/>
    <w:rsid w:val="008D405B"/>
    <w:rsid w:val="008D629E"/>
    <w:rsid w:val="008D6F63"/>
    <w:rsid w:val="008D7A33"/>
    <w:rsid w:val="008E0524"/>
    <w:rsid w:val="008E0A00"/>
    <w:rsid w:val="008E1DB9"/>
    <w:rsid w:val="008E20FC"/>
    <w:rsid w:val="008E3AF7"/>
    <w:rsid w:val="008E405A"/>
    <w:rsid w:val="008E6454"/>
    <w:rsid w:val="008E71D2"/>
    <w:rsid w:val="008E76BF"/>
    <w:rsid w:val="008F0135"/>
    <w:rsid w:val="008F1460"/>
    <w:rsid w:val="008F2459"/>
    <w:rsid w:val="008F2C31"/>
    <w:rsid w:val="008F3566"/>
    <w:rsid w:val="008F4DD2"/>
    <w:rsid w:val="008F4F78"/>
    <w:rsid w:val="008F5897"/>
    <w:rsid w:val="008F6EB4"/>
    <w:rsid w:val="008F6EFC"/>
    <w:rsid w:val="008F736E"/>
    <w:rsid w:val="008F7A3A"/>
    <w:rsid w:val="00901329"/>
    <w:rsid w:val="009016E3"/>
    <w:rsid w:val="00902085"/>
    <w:rsid w:val="00902426"/>
    <w:rsid w:val="00902561"/>
    <w:rsid w:val="00903071"/>
    <w:rsid w:val="00903450"/>
    <w:rsid w:val="009044F4"/>
    <w:rsid w:val="009053DA"/>
    <w:rsid w:val="009059FF"/>
    <w:rsid w:val="009060FE"/>
    <w:rsid w:val="00910747"/>
    <w:rsid w:val="00910E3B"/>
    <w:rsid w:val="009122D0"/>
    <w:rsid w:val="0091257A"/>
    <w:rsid w:val="009125B7"/>
    <w:rsid w:val="00912CFB"/>
    <w:rsid w:val="009139E6"/>
    <w:rsid w:val="009175E4"/>
    <w:rsid w:val="00917AF0"/>
    <w:rsid w:val="00917C5F"/>
    <w:rsid w:val="00920A37"/>
    <w:rsid w:val="00920ACC"/>
    <w:rsid w:val="00920F8A"/>
    <w:rsid w:val="00922D49"/>
    <w:rsid w:val="009243D2"/>
    <w:rsid w:val="0092481E"/>
    <w:rsid w:val="00927CFC"/>
    <w:rsid w:val="00927DF8"/>
    <w:rsid w:val="00930567"/>
    <w:rsid w:val="00930E5C"/>
    <w:rsid w:val="0093159F"/>
    <w:rsid w:val="00931974"/>
    <w:rsid w:val="009319B4"/>
    <w:rsid w:val="00931A16"/>
    <w:rsid w:val="0093264A"/>
    <w:rsid w:val="00932776"/>
    <w:rsid w:val="00932A90"/>
    <w:rsid w:val="00932FFD"/>
    <w:rsid w:val="00933096"/>
    <w:rsid w:val="00934385"/>
    <w:rsid w:val="009350D0"/>
    <w:rsid w:val="00935FD5"/>
    <w:rsid w:val="00936019"/>
    <w:rsid w:val="0093607D"/>
    <w:rsid w:val="0093614F"/>
    <w:rsid w:val="009366F7"/>
    <w:rsid w:val="00936799"/>
    <w:rsid w:val="00936885"/>
    <w:rsid w:val="009370FC"/>
    <w:rsid w:val="009374D4"/>
    <w:rsid w:val="0094087B"/>
    <w:rsid w:val="0094352E"/>
    <w:rsid w:val="00944100"/>
    <w:rsid w:val="00946587"/>
    <w:rsid w:val="0094720D"/>
    <w:rsid w:val="0094772D"/>
    <w:rsid w:val="009511E5"/>
    <w:rsid w:val="0095149D"/>
    <w:rsid w:val="009517F6"/>
    <w:rsid w:val="009521C1"/>
    <w:rsid w:val="00952A15"/>
    <w:rsid w:val="009534C9"/>
    <w:rsid w:val="00953EF6"/>
    <w:rsid w:val="0095402B"/>
    <w:rsid w:val="00955290"/>
    <w:rsid w:val="00955EBD"/>
    <w:rsid w:val="009568B5"/>
    <w:rsid w:val="0095721D"/>
    <w:rsid w:val="00962F77"/>
    <w:rsid w:val="00963193"/>
    <w:rsid w:val="00964198"/>
    <w:rsid w:val="00964AA4"/>
    <w:rsid w:val="00964DE9"/>
    <w:rsid w:val="00965598"/>
    <w:rsid w:val="009665B5"/>
    <w:rsid w:val="0096660F"/>
    <w:rsid w:val="009677C7"/>
    <w:rsid w:val="009712EA"/>
    <w:rsid w:val="009729A9"/>
    <w:rsid w:val="009752BE"/>
    <w:rsid w:val="009752D4"/>
    <w:rsid w:val="0097535C"/>
    <w:rsid w:val="00975A23"/>
    <w:rsid w:val="009761D3"/>
    <w:rsid w:val="009762F4"/>
    <w:rsid w:val="00976F28"/>
    <w:rsid w:val="009822AB"/>
    <w:rsid w:val="00982A00"/>
    <w:rsid w:val="00983048"/>
    <w:rsid w:val="0098318A"/>
    <w:rsid w:val="0098335A"/>
    <w:rsid w:val="00983B82"/>
    <w:rsid w:val="00986127"/>
    <w:rsid w:val="009864F0"/>
    <w:rsid w:val="00986D7B"/>
    <w:rsid w:val="00987481"/>
    <w:rsid w:val="00987864"/>
    <w:rsid w:val="00987BF2"/>
    <w:rsid w:val="00990141"/>
    <w:rsid w:val="00993242"/>
    <w:rsid w:val="00993CF6"/>
    <w:rsid w:val="009943FA"/>
    <w:rsid w:val="009960EE"/>
    <w:rsid w:val="00996ACF"/>
    <w:rsid w:val="00997F29"/>
    <w:rsid w:val="009A01B1"/>
    <w:rsid w:val="009A2106"/>
    <w:rsid w:val="009A29D8"/>
    <w:rsid w:val="009A29E9"/>
    <w:rsid w:val="009A2D45"/>
    <w:rsid w:val="009A56C0"/>
    <w:rsid w:val="009A6C25"/>
    <w:rsid w:val="009A6D2A"/>
    <w:rsid w:val="009A7FF9"/>
    <w:rsid w:val="009B015F"/>
    <w:rsid w:val="009B04E6"/>
    <w:rsid w:val="009B0883"/>
    <w:rsid w:val="009B0AD1"/>
    <w:rsid w:val="009B0AF0"/>
    <w:rsid w:val="009B0CDF"/>
    <w:rsid w:val="009B2515"/>
    <w:rsid w:val="009B2CE1"/>
    <w:rsid w:val="009B3AFA"/>
    <w:rsid w:val="009B3B5C"/>
    <w:rsid w:val="009B6D36"/>
    <w:rsid w:val="009B7053"/>
    <w:rsid w:val="009B7CBB"/>
    <w:rsid w:val="009C0063"/>
    <w:rsid w:val="009C030B"/>
    <w:rsid w:val="009C0321"/>
    <w:rsid w:val="009C29DF"/>
    <w:rsid w:val="009C3181"/>
    <w:rsid w:val="009C555E"/>
    <w:rsid w:val="009C7936"/>
    <w:rsid w:val="009D0074"/>
    <w:rsid w:val="009D1A50"/>
    <w:rsid w:val="009D2E7D"/>
    <w:rsid w:val="009D491B"/>
    <w:rsid w:val="009D65BC"/>
    <w:rsid w:val="009D7C5D"/>
    <w:rsid w:val="009D7F07"/>
    <w:rsid w:val="009D7F36"/>
    <w:rsid w:val="009E124C"/>
    <w:rsid w:val="009E2122"/>
    <w:rsid w:val="009E2628"/>
    <w:rsid w:val="009E2729"/>
    <w:rsid w:val="009E29EC"/>
    <w:rsid w:val="009E2E72"/>
    <w:rsid w:val="009E2FC5"/>
    <w:rsid w:val="009E343C"/>
    <w:rsid w:val="009E4504"/>
    <w:rsid w:val="009E4F58"/>
    <w:rsid w:val="009E5242"/>
    <w:rsid w:val="009E7227"/>
    <w:rsid w:val="009E7C4C"/>
    <w:rsid w:val="009E7D67"/>
    <w:rsid w:val="009F0666"/>
    <w:rsid w:val="009F0ED9"/>
    <w:rsid w:val="009F1368"/>
    <w:rsid w:val="009F140E"/>
    <w:rsid w:val="009F1852"/>
    <w:rsid w:val="009F1AC6"/>
    <w:rsid w:val="009F1F39"/>
    <w:rsid w:val="009F1F98"/>
    <w:rsid w:val="009F2EE1"/>
    <w:rsid w:val="009F35CA"/>
    <w:rsid w:val="009F3698"/>
    <w:rsid w:val="009F3D37"/>
    <w:rsid w:val="009F4DAB"/>
    <w:rsid w:val="009F6428"/>
    <w:rsid w:val="009F64DC"/>
    <w:rsid w:val="00A0092D"/>
    <w:rsid w:val="00A00AB9"/>
    <w:rsid w:val="00A014DF"/>
    <w:rsid w:val="00A018DB"/>
    <w:rsid w:val="00A018F9"/>
    <w:rsid w:val="00A01C8C"/>
    <w:rsid w:val="00A02A8E"/>
    <w:rsid w:val="00A02BE8"/>
    <w:rsid w:val="00A0304E"/>
    <w:rsid w:val="00A0323A"/>
    <w:rsid w:val="00A05E5D"/>
    <w:rsid w:val="00A069A8"/>
    <w:rsid w:val="00A079A4"/>
    <w:rsid w:val="00A1046C"/>
    <w:rsid w:val="00A123E9"/>
    <w:rsid w:val="00A12A8C"/>
    <w:rsid w:val="00A12D45"/>
    <w:rsid w:val="00A13326"/>
    <w:rsid w:val="00A134DC"/>
    <w:rsid w:val="00A137EE"/>
    <w:rsid w:val="00A15114"/>
    <w:rsid w:val="00A15EAB"/>
    <w:rsid w:val="00A16361"/>
    <w:rsid w:val="00A1667B"/>
    <w:rsid w:val="00A16854"/>
    <w:rsid w:val="00A16A80"/>
    <w:rsid w:val="00A178DD"/>
    <w:rsid w:val="00A20610"/>
    <w:rsid w:val="00A21BFE"/>
    <w:rsid w:val="00A21ED8"/>
    <w:rsid w:val="00A22EA6"/>
    <w:rsid w:val="00A239BC"/>
    <w:rsid w:val="00A2460A"/>
    <w:rsid w:val="00A25146"/>
    <w:rsid w:val="00A25379"/>
    <w:rsid w:val="00A25895"/>
    <w:rsid w:val="00A26B14"/>
    <w:rsid w:val="00A27B7B"/>
    <w:rsid w:val="00A3003D"/>
    <w:rsid w:val="00A30122"/>
    <w:rsid w:val="00A30FE4"/>
    <w:rsid w:val="00A31BFA"/>
    <w:rsid w:val="00A36E09"/>
    <w:rsid w:val="00A36F15"/>
    <w:rsid w:val="00A371B5"/>
    <w:rsid w:val="00A41377"/>
    <w:rsid w:val="00A413BE"/>
    <w:rsid w:val="00A428DD"/>
    <w:rsid w:val="00A43126"/>
    <w:rsid w:val="00A4464E"/>
    <w:rsid w:val="00A44AA1"/>
    <w:rsid w:val="00A44DE9"/>
    <w:rsid w:val="00A460E1"/>
    <w:rsid w:val="00A479C4"/>
    <w:rsid w:val="00A50246"/>
    <w:rsid w:val="00A51691"/>
    <w:rsid w:val="00A51EC8"/>
    <w:rsid w:val="00A52274"/>
    <w:rsid w:val="00A52360"/>
    <w:rsid w:val="00A52DF0"/>
    <w:rsid w:val="00A53A47"/>
    <w:rsid w:val="00A548C5"/>
    <w:rsid w:val="00A54FBC"/>
    <w:rsid w:val="00A5509C"/>
    <w:rsid w:val="00A55649"/>
    <w:rsid w:val="00A557A7"/>
    <w:rsid w:val="00A56559"/>
    <w:rsid w:val="00A56B64"/>
    <w:rsid w:val="00A6114C"/>
    <w:rsid w:val="00A6310F"/>
    <w:rsid w:val="00A63741"/>
    <w:rsid w:val="00A63E2A"/>
    <w:rsid w:val="00A6494D"/>
    <w:rsid w:val="00A64AFA"/>
    <w:rsid w:val="00A64BC4"/>
    <w:rsid w:val="00A64E0C"/>
    <w:rsid w:val="00A6523B"/>
    <w:rsid w:val="00A654A2"/>
    <w:rsid w:val="00A65B5B"/>
    <w:rsid w:val="00A65E42"/>
    <w:rsid w:val="00A67EE2"/>
    <w:rsid w:val="00A67F8F"/>
    <w:rsid w:val="00A71215"/>
    <w:rsid w:val="00A71736"/>
    <w:rsid w:val="00A71870"/>
    <w:rsid w:val="00A71E44"/>
    <w:rsid w:val="00A72A97"/>
    <w:rsid w:val="00A73EAD"/>
    <w:rsid w:val="00A740B1"/>
    <w:rsid w:val="00A74325"/>
    <w:rsid w:val="00A76915"/>
    <w:rsid w:val="00A80991"/>
    <w:rsid w:val="00A8099A"/>
    <w:rsid w:val="00A8199B"/>
    <w:rsid w:val="00A827F3"/>
    <w:rsid w:val="00A82A69"/>
    <w:rsid w:val="00A8379B"/>
    <w:rsid w:val="00A84A7A"/>
    <w:rsid w:val="00A863C1"/>
    <w:rsid w:val="00A8660E"/>
    <w:rsid w:val="00A879CC"/>
    <w:rsid w:val="00A9017C"/>
    <w:rsid w:val="00A90478"/>
    <w:rsid w:val="00A91319"/>
    <w:rsid w:val="00A913C6"/>
    <w:rsid w:val="00A9188B"/>
    <w:rsid w:val="00A92764"/>
    <w:rsid w:val="00A92AB8"/>
    <w:rsid w:val="00A92DE6"/>
    <w:rsid w:val="00A93164"/>
    <w:rsid w:val="00A93AA6"/>
    <w:rsid w:val="00A93E9A"/>
    <w:rsid w:val="00A95011"/>
    <w:rsid w:val="00A9575F"/>
    <w:rsid w:val="00A95CBE"/>
    <w:rsid w:val="00A9601D"/>
    <w:rsid w:val="00A97FC6"/>
    <w:rsid w:val="00AA01F2"/>
    <w:rsid w:val="00AA030E"/>
    <w:rsid w:val="00AA0707"/>
    <w:rsid w:val="00AA0C8A"/>
    <w:rsid w:val="00AA0E9F"/>
    <w:rsid w:val="00AA1012"/>
    <w:rsid w:val="00AA1253"/>
    <w:rsid w:val="00AA1C9B"/>
    <w:rsid w:val="00AA2564"/>
    <w:rsid w:val="00AA2627"/>
    <w:rsid w:val="00AA2C77"/>
    <w:rsid w:val="00AA3919"/>
    <w:rsid w:val="00AA3E65"/>
    <w:rsid w:val="00AA4691"/>
    <w:rsid w:val="00AA4DC0"/>
    <w:rsid w:val="00AA5C59"/>
    <w:rsid w:val="00AA5D8A"/>
    <w:rsid w:val="00AA673E"/>
    <w:rsid w:val="00AA69B7"/>
    <w:rsid w:val="00AA6EDE"/>
    <w:rsid w:val="00AA77AB"/>
    <w:rsid w:val="00AB1B9B"/>
    <w:rsid w:val="00AB37FE"/>
    <w:rsid w:val="00AB3B26"/>
    <w:rsid w:val="00AB4D98"/>
    <w:rsid w:val="00AB51DF"/>
    <w:rsid w:val="00AB54B2"/>
    <w:rsid w:val="00AB598D"/>
    <w:rsid w:val="00AB598E"/>
    <w:rsid w:val="00AB59EB"/>
    <w:rsid w:val="00AB62DA"/>
    <w:rsid w:val="00AC0359"/>
    <w:rsid w:val="00AC0DBD"/>
    <w:rsid w:val="00AC3E3F"/>
    <w:rsid w:val="00AC428D"/>
    <w:rsid w:val="00AC4547"/>
    <w:rsid w:val="00AC4609"/>
    <w:rsid w:val="00AC4636"/>
    <w:rsid w:val="00AC49A9"/>
    <w:rsid w:val="00AC4E14"/>
    <w:rsid w:val="00AC58FF"/>
    <w:rsid w:val="00AC6194"/>
    <w:rsid w:val="00AC6547"/>
    <w:rsid w:val="00AC67E4"/>
    <w:rsid w:val="00AC76EA"/>
    <w:rsid w:val="00AC7BC7"/>
    <w:rsid w:val="00AC7CAA"/>
    <w:rsid w:val="00AD028A"/>
    <w:rsid w:val="00AD1019"/>
    <w:rsid w:val="00AD13F3"/>
    <w:rsid w:val="00AD1C51"/>
    <w:rsid w:val="00AD1CB2"/>
    <w:rsid w:val="00AD262A"/>
    <w:rsid w:val="00AD380D"/>
    <w:rsid w:val="00AD38D9"/>
    <w:rsid w:val="00AD39BA"/>
    <w:rsid w:val="00AD4FCA"/>
    <w:rsid w:val="00AD7241"/>
    <w:rsid w:val="00AE0583"/>
    <w:rsid w:val="00AE1E4E"/>
    <w:rsid w:val="00AE2012"/>
    <w:rsid w:val="00AE387A"/>
    <w:rsid w:val="00AE3E83"/>
    <w:rsid w:val="00AE473B"/>
    <w:rsid w:val="00AE547B"/>
    <w:rsid w:val="00AE5987"/>
    <w:rsid w:val="00AE5ABB"/>
    <w:rsid w:val="00AE5B9F"/>
    <w:rsid w:val="00AE627E"/>
    <w:rsid w:val="00AE67E3"/>
    <w:rsid w:val="00AE6B27"/>
    <w:rsid w:val="00AE6B76"/>
    <w:rsid w:val="00AE712D"/>
    <w:rsid w:val="00AE7B89"/>
    <w:rsid w:val="00AF0C95"/>
    <w:rsid w:val="00AF1A81"/>
    <w:rsid w:val="00AF21F0"/>
    <w:rsid w:val="00AF2CFE"/>
    <w:rsid w:val="00AF2F84"/>
    <w:rsid w:val="00AF3B28"/>
    <w:rsid w:val="00AF4BB2"/>
    <w:rsid w:val="00AF7C38"/>
    <w:rsid w:val="00B00474"/>
    <w:rsid w:val="00B00878"/>
    <w:rsid w:val="00B0276C"/>
    <w:rsid w:val="00B0286F"/>
    <w:rsid w:val="00B030C8"/>
    <w:rsid w:val="00B043D6"/>
    <w:rsid w:val="00B050C4"/>
    <w:rsid w:val="00B05327"/>
    <w:rsid w:val="00B066D3"/>
    <w:rsid w:val="00B068A4"/>
    <w:rsid w:val="00B06C9B"/>
    <w:rsid w:val="00B07121"/>
    <w:rsid w:val="00B07D20"/>
    <w:rsid w:val="00B07ED2"/>
    <w:rsid w:val="00B104B5"/>
    <w:rsid w:val="00B1068B"/>
    <w:rsid w:val="00B1079F"/>
    <w:rsid w:val="00B1096F"/>
    <w:rsid w:val="00B10C4B"/>
    <w:rsid w:val="00B10F65"/>
    <w:rsid w:val="00B11E1B"/>
    <w:rsid w:val="00B121B5"/>
    <w:rsid w:val="00B12DE1"/>
    <w:rsid w:val="00B12E08"/>
    <w:rsid w:val="00B130FD"/>
    <w:rsid w:val="00B13320"/>
    <w:rsid w:val="00B13D0A"/>
    <w:rsid w:val="00B1464A"/>
    <w:rsid w:val="00B14D75"/>
    <w:rsid w:val="00B15605"/>
    <w:rsid w:val="00B160CB"/>
    <w:rsid w:val="00B172F9"/>
    <w:rsid w:val="00B20507"/>
    <w:rsid w:val="00B2219E"/>
    <w:rsid w:val="00B2285D"/>
    <w:rsid w:val="00B22929"/>
    <w:rsid w:val="00B237F8"/>
    <w:rsid w:val="00B243C7"/>
    <w:rsid w:val="00B245CD"/>
    <w:rsid w:val="00B25E04"/>
    <w:rsid w:val="00B26A10"/>
    <w:rsid w:val="00B278EC"/>
    <w:rsid w:val="00B30AF1"/>
    <w:rsid w:val="00B30C3B"/>
    <w:rsid w:val="00B3186B"/>
    <w:rsid w:val="00B3356E"/>
    <w:rsid w:val="00B3392D"/>
    <w:rsid w:val="00B33F95"/>
    <w:rsid w:val="00B353A7"/>
    <w:rsid w:val="00B35CE3"/>
    <w:rsid w:val="00B367CB"/>
    <w:rsid w:val="00B37757"/>
    <w:rsid w:val="00B408F3"/>
    <w:rsid w:val="00B40D7B"/>
    <w:rsid w:val="00B4220B"/>
    <w:rsid w:val="00B42E84"/>
    <w:rsid w:val="00B42FD8"/>
    <w:rsid w:val="00B43740"/>
    <w:rsid w:val="00B43D6C"/>
    <w:rsid w:val="00B44292"/>
    <w:rsid w:val="00B44488"/>
    <w:rsid w:val="00B4501E"/>
    <w:rsid w:val="00B4512C"/>
    <w:rsid w:val="00B45828"/>
    <w:rsid w:val="00B45F4D"/>
    <w:rsid w:val="00B477C0"/>
    <w:rsid w:val="00B47EDD"/>
    <w:rsid w:val="00B5059C"/>
    <w:rsid w:val="00B50AB6"/>
    <w:rsid w:val="00B50C14"/>
    <w:rsid w:val="00B51222"/>
    <w:rsid w:val="00B514C6"/>
    <w:rsid w:val="00B51761"/>
    <w:rsid w:val="00B51829"/>
    <w:rsid w:val="00B51968"/>
    <w:rsid w:val="00B52936"/>
    <w:rsid w:val="00B529B9"/>
    <w:rsid w:val="00B52D6D"/>
    <w:rsid w:val="00B52F79"/>
    <w:rsid w:val="00B55203"/>
    <w:rsid w:val="00B55C79"/>
    <w:rsid w:val="00B56002"/>
    <w:rsid w:val="00B570C1"/>
    <w:rsid w:val="00B572E8"/>
    <w:rsid w:val="00B57514"/>
    <w:rsid w:val="00B57CE4"/>
    <w:rsid w:val="00B616D3"/>
    <w:rsid w:val="00B634DD"/>
    <w:rsid w:val="00B638B6"/>
    <w:rsid w:val="00B6458A"/>
    <w:rsid w:val="00B658C4"/>
    <w:rsid w:val="00B66841"/>
    <w:rsid w:val="00B670B3"/>
    <w:rsid w:val="00B671C2"/>
    <w:rsid w:val="00B67321"/>
    <w:rsid w:val="00B70997"/>
    <w:rsid w:val="00B70ECE"/>
    <w:rsid w:val="00B70F4A"/>
    <w:rsid w:val="00B71012"/>
    <w:rsid w:val="00B71287"/>
    <w:rsid w:val="00B712E1"/>
    <w:rsid w:val="00B716B1"/>
    <w:rsid w:val="00B71CE4"/>
    <w:rsid w:val="00B7213D"/>
    <w:rsid w:val="00B72996"/>
    <w:rsid w:val="00B7346C"/>
    <w:rsid w:val="00B73685"/>
    <w:rsid w:val="00B7407A"/>
    <w:rsid w:val="00B75E92"/>
    <w:rsid w:val="00B760DE"/>
    <w:rsid w:val="00B77C41"/>
    <w:rsid w:val="00B80292"/>
    <w:rsid w:val="00B80343"/>
    <w:rsid w:val="00B81D46"/>
    <w:rsid w:val="00B82069"/>
    <w:rsid w:val="00B8249F"/>
    <w:rsid w:val="00B85616"/>
    <w:rsid w:val="00B90C3E"/>
    <w:rsid w:val="00B914C7"/>
    <w:rsid w:val="00B9160E"/>
    <w:rsid w:val="00B9248D"/>
    <w:rsid w:val="00B92AC7"/>
    <w:rsid w:val="00B95615"/>
    <w:rsid w:val="00B96064"/>
    <w:rsid w:val="00B96F64"/>
    <w:rsid w:val="00B972EE"/>
    <w:rsid w:val="00B97A74"/>
    <w:rsid w:val="00BA051B"/>
    <w:rsid w:val="00BA08DC"/>
    <w:rsid w:val="00BA18EC"/>
    <w:rsid w:val="00BA2C23"/>
    <w:rsid w:val="00BA3299"/>
    <w:rsid w:val="00BA358D"/>
    <w:rsid w:val="00BA4104"/>
    <w:rsid w:val="00BA4CF3"/>
    <w:rsid w:val="00BA5F0A"/>
    <w:rsid w:val="00BA6595"/>
    <w:rsid w:val="00BA6B90"/>
    <w:rsid w:val="00BA6DE9"/>
    <w:rsid w:val="00BA74E6"/>
    <w:rsid w:val="00BA76BF"/>
    <w:rsid w:val="00BA797C"/>
    <w:rsid w:val="00BA7C7A"/>
    <w:rsid w:val="00BB0D0A"/>
    <w:rsid w:val="00BB0DD3"/>
    <w:rsid w:val="00BB143A"/>
    <w:rsid w:val="00BB162C"/>
    <w:rsid w:val="00BB4C95"/>
    <w:rsid w:val="00BB58FC"/>
    <w:rsid w:val="00BB6D1C"/>
    <w:rsid w:val="00BC0FC9"/>
    <w:rsid w:val="00BC4504"/>
    <w:rsid w:val="00BC54FE"/>
    <w:rsid w:val="00BC6C3B"/>
    <w:rsid w:val="00BC6F81"/>
    <w:rsid w:val="00BD0182"/>
    <w:rsid w:val="00BD01FC"/>
    <w:rsid w:val="00BD1505"/>
    <w:rsid w:val="00BD178B"/>
    <w:rsid w:val="00BD296C"/>
    <w:rsid w:val="00BD2B58"/>
    <w:rsid w:val="00BD38C5"/>
    <w:rsid w:val="00BD675C"/>
    <w:rsid w:val="00BD6C42"/>
    <w:rsid w:val="00BD704C"/>
    <w:rsid w:val="00BD71E6"/>
    <w:rsid w:val="00BE03E9"/>
    <w:rsid w:val="00BE0988"/>
    <w:rsid w:val="00BE37E0"/>
    <w:rsid w:val="00BE531E"/>
    <w:rsid w:val="00BE5EA7"/>
    <w:rsid w:val="00BE630D"/>
    <w:rsid w:val="00BF044F"/>
    <w:rsid w:val="00BF1F74"/>
    <w:rsid w:val="00BF3CC5"/>
    <w:rsid w:val="00BF42A4"/>
    <w:rsid w:val="00BF5D5E"/>
    <w:rsid w:val="00BF6CCE"/>
    <w:rsid w:val="00BF7116"/>
    <w:rsid w:val="00BF7EF8"/>
    <w:rsid w:val="00C00A84"/>
    <w:rsid w:val="00C010F3"/>
    <w:rsid w:val="00C01558"/>
    <w:rsid w:val="00C02754"/>
    <w:rsid w:val="00C03083"/>
    <w:rsid w:val="00C03C73"/>
    <w:rsid w:val="00C040D9"/>
    <w:rsid w:val="00C04A0A"/>
    <w:rsid w:val="00C05394"/>
    <w:rsid w:val="00C10A0D"/>
    <w:rsid w:val="00C11811"/>
    <w:rsid w:val="00C11A43"/>
    <w:rsid w:val="00C11B96"/>
    <w:rsid w:val="00C127DB"/>
    <w:rsid w:val="00C12A34"/>
    <w:rsid w:val="00C1371B"/>
    <w:rsid w:val="00C13C3C"/>
    <w:rsid w:val="00C13EF4"/>
    <w:rsid w:val="00C1490B"/>
    <w:rsid w:val="00C15051"/>
    <w:rsid w:val="00C15108"/>
    <w:rsid w:val="00C15687"/>
    <w:rsid w:val="00C15B25"/>
    <w:rsid w:val="00C162F8"/>
    <w:rsid w:val="00C17387"/>
    <w:rsid w:val="00C176C8"/>
    <w:rsid w:val="00C20217"/>
    <w:rsid w:val="00C20745"/>
    <w:rsid w:val="00C21781"/>
    <w:rsid w:val="00C22E13"/>
    <w:rsid w:val="00C22EB5"/>
    <w:rsid w:val="00C22FC7"/>
    <w:rsid w:val="00C243CF"/>
    <w:rsid w:val="00C244FC"/>
    <w:rsid w:val="00C24A39"/>
    <w:rsid w:val="00C257A6"/>
    <w:rsid w:val="00C257E1"/>
    <w:rsid w:val="00C25ABF"/>
    <w:rsid w:val="00C3070D"/>
    <w:rsid w:val="00C308C8"/>
    <w:rsid w:val="00C31D0F"/>
    <w:rsid w:val="00C320E7"/>
    <w:rsid w:val="00C353BF"/>
    <w:rsid w:val="00C357A6"/>
    <w:rsid w:val="00C35EE4"/>
    <w:rsid w:val="00C4085B"/>
    <w:rsid w:val="00C409CD"/>
    <w:rsid w:val="00C41220"/>
    <w:rsid w:val="00C41706"/>
    <w:rsid w:val="00C43668"/>
    <w:rsid w:val="00C43CDD"/>
    <w:rsid w:val="00C443B1"/>
    <w:rsid w:val="00C45621"/>
    <w:rsid w:val="00C4624B"/>
    <w:rsid w:val="00C46382"/>
    <w:rsid w:val="00C46854"/>
    <w:rsid w:val="00C47F61"/>
    <w:rsid w:val="00C47FB9"/>
    <w:rsid w:val="00C5019C"/>
    <w:rsid w:val="00C5074B"/>
    <w:rsid w:val="00C51E75"/>
    <w:rsid w:val="00C524A1"/>
    <w:rsid w:val="00C52CB1"/>
    <w:rsid w:val="00C54AF8"/>
    <w:rsid w:val="00C564D6"/>
    <w:rsid w:val="00C57862"/>
    <w:rsid w:val="00C5799C"/>
    <w:rsid w:val="00C60040"/>
    <w:rsid w:val="00C61068"/>
    <w:rsid w:val="00C61467"/>
    <w:rsid w:val="00C62529"/>
    <w:rsid w:val="00C63553"/>
    <w:rsid w:val="00C64599"/>
    <w:rsid w:val="00C658F0"/>
    <w:rsid w:val="00C65C4E"/>
    <w:rsid w:val="00C66A56"/>
    <w:rsid w:val="00C66B15"/>
    <w:rsid w:val="00C709C7"/>
    <w:rsid w:val="00C7227D"/>
    <w:rsid w:val="00C72405"/>
    <w:rsid w:val="00C73D25"/>
    <w:rsid w:val="00C755DA"/>
    <w:rsid w:val="00C7701F"/>
    <w:rsid w:val="00C80CDA"/>
    <w:rsid w:val="00C8105B"/>
    <w:rsid w:val="00C81E8F"/>
    <w:rsid w:val="00C8274E"/>
    <w:rsid w:val="00C830F4"/>
    <w:rsid w:val="00C83C29"/>
    <w:rsid w:val="00C83EC4"/>
    <w:rsid w:val="00C84EB4"/>
    <w:rsid w:val="00C85E9F"/>
    <w:rsid w:val="00C86438"/>
    <w:rsid w:val="00C86E09"/>
    <w:rsid w:val="00C86FBB"/>
    <w:rsid w:val="00C873AE"/>
    <w:rsid w:val="00C90B47"/>
    <w:rsid w:val="00C9124C"/>
    <w:rsid w:val="00C92423"/>
    <w:rsid w:val="00C95789"/>
    <w:rsid w:val="00C95D08"/>
    <w:rsid w:val="00C96091"/>
    <w:rsid w:val="00C969A5"/>
    <w:rsid w:val="00C96B43"/>
    <w:rsid w:val="00C97EE5"/>
    <w:rsid w:val="00CA02EF"/>
    <w:rsid w:val="00CA07ED"/>
    <w:rsid w:val="00CA1595"/>
    <w:rsid w:val="00CA1A7A"/>
    <w:rsid w:val="00CA2809"/>
    <w:rsid w:val="00CA39BF"/>
    <w:rsid w:val="00CA4073"/>
    <w:rsid w:val="00CA43A3"/>
    <w:rsid w:val="00CA44DA"/>
    <w:rsid w:val="00CA4558"/>
    <w:rsid w:val="00CA47FD"/>
    <w:rsid w:val="00CA4E2D"/>
    <w:rsid w:val="00CA54D1"/>
    <w:rsid w:val="00CA761A"/>
    <w:rsid w:val="00CA77B7"/>
    <w:rsid w:val="00CB13D3"/>
    <w:rsid w:val="00CB1E24"/>
    <w:rsid w:val="00CB232B"/>
    <w:rsid w:val="00CB2820"/>
    <w:rsid w:val="00CB3322"/>
    <w:rsid w:val="00CB44FB"/>
    <w:rsid w:val="00CB4798"/>
    <w:rsid w:val="00CB53A9"/>
    <w:rsid w:val="00CB553A"/>
    <w:rsid w:val="00CB60B0"/>
    <w:rsid w:val="00CB72B9"/>
    <w:rsid w:val="00CB7B7E"/>
    <w:rsid w:val="00CC28DB"/>
    <w:rsid w:val="00CC2CB6"/>
    <w:rsid w:val="00CC3425"/>
    <w:rsid w:val="00CC3662"/>
    <w:rsid w:val="00CC407A"/>
    <w:rsid w:val="00CC4549"/>
    <w:rsid w:val="00CC4947"/>
    <w:rsid w:val="00CC6021"/>
    <w:rsid w:val="00CC6E6D"/>
    <w:rsid w:val="00CC710B"/>
    <w:rsid w:val="00CD133E"/>
    <w:rsid w:val="00CD1B85"/>
    <w:rsid w:val="00CD2727"/>
    <w:rsid w:val="00CD293F"/>
    <w:rsid w:val="00CD3559"/>
    <w:rsid w:val="00CD3FC9"/>
    <w:rsid w:val="00CD44D6"/>
    <w:rsid w:val="00CD632A"/>
    <w:rsid w:val="00CD63F0"/>
    <w:rsid w:val="00CD7551"/>
    <w:rsid w:val="00CE0511"/>
    <w:rsid w:val="00CE1025"/>
    <w:rsid w:val="00CE172B"/>
    <w:rsid w:val="00CE1CCD"/>
    <w:rsid w:val="00CE28D6"/>
    <w:rsid w:val="00CE3019"/>
    <w:rsid w:val="00CE30E3"/>
    <w:rsid w:val="00CE312E"/>
    <w:rsid w:val="00CE3D12"/>
    <w:rsid w:val="00CE3E46"/>
    <w:rsid w:val="00CE4847"/>
    <w:rsid w:val="00CE5877"/>
    <w:rsid w:val="00CE7203"/>
    <w:rsid w:val="00CE7948"/>
    <w:rsid w:val="00CF0094"/>
    <w:rsid w:val="00CF1F92"/>
    <w:rsid w:val="00CF2005"/>
    <w:rsid w:val="00CF31C2"/>
    <w:rsid w:val="00CF3645"/>
    <w:rsid w:val="00CF3EF0"/>
    <w:rsid w:val="00CF3FF4"/>
    <w:rsid w:val="00CF455A"/>
    <w:rsid w:val="00CF6A48"/>
    <w:rsid w:val="00CF7D0D"/>
    <w:rsid w:val="00CF7D0F"/>
    <w:rsid w:val="00D00580"/>
    <w:rsid w:val="00D005FD"/>
    <w:rsid w:val="00D015BA"/>
    <w:rsid w:val="00D01782"/>
    <w:rsid w:val="00D01EF2"/>
    <w:rsid w:val="00D02C6D"/>
    <w:rsid w:val="00D02D97"/>
    <w:rsid w:val="00D03561"/>
    <w:rsid w:val="00D03764"/>
    <w:rsid w:val="00D03998"/>
    <w:rsid w:val="00D0513D"/>
    <w:rsid w:val="00D074AE"/>
    <w:rsid w:val="00D0792B"/>
    <w:rsid w:val="00D10410"/>
    <w:rsid w:val="00D10817"/>
    <w:rsid w:val="00D108DB"/>
    <w:rsid w:val="00D114FE"/>
    <w:rsid w:val="00D11AF0"/>
    <w:rsid w:val="00D13727"/>
    <w:rsid w:val="00D15224"/>
    <w:rsid w:val="00D17D22"/>
    <w:rsid w:val="00D21745"/>
    <w:rsid w:val="00D228C5"/>
    <w:rsid w:val="00D228EE"/>
    <w:rsid w:val="00D2438E"/>
    <w:rsid w:val="00D255A3"/>
    <w:rsid w:val="00D25F82"/>
    <w:rsid w:val="00D27368"/>
    <w:rsid w:val="00D3198F"/>
    <w:rsid w:val="00D31CB3"/>
    <w:rsid w:val="00D33781"/>
    <w:rsid w:val="00D33D8A"/>
    <w:rsid w:val="00D343EC"/>
    <w:rsid w:val="00D36781"/>
    <w:rsid w:val="00D3693A"/>
    <w:rsid w:val="00D373E5"/>
    <w:rsid w:val="00D37527"/>
    <w:rsid w:val="00D3772C"/>
    <w:rsid w:val="00D40268"/>
    <w:rsid w:val="00D40382"/>
    <w:rsid w:val="00D40B22"/>
    <w:rsid w:val="00D40DD4"/>
    <w:rsid w:val="00D4121F"/>
    <w:rsid w:val="00D43E82"/>
    <w:rsid w:val="00D452E5"/>
    <w:rsid w:val="00D4689F"/>
    <w:rsid w:val="00D46996"/>
    <w:rsid w:val="00D46ECB"/>
    <w:rsid w:val="00D47438"/>
    <w:rsid w:val="00D47B16"/>
    <w:rsid w:val="00D50466"/>
    <w:rsid w:val="00D527BD"/>
    <w:rsid w:val="00D5367E"/>
    <w:rsid w:val="00D5428E"/>
    <w:rsid w:val="00D54395"/>
    <w:rsid w:val="00D54DF6"/>
    <w:rsid w:val="00D5644A"/>
    <w:rsid w:val="00D56955"/>
    <w:rsid w:val="00D5717C"/>
    <w:rsid w:val="00D5730E"/>
    <w:rsid w:val="00D57418"/>
    <w:rsid w:val="00D575ED"/>
    <w:rsid w:val="00D57DA6"/>
    <w:rsid w:val="00D6123D"/>
    <w:rsid w:val="00D6153D"/>
    <w:rsid w:val="00D615BB"/>
    <w:rsid w:val="00D61C87"/>
    <w:rsid w:val="00D61CAC"/>
    <w:rsid w:val="00D63A85"/>
    <w:rsid w:val="00D63A93"/>
    <w:rsid w:val="00D6487C"/>
    <w:rsid w:val="00D64BAB"/>
    <w:rsid w:val="00D6685C"/>
    <w:rsid w:val="00D66B4F"/>
    <w:rsid w:val="00D70430"/>
    <w:rsid w:val="00D707E1"/>
    <w:rsid w:val="00D714D0"/>
    <w:rsid w:val="00D7180F"/>
    <w:rsid w:val="00D719EC"/>
    <w:rsid w:val="00D71DD0"/>
    <w:rsid w:val="00D7311C"/>
    <w:rsid w:val="00D73FED"/>
    <w:rsid w:val="00D74906"/>
    <w:rsid w:val="00D74C73"/>
    <w:rsid w:val="00D74F71"/>
    <w:rsid w:val="00D762C2"/>
    <w:rsid w:val="00D770B2"/>
    <w:rsid w:val="00D77E06"/>
    <w:rsid w:val="00D80113"/>
    <w:rsid w:val="00D80DC8"/>
    <w:rsid w:val="00D814E6"/>
    <w:rsid w:val="00D81C35"/>
    <w:rsid w:val="00D81DDF"/>
    <w:rsid w:val="00D824AE"/>
    <w:rsid w:val="00D82986"/>
    <w:rsid w:val="00D82A10"/>
    <w:rsid w:val="00D82BD3"/>
    <w:rsid w:val="00D83408"/>
    <w:rsid w:val="00D83AE7"/>
    <w:rsid w:val="00D84D68"/>
    <w:rsid w:val="00D864F9"/>
    <w:rsid w:val="00D86A15"/>
    <w:rsid w:val="00D86B3D"/>
    <w:rsid w:val="00D86FC5"/>
    <w:rsid w:val="00D87793"/>
    <w:rsid w:val="00D90BFD"/>
    <w:rsid w:val="00D90EA9"/>
    <w:rsid w:val="00D91633"/>
    <w:rsid w:val="00D91DAA"/>
    <w:rsid w:val="00D91F36"/>
    <w:rsid w:val="00D92695"/>
    <w:rsid w:val="00D92CD5"/>
    <w:rsid w:val="00D93F3B"/>
    <w:rsid w:val="00D944FD"/>
    <w:rsid w:val="00D94743"/>
    <w:rsid w:val="00D94783"/>
    <w:rsid w:val="00D949DF"/>
    <w:rsid w:val="00D94B67"/>
    <w:rsid w:val="00D94BA9"/>
    <w:rsid w:val="00D951D8"/>
    <w:rsid w:val="00D9567C"/>
    <w:rsid w:val="00D96534"/>
    <w:rsid w:val="00D96D5A"/>
    <w:rsid w:val="00D96F58"/>
    <w:rsid w:val="00D973E8"/>
    <w:rsid w:val="00DA00E3"/>
    <w:rsid w:val="00DA1383"/>
    <w:rsid w:val="00DA1594"/>
    <w:rsid w:val="00DA1E5D"/>
    <w:rsid w:val="00DA35D6"/>
    <w:rsid w:val="00DA4F09"/>
    <w:rsid w:val="00DA5A48"/>
    <w:rsid w:val="00DA607F"/>
    <w:rsid w:val="00DA6850"/>
    <w:rsid w:val="00DA6C5B"/>
    <w:rsid w:val="00DB1106"/>
    <w:rsid w:val="00DB12CA"/>
    <w:rsid w:val="00DB19C5"/>
    <w:rsid w:val="00DB1B49"/>
    <w:rsid w:val="00DB1D55"/>
    <w:rsid w:val="00DB212F"/>
    <w:rsid w:val="00DB348A"/>
    <w:rsid w:val="00DB514B"/>
    <w:rsid w:val="00DB553B"/>
    <w:rsid w:val="00DB6C5A"/>
    <w:rsid w:val="00DC00AE"/>
    <w:rsid w:val="00DC01A4"/>
    <w:rsid w:val="00DC0951"/>
    <w:rsid w:val="00DC0DE9"/>
    <w:rsid w:val="00DC20F7"/>
    <w:rsid w:val="00DC2820"/>
    <w:rsid w:val="00DC3224"/>
    <w:rsid w:val="00DC445E"/>
    <w:rsid w:val="00DC4B1B"/>
    <w:rsid w:val="00DC5533"/>
    <w:rsid w:val="00DC59F9"/>
    <w:rsid w:val="00DC5DD9"/>
    <w:rsid w:val="00DC7FAB"/>
    <w:rsid w:val="00DD0BE7"/>
    <w:rsid w:val="00DD1477"/>
    <w:rsid w:val="00DD29E9"/>
    <w:rsid w:val="00DD31F3"/>
    <w:rsid w:val="00DD3938"/>
    <w:rsid w:val="00DD5D7C"/>
    <w:rsid w:val="00DD70FB"/>
    <w:rsid w:val="00DD7E98"/>
    <w:rsid w:val="00DD7F36"/>
    <w:rsid w:val="00DD7F4E"/>
    <w:rsid w:val="00DE0589"/>
    <w:rsid w:val="00DE1685"/>
    <w:rsid w:val="00DE1AE0"/>
    <w:rsid w:val="00DE1C0C"/>
    <w:rsid w:val="00DE3984"/>
    <w:rsid w:val="00DE3B4A"/>
    <w:rsid w:val="00DE3C4A"/>
    <w:rsid w:val="00DE4168"/>
    <w:rsid w:val="00DE447F"/>
    <w:rsid w:val="00DE575A"/>
    <w:rsid w:val="00DE5E8E"/>
    <w:rsid w:val="00DE63CA"/>
    <w:rsid w:val="00DE7757"/>
    <w:rsid w:val="00DE7947"/>
    <w:rsid w:val="00DF009A"/>
    <w:rsid w:val="00DF0608"/>
    <w:rsid w:val="00DF0A38"/>
    <w:rsid w:val="00DF0FE3"/>
    <w:rsid w:val="00DF13A8"/>
    <w:rsid w:val="00DF21D0"/>
    <w:rsid w:val="00DF34C1"/>
    <w:rsid w:val="00DF41D1"/>
    <w:rsid w:val="00DF6172"/>
    <w:rsid w:val="00DF77EF"/>
    <w:rsid w:val="00E00223"/>
    <w:rsid w:val="00E00972"/>
    <w:rsid w:val="00E01FC1"/>
    <w:rsid w:val="00E02286"/>
    <w:rsid w:val="00E027B1"/>
    <w:rsid w:val="00E03346"/>
    <w:rsid w:val="00E0354C"/>
    <w:rsid w:val="00E0378F"/>
    <w:rsid w:val="00E038E3"/>
    <w:rsid w:val="00E0471C"/>
    <w:rsid w:val="00E04B57"/>
    <w:rsid w:val="00E04E62"/>
    <w:rsid w:val="00E055FA"/>
    <w:rsid w:val="00E05B99"/>
    <w:rsid w:val="00E05BCE"/>
    <w:rsid w:val="00E0603A"/>
    <w:rsid w:val="00E0693F"/>
    <w:rsid w:val="00E077B7"/>
    <w:rsid w:val="00E10234"/>
    <w:rsid w:val="00E10A13"/>
    <w:rsid w:val="00E11DD7"/>
    <w:rsid w:val="00E11F05"/>
    <w:rsid w:val="00E12809"/>
    <w:rsid w:val="00E12C57"/>
    <w:rsid w:val="00E12EE0"/>
    <w:rsid w:val="00E12F4E"/>
    <w:rsid w:val="00E12FFB"/>
    <w:rsid w:val="00E13798"/>
    <w:rsid w:val="00E138C6"/>
    <w:rsid w:val="00E14358"/>
    <w:rsid w:val="00E14804"/>
    <w:rsid w:val="00E15AE5"/>
    <w:rsid w:val="00E167E6"/>
    <w:rsid w:val="00E170B7"/>
    <w:rsid w:val="00E1723C"/>
    <w:rsid w:val="00E2018D"/>
    <w:rsid w:val="00E205EB"/>
    <w:rsid w:val="00E2089B"/>
    <w:rsid w:val="00E21918"/>
    <w:rsid w:val="00E220A2"/>
    <w:rsid w:val="00E23066"/>
    <w:rsid w:val="00E250CE"/>
    <w:rsid w:val="00E26BCB"/>
    <w:rsid w:val="00E270D3"/>
    <w:rsid w:val="00E27274"/>
    <w:rsid w:val="00E2744B"/>
    <w:rsid w:val="00E27572"/>
    <w:rsid w:val="00E27A76"/>
    <w:rsid w:val="00E27F7E"/>
    <w:rsid w:val="00E3002F"/>
    <w:rsid w:val="00E309D7"/>
    <w:rsid w:val="00E30DEE"/>
    <w:rsid w:val="00E3162B"/>
    <w:rsid w:val="00E317B9"/>
    <w:rsid w:val="00E321AA"/>
    <w:rsid w:val="00E32B95"/>
    <w:rsid w:val="00E3316F"/>
    <w:rsid w:val="00E335E0"/>
    <w:rsid w:val="00E343D4"/>
    <w:rsid w:val="00E358D2"/>
    <w:rsid w:val="00E36E76"/>
    <w:rsid w:val="00E3779D"/>
    <w:rsid w:val="00E40305"/>
    <w:rsid w:val="00E40ADE"/>
    <w:rsid w:val="00E41D67"/>
    <w:rsid w:val="00E43F01"/>
    <w:rsid w:val="00E46189"/>
    <w:rsid w:val="00E46878"/>
    <w:rsid w:val="00E46C28"/>
    <w:rsid w:val="00E47A78"/>
    <w:rsid w:val="00E50805"/>
    <w:rsid w:val="00E50BA5"/>
    <w:rsid w:val="00E50F5B"/>
    <w:rsid w:val="00E5284F"/>
    <w:rsid w:val="00E53108"/>
    <w:rsid w:val="00E53841"/>
    <w:rsid w:val="00E53BBE"/>
    <w:rsid w:val="00E549F2"/>
    <w:rsid w:val="00E54EB6"/>
    <w:rsid w:val="00E5529E"/>
    <w:rsid w:val="00E56791"/>
    <w:rsid w:val="00E56EA4"/>
    <w:rsid w:val="00E57291"/>
    <w:rsid w:val="00E6240F"/>
    <w:rsid w:val="00E657A9"/>
    <w:rsid w:val="00E66DCA"/>
    <w:rsid w:val="00E67056"/>
    <w:rsid w:val="00E677DE"/>
    <w:rsid w:val="00E67E7C"/>
    <w:rsid w:val="00E721AF"/>
    <w:rsid w:val="00E72DE0"/>
    <w:rsid w:val="00E7492C"/>
    <w:rsid w:val="00E74E55"/>
    <w:rsid w:val="00E76C73"/>
    <w:rsid w:val="00E76FAB"/>
    <w:rsid w:val="00E77874"/>
    <w:rsid w:val="00E81429"/>
    <w:rsid w:val="00E81824"/>
    <w:rsid w:val="00E8357C"/>
    <w:rsid w:val="00E83B42"/>
    <w:rsid w:val="00E87438"/>
    <w:rsid w:val="00E901AF"/>
    <w:rsid w:val="00E90BF4"/>
    <w:rsid w:val="00E91008"/>
    <w:rsid w:val="00E9129B"/>
    <w:rsid w:val="00E91741"/>
    <w:rsid w:val="00E91833"/>
    <w:rsid w:val="00E93732"/>
    <w:rsid w:val="00E96931"/>
    <w:rsid w:val="00E97C36"/>
    <w:rsid w:val="00EA0079"/>
    <w:rsid w:val="00EA0837"/>
    <w:rsid w:val="00EA16CA"/>
    <w:rsid w:val="00EA3740"/>
    <w:rsid w:val="00EA4173"/>
    <w:rsid w:val="00EA4174"/>
    <w:rsid w:val="00EA423E"/>
    <w:rsid w:val="00EA4A3B"/>
    <w:rsid w:val="00EA4D8E"/>
    <w:rsid w:val="00EA4F5A"/>
    <w:rsid w:val="00EA5DE9"/>
    <w:rsid w:val="00EA62D3"/>
    <w:rsid w:val="00EA6D15"/>
    <w:rsid w:val="00EA7E5E"/>
    <w:rsid w:val="00EA7F23"/>
    <w:rsid w:val="00EB048C"/>
    <w:rsid w:val="00EB081A"/>
    <w:rsid w:val="00EB098C"/>
    <w:rsid w:val="00EB216C"/>
    <w:rsid w:val="00EB2255"/>
    <w:rsid w:val="00EB2A81"/>
    <w:rsid w:val="00EB3BB1"/>
    <w:rsid w:val="00EB4C23"/>
    <w:rsid w:val="00EB50A0"/>
    <w:rsid w:val="00EB52FE"/>
    <w:rsid w:val="00EB568A"/>
    <w:rsid w:val="00EB57A3"/>
    <w:rsid w:val="00EB5E88"/>
    <w:rsid w:val="00EB6CAF"/>
    <w:rsid w:val="00EB7BDE"/>
    <w:rsid w:val="00EC106E"/>
    <w:rsid w:val="00EC38E4"/>
    <w:rsid w:val="00EC4B5F"/>
    <w:rsid w:val="00EC6320"/>
    <w:rsid w:val="00EC6340"/>
    <w:rsid w:val="00EC6FC1"/>
    <w:rsid w:val="00ED00B0"/>
    <w:rsid w:val="00ED01F1"/>
    <w:rsid w:val="00ED0E81"/>
    <w:rsid w:val="00ED1385"/>
    <w:rsid w:val="00ED15C2"/>
    <w:rsid w:val="00ED347F"/>
    <w:rsid w:val="00ED37A2"/>
    <w:rsid w:val="00ED4BB5"/>
    <w:rsid w:val="00ED5E40"/>
    <w:rsid w:val="00ED6E15"/>
    <w:rsid w:val="00EE04E7"/>
    <w:rsid w:val="00EE083D"/>
    <w:rsid w:val="00EE0DB2"/>
    <w:rsid w:val="00EE0E9A"/>
    <w:rsid w:val="00EE12A7"/>
    <w:rsid w:val="00EE2409"/>
    <w:rsid w:val="00EE3042"/>
    <w:rsid w:val="00EE30FD"/>
    <w:rsid w:val="00EE3C5A"/>
    <w:rsid w:val="00EE4547"/>
    <w:rsid w:val="00EE45A6"/>
    <w:rsid w:val="00EE4D72"/>
    <w:rsid w:val="00EE5292"/>
    <w:rsid w:val="00EE658F"/>
    <w:rsid w:val="00EE6649"/>
    <w:rsid w:val="00EE6B18"/>
    <w:rsid w:val="00EE7D3F"/>
    <w:rsid w:val="00EF020B"/>
    <w:rsid w:val="00EF2B60"/>
    <w:rsid w:val="00EF2C79"/>
    <w:rsid w:val="00EF3241"/>
    <w:rsid w:val="00EF41CD"/>
    <w:rsid w:val="00EF524B"/>
    <w:rsid w:val="00EF58D8"/>
    <w:rsid w:val="00EF6212"/>
    <w:rsid w:val="00F00459"/>
    <w:rsid w:val="00F00FDE"/>
    <w:rsid w:val="00F01D75"/>
    <w:rsid w:val="00F0213D"/>
    <w:rsid w:val="00F02801"/>
    <w:rsid w:val="00F03DA1"/>
    <w:rsid w:val="00F03DBB"/>
    <w:rsid w:val="00F03FDB"/>
    <w:rsid w:val="00F047CB"/>
    <w:rsid w:val="00F04852"/>
    <w:rsid w:val="00F06211"/>
    <w:rsid w:val="00F067DC"/>
    <w:rsid w:val="00F0684A"/>
    <w:rsid w:val="00F07CF1"/>
    <w:rsid w:val="00F1131D"/>
    <w:rsid w:val="00F114C3"/>
    <w:rsid w:val="00F11816"/>
    <w:rsid w:val="00F119F0"/>
    <w:rsid w:val="00F11B52"/>
    <w:rsid w:val="00F11C0B"/>
    <w:rsid w:val="00F12294"/>
    <w:rsid w:val="00F1230D"/>
    <w:rsid w:val="00F12B23"/>
    <w:rsid w:val="00F1368B"/>
    <w:rsid w:val="00F13E32"/>
    <w:rsid w:val="00F140F9"/>
    <w:rsid w:val="00F142D0"/>
    <w:rsid w:val="00F16057"/>
    <w:rsid w:val="00F20BD8"/>
    <w:rsid w:val="00F20EBB"/>
    <w:rsid w:val="00F2229D"/>
    <w:rsid w:val="00F22B38"/>
    <w:rsid w:val="00F22C95"/>
    <w:rsid w:val="00F23538"/>
    <w:rsid w:val="00F2356D"/>
    <w:rsid w:val="00F24631"/>
    <w:rsid w:val="00F2494C"/>
    <w:rsid w:val="00F2504F"/>
    <w:rsid w:val="00F2553B"/>
    <w:rsid w:val="00F25B9A"/>
    <w:rsid w:val="00F268B5"/>
    <w:rsid w:val="00F30756"/>
    <w:rsid w:val="00F308C8"/>
    <w:rsid w:val="00F30D7F"/>
    <w:rsid w:val="00F313AE"/>
    <w:rsid w:val="00F314F5"/>
    <w:rsid w:val="00F32AFF"/>
    <w:rsid w:val="00F32B41"/>
    <w:rsid w:val="00F340BA"/>
    <w:rsid w:val="00F34506"/>
    <w:rsid w:val="00F34FA4"/>
    <w:rsid w:val="00F3514E"/>
    <w:rsid w:val="00F3577A"/>
    <w:rsid w:val="00F36A56"/>
    <w:rsid w:val="00F3702E"/>
    <w:rsid w:val="00F379A8"/>
    <w:rsid w:val="00F404B0"/>
    <w:rsid w:val="00F40C61"/>
    <w:rsid w:val="00F413CE"/>
    <w:rsid w:val="00F42536"/>
    <w:rsid w:val="00F42F16"/>
    <w:rsid w:val="00F43906"/>
    <w:rsid w:val="00F44AFB"/>
    <w:rsid w:val="00F46AFB"/>
    <w:rsid w:val="00F46BF5"/>
    <w:rsid w:val="00F47170"/>
    <w:rsid w:val="00F47BD3"/>
    <w:rsid w:val="00F47FF3"/>
    <w:rsid w:val="00F50B37"/>
    <w:rsid w:val="00F514E1"/>
    <w:rsid w:val="00F521FE"/>
    <w:rsid w:val="00F52D85"/>
    <w:rsid w:val="00F52E56"/>
    <w:rsid w:val="00F535ED"/>
    <w:rsid w:val="00F5471B"/>
    <w:rsid w:val="00F55B59"/>
    <w:rsid w:val="00F56BEB"/>
    <w:rsid w:val="00F607EE"/>
    <w:rsid w:val="00F6155F"/>
    <w:rsid w:val="00F6171E"/>
    <w:rsid w:val="00F62F4B"/>
    <w:rsid w:val="00F64120"/>
    <w:rsid w:val="00F646CD"/>
    <w:rsid w:val="00F65293"/>
    <w:rsid w:val="00F65969"/>
    <w:rsid w:val="00F65E52"/>
    <w:rsid w:val="00F65E5D"/>
    <w:rsid w:val="00F66C8C"/>
    <w:rsid w:val="00F67E4C"/>
    <w:rsid w:val="00F70F31"/>
    <w:rsid w:val="00F71CB3"/>
    <w:rsid w:val="00F72A6B"/>
    <w:rsid w:val="00F73DC1"/>
    <w:rsid w:val="00F744C3"/>
    <w:rsid w:val="00F75043"/>
    <w:rsid w:val="00F7554E"/>
    <w:rsid w:val="00F76CF7"/>
    <w:rsid w:val="00F77502"/>
    <w:rsid w:val="00F77CE9"/>
    <w:rsid w:val="00F8029A"/>
    <w:rsid w:val="00F80A42"/>
    <w:rsid w:val="00F829DA"/>
    <w:rsid w:val="00F8432A"/>
    <w:rsid w:val="00F8705E"/>
    <w:rsid w:val="00F870DE"/>
    <w:rsid w:val="00F87698"/>
    <w:rsid w:val="00F87ED6"/>
    <w:rsid w:val="00F901E3"/>
    <w:rsid w:val="00F90409"/>
    <w:rsid w:val="00F90FEF"/>
    <w:rsid w:val="00F9180A"/>
    <w:rsid w:val="00F91BEA"/>
    <w:rsid w:val="00F92254"/>
    <w:rsid w:val="00F926D1"/>
    <w:rsid w:val="00F92DC1"/>
    <w:rsid w:val="00F92FE3"/>
    <w:rsid w:val="00F9311F"/>
    <w:rsid w:val="00F939CC"/>
    <w:rsid w:val="00F93B4A"/>
    <w:rsid w:val="00F93FE7"/>
    <w:rsid w:val="00F94E21"/>
    <w:rsid w:val="00F94F2E"/>
    <w:rsid w:val="00F951FA"/>
    <w:rsid w:val="00F95FB8"/>
    <w:rsid w:val="00F96DDE"/>
    <w:rsid w:val="00F96EE0"/>
    <w:rsid w:val="00F9763C"/>
    <w:rsid w:val="00F978E1"/>
    <w:rsid w:val="00F97E99"/>
    <w:rsid w:val="00FA0323"/>
    <w:rsid w:val="00FA2663"/>
    <w:rsid w:val="00FA296C"/>
    <w:rsid w:val="00FA5231"/>
    <w:rsid w:val="00FA62B3"/>
    <w:rsid w:val="00FA6956"/>
    <w:rsid w:val="00FA6BD5"/>
    <w:rsid w:val="00FA6F1D"/>
    <w:rsid w:val="00FA744D"/>
    <w:rsid w:val="00FA75FA"/>
    <w:rsid w:val="00FA783C"/>
    <w:rsid w:val="00FB0A48"/>
    <w:rsid w:val="00FB0EF2"/>
    <w:rsid w:val="00FB0F14"/>
    <w:rsid w:val="00FB1367"/>
    <w:rsid w:val="00FB1DA9"/>
    <w:rsid w:val="00FB2648"/>
    <w:rsid w:val="00FB301D"/>
    <w:rsid w:val="00FB3070"/>
    <w:rsid w:val="00FB3B5A"/>
    <w:rsid w:val="00FB4797"/>
    <w:rsid w:val="00FB5D10"/>
    <w:rsid w:val="00FC0A33"/>
    <w:rsid w:val="00FC10A2"/>
    <w:rsid w:val="00FC11B6"/>
    <w:rsid w:val="00FC149D"/>
    <w:rsid w:val="00FC1512"/>
    <w:rsid w:val="00FC1B41"/>
    <w:rsid w:val="00FC2CE7"/>
    <w:rsid w:val="00FC2E4B"/>
    <w:rsid w:val="00FC35E0"/>
    <w:rsid w:val="00FC4D11"/>
    <w:rsid w:val="00FC5175"/>
    <w:rsid w:val="00FC6B5B"/>
    <w:rsid w:val="00FC6C0B"/>
    <w:rsid w:val="00FC778C"/>
    <w:rsid w:val="00FC7EC0"/>
    <w:rsid w:val="00FD067E"/>
    <w:rsid w:val="00FD0A22"/>
    <w:rsid w:val="00FD0CA5"/>
    <w:rsid w:val="00FD15E8"/>
    <w:rsid w:val="00FD32D1"/>
    <w:rsid w:val="00FD3AAE"/>
    <w:rsid w:val="00FD3D4B"/>
    <w:rsid w:val="00FD3E67"/>
    <w:rsid w:val="00FD3F95"/>
    <w:rsid w:val="00FD4271"/>
    <w:rsid w:val="00FE1FB9"/>
    <w:rsid w:val="00FE2588"/>
    <w:rsid w:val="00FE28E3"/>
    <w:rsid w:val="00FE31DC"/>
    <w:rsid w:val="00FE50EC"/>
    <w:rsid w:val="00FE5CC4"/>
    <w:rsid w:val="00FE6451"/>
    <w:rsid w:val="00FE745F"/>
    <w:rsid w:val="00FE761A"/>
    <w:rsid w:val="00FE7AF1"/>
    <w:rsid w:val="00FE7B7D"/>
    <w:rsid w:val="00FF08E1"/>
    <w:rsid w:val="00FF092B"/>
    <w:rsid w:val="00FF2D97"/>
    <w:rsid w:val="00FF2F42"/>
    <w:rsid w:val="00FF4B7F"/>
    <w:rsid w:val="00FF524C"/>
    <w:rsid w:val="00FF63B2"/>
    <w:rsid w:val="00FF64A6"/>
    <w:rsid w:val="00FF6974"/>
    <w:rsid w:val="00FF7073"/>
    <w:rsid w:val="00FF749B"/>
    <w:rsid w:val="00FF75CC"/>
  </w:rsids>
  <w:docVars>
    <w:docVar w:name="sivug" w:val="0"/>
  </w:docVars>
  <m:mathPr>
    <m:mathFont m:val="Cambria Math"/>
    <m:smallFrac/>
  </m:mathPr>
  <w:themeFontLang w:val="en-US" w:bidi="he-IL"/>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en-US" w:eastAsia="en-US" w:bidi="he-IL"/>
      </w:rPr>
    </w:rPrDefault>
    <w:pPrDefault>
      <w:pPr>
        <w:spacing w:after="12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0F41"/>
    <w:pPr>
      <w:bidi/>
    </w:pPr>
  </w:style>
  <w:style w:type="paragraph" w:styleId="Heading1">
    <w:name w:val="heading 1"/>
    <w:basedOn w:val="Normal"/>
    <w:next w:val="Normal"/>
    <w:link w:val="Heading1Char"/>
    <w:uiPriority w:val="1"/>
    <w:qFormat/>
    <w:rsid w:val="007B7880"/>
    <w:pPr>
      <w:keepNext/>
      <w:keepLines/>
      <w:pBdr>
        <w:bottom w:val="single" w:sz="4" w:space="2" w:color="009DD9" w:themeColor="accent2"/>
      </w:pBdr>
      <w:spacing w:before="240" w:after="180" w:line="240" w:lineRule="auto"/>
      <w:ind w:left="431" w:hanging="431"/>
      <w:outlineLvl w:val="0"/>
    </w:pPr>
    <w:rPr>
      <w:rFonts w:ascii="Arial" w:hAnsi="Arial" w:eastAsiaTheme="majorEastAsia" w:cs="Arial"/>
      <w:b/>
      <w:bCs/>
      <w:color w:val="0B5294" w:themeColor="accent1" w:themeShade="BF"/>
      <w:sz w:val="36"/>
      <w:szCs w:val="36"/>
    </w:rPr>
  </w:style>
  <w:style w:type="paragraph" w:styleId="Heading2">
    <w:name w:val="heading 2"/>
    <w:basedOn w:val="Normal"/>
    <w:next w:val="Normal"/>
    <w:link w:val="Heading2Char"/>
    <w:uiPriority w:val="1"/>
    <w:unhideWhenUsed/>
    <w:qFormat/>
    <w:rsid w:val="00AC4547"/>
    <w:pPr>
      <w:keepNext/>
      <w:keepLines/>
      <w:spacing w:after="60" w:line="240" w:lineRule="auto"/>
      <w:ind w:left="510" w:hanging="567"/>
      <w:jc w:val="both"/>
      <w:outlineLvl w:val="1"/>
    </w:pPr>
    <w:rPr>
      <w:rFonts w:ascii="Arial Bold" w:hAnsi="Arial Bold" w:eastAsiaTheme="majorEastAsia" w:cs="Arial"/>
      <w:b/>
      <w:bCs/>
      <w:color w:val="387026" w:themeColor="accent5" w:themeShade="80"/>
      <w:sz w:val="29"/>
      <w:szCs w:val="30"/>
    </w:rPr>
  </w:style>
  <w:style w:type="paragraph" w:styleId="Heading3">
    <w:name w:val="heading 3"/>
    <w:basedOn w:val="Normal"/>
    <w:next w:val="Normal"/>
    <w:link w:val="Heading3Char"/>
    <w:uiPriority w:val="1"/>
    <w:unhideWhenUsed/>
    <w:qFormat/>
    <w:rsid w:val="00C43CDD"/>
    <w:pPr>
      <w:keepNext/>
      <w:keepLines/>
      <w:numPr>
        <w:ilvl w:val="2"/>
        <w:numId w:val="1"/>
      </w:numPr>
      <w:spacing w:before="40" w:after="40" w:line="240" w:lineRule="auto"/>
      <w:outlineLvl w:val="2"/>
    </w:pPr>
    <w:rPr>
      <w:rFonts w:asciiTheme="majorHAnsi" w:eastAsiaTheme="majorEastAsia" w:hAnsiTheme="majorHAnsi" w:cs="Arial"/>
      <w:b/>
      <w:bCs/>
      <w:color w:val="660066"/>
      <w:sz w:val="24"/>
      <w:szCs w:val="26"/>
    </w:rPr>
  </w:style>
  <w:style w:type="paragraph" w:styleId="Heading4">
    <w:name w:val="heading 4"/>
    <w:basedOn w:val="Normal"/>
    <w:next w:val="Normal"/>
    <w:link w:val="Heading4Char"/>
    <w:uiPriority w:val="1"/>
    <w:unhideWhenUsed/>
    <w:qFormat/>
    <w:rsid w:val="005C0F41"/>
    <w:pPr>
      <w:keepNext/>
      <w:keepLines/>
      <w:numPr>
        <w:ilvl w:val="3"/>
        <w:numId w:val="1"/>
      </w:numPr>
      <w:spacing w:before="80" w:after="0" w:line="240" w:lineRule="auto"/>
      <w:outlineLvl w:val="3"/>
    </w:pPr>
    <w:rPr>
      <w:rFonts w:asciiTheme="majorHAnsi" w:eastAsiaTheme="majorEastAsia" w:hAnsiTheme="majorHAnsi" w:cstheme="majorBidi"/>
      <w:i/>
      <w:iCs/>
      <w:color w:val="004E6C" w:themeColor="accent2" w:themeShade="80"/>
      <w:sz w:val="28"/>
      <w:szCs w:val="28"/>
    </w:rPr>
  </w:style>
  <w:style w:type="paragraph" w:styleId="Heading5">
    <w:name w:val="heading 5"/>
    <w:basedOn w:val="Normal"/>
    <w:next w:val="Normal"/>
    <w:link w:val="Heading5Char"/>
    <w:uiPriority w:val="1"/>
    <w:unhideWhenUsed/>
    <w:qFormat/>
    <w:rsid w:val="005C0F41"/>
    <w:pPr>
      <w:keepNext/>
      <w:keepLines/>
      <w:numPr>
        <w:ilvl w:val="4"/>
        <w:numId w:val="1"/>
      </w:numPr>
      <w:bidi w:val="0"/>
      <w:spacing w:before="80" w:after="0" w:line="240" w:lineRule="auto"/>
      <w:outlineLvl w:val="4"/>
    </w:pPr>
    <w:rPr>
      <w:rFonts w:asciiTheme="majorHAnsi" w:eastAsiaTheme="majorEastAsia" w:hAnsiTheme="majorHAnsi" w:cstheme="majorBidi"/>
      <w:color w:val="0075A2" w:themeColor="accent2" w:themeShade="BF"/>
      <w:sz w:val="24"/>
      <w:szCs w:val="24"/>
    </w:rPr>
  </w:style>
  <w:style w:type="paragraph" w:styleId="Heading6">
    <w:name w:val="heading 6"/>
    <w:basedOn w:val="Normal"/>
    <w:next w:val="Normal"/>
    <w:link w:val="Heading6Char"/>
    <w:uiPriority w:val="1"/>
    <w:unhideWhenUsed/>
    <w:qFormat/>
    <w:rsid w:val="005C0F41"/>
    <w:pPr>
      <w:keepNext/>
      <w:keepLines/>
      <w:numPr>
        <w:ilvl w:val="5"/>
        <w:numId w:val="1"/>
      </w:numPr>
      <w:bidi w:val="0"/>
      <w:spacing w:before="80" w:after="0" w:line="240" w:lineRule="auto"/>
      <w:outlineLvl w:val="5"/>
    </w:pPr>
    <w:rPr>
      <w:rFonts w:asciiTheme="majorHAnsi" w:eastAsiaTheme="majorEastAsia" w:hAnsiTheme="majorHAnsi" w:cstheme="majorBidi"/>
      <w:i/>
      <w:iCs/>
      <w:color w:val="004E6C" w:themeColor="accent2" w:themeShade="80"/>
      <w:sz w:val="24"/>
      <w:szCs w:val="24"/>
    </w:rPr>
  </w:style>
  <w:style w:type="paragraph" w:styleId="Heading7">
    <w:name w:val="heading 7"/>
    <w:basedOn w:val="Normal"/>
    <w:next w:val="Normal"/>
    <w:link w:val="Heading7Char"/>
    <w:uiPriority w:val="1"/>
    <w:unhideWhenUsed/>
    <w:qFormat/>
    <w:rsid w:val="005C0F41"/>
    <w:pPr>
      <w:keepNext/>
      <w:keepLines/>
      <w:numPr>
        <w:ilvl w:val="6"/>
        <w:numId w:val="1"/>
      </w:numPr>
      <w:bidi w:val="0"/>
      <w:spacing w:before="80" w:after="0" w:line="240" w:lineRule="auto"/>
      <w:outlineLvl w:val="6"/>
    </w:pPr>
    <w:rPr>
      <w:rFonts w:asciiTheme="majorHAnsi" w:eastAsiaTheme="majorEastAsia" w:hAnsiTheme="majorHAnsi" w:cstheme="majorBidi"/>
      <w:b/>
      <w:bCs/>
      <w:color w:val="004E6C" w:themeColor="accent2" w:themeShade="80"/>
      <w:sz w:val="22"/>
      <w:szCs w:val="22"/>
    </w:rPr>
  </w:style>
  <w:style w:type="paragraph" w:styleId="Heading8">
    <w:name w:val="heading 8"/>
    <w:basedOn w:val="Normal"/>
    <w:next w:val="Normal"/>
    <w:link w:val="Heading8Char"/>
    <w:uiPriority w:val="1"/>
    <w:unhideWhenUsed/>
    <w:qFormat/>
    <w:rsid w:val="005C0F41"/>
    <w:pPr>
      <w:keepNext/>
      <w:keepLines/>
      <w:numPr>
        <w:ilvl w:val="7"/>
        <w:numId w:val="1"/>
      </w:numPr>
      <w:bidi w:val="0"/>
      <w:spacing w:before="80" w:after="0" w:line="240" w:lineRule="auto"/>
      <w:outlineLvl w:val="7"/>
    </w:pPr>
    <w:rPr>
      <w:rFonts w:asciiTheme="majorHAnsi" w:eastAsiaTheme="majorEastAsia" w:hAnsiTheme="majorHAnsi" w:cstheme="majorBidi"/>
      <w:color w:val="004E6C" w:themeColor="accent2" w:themeShade="80"/>
      <w:sz w:val="22"/>
      <w:szCs w:val="22"/>
    </w:rPr>
  </w:style>
  <w:style w:type="paragraph" w:styleId="Heading9">
    <w:name w:val="heading 9"/>
    <w:basedOn w:val="Normal"/>
    <w:next w:val="Normal"/>
    <w:link w:val="Heading9Char"/>
    <w:uiPriority w:val="9"/>
    <w:unhideWhenUsed/>
    <w:qFormat/>
    <w:rsid w:val="005C0F41"/>
    <w:pPr>
      <w:keepNext/>
      <w:keepLines/>
      <w:numPr>
        <w:ilvl w:val="8"/>
        <w:numId w:val="1"/>
      </w:numPr>
      <w:bidi w:val="0"/>
      <w:spacing w:before="80" w:after="0" w:line="240" w:lineRule="auto"/>
      <w:outlineLvl w:val="8"/>
    </w:pPr>
    <w:rPr>
      <w:rFonts w:asciiTheme="majorHAnsi" w:eastAsiaTheme="majorEastAsia" w:hAnsiTheme="majorHAnsi" w:cstheme="majorBidi"/>
      <w:i/>
      <w:iCs/>
      <w:color w:val="004E6C"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7B7880"/>
    <w:rPr>
      <w:rFonts w:ascii="Arial" w:hAnsi="Arial" w:eastAsiaTheme="majorEastAsia" w:cs="Arial"/>
      <w:b/>
      <w:bCs/>
      <w:color w:val="0B5294" w:themeColor="accent1" w:themeShade="BF"/>
      <w:sz w:val="36"/>
      <w:szCs w:val="36"/>
    </w:rPr>
  </w:style>
  <w:style w:type="character" w:customStyle="1" w:styleId="Heading2Char">
    <w:name w:val="Heading 2 Char"/>
    <w:basedOn w:val="DefaultParagraphFont"/>
    <w:link w:val="Heading2"/>
    <w:uiPriority w:val="1"/>
    <w:rsid w:val="00AC4547"/>
    <w:rPr>
      <w:rFonts w:ascii="Arial Bold" w:hAnsi="Arial Bold" w:eastAsiaTheme="majorEastAsia" w:cs="Arial"/>
      <w:b/>
      <w:bCs/>
      <w:color w:val="387026" w:themeColor="accent5" w:themeShade="80"/>
      <w:sz w:val="29"/>
      <w:szCs w:val="30"/>
    </w:rPr>
  </w:style>
  <w:style w:type="character" w:customStyle="1" w:styleId="Heading3Char">
    <w:name w:val="Heading 3 Char"/>
    <w:basedOn w:val="DefaultParagraphFont"/>
    <w:link w:val="Heading3"/>
    <w:uiPriority w:val="1"/>
    <w:rsid w:val="00C43CDD"/>
    <w:rPr>
      <w:rFonts w:asciiTheme="majorHAnsi" w:eastAsiaTheme="majorEastAsia" w:hAnsiTheme="majorHAnsi" w:cs="Arial"/>
      <w:b/>
      <w:bCs/>
      <w:color w:val="660066"/>
      <w:sz w:val="24"/>
      <w:szCs w:val="26"/>
    </w:rPr>
  </w:style>
  <w:style w:type="character" w:customStyle="1" w:styleId="Heading4Char">
    <w:name w:val="Heading 4 Char"/>
    <w:basedOn w:val="DefaultParagraphFont"/>
    <w:link w:val="Heading4"/>
    <w:uiPriority w:val="1"/>
    <w:rsid w:val="005C0F41"/>
    <w:rPr>
      <w:rFonts w:asciiTheme="majorHAnsi" w:eastAsiaTheme="majorEastAsia" w:hAnsiTheme="majorHAnsi" w:cstheme="majorBidi"/>
      <w:i/>
      <w:iCs/>
      <w:color w:val="004E6C" w:themeColor="accent2" w:themeShade="80"/>
      <w:sz w:val="28"/>
      <w:szCs w:val="28"/>
    </w:rPr>
  </w:style>
  <w:style w:type="character" w:customStyle="1" w:styleId="Heading5Char">
    <w:name w:val="Heading 5 Char"/>
    <w:basedOn w:val="DefaultParagraphFont"/>
    <w:link w:val="Heading5"/>
    <w:uiPriority w:val="1"/>
    <w:rsid w:val="005C0F41"/>
    <w:rPr>
      <w:rFonts w:asciiTheme="majorHAnsi" w:eastAsiaTheme="majorEastAsia" w:hAnsiTheme="majorHAnsi" w:cstheme="majorBidi"/>
      <w:color w:val="0075A2" w:themeColor="accent2" w:themeShade="BF"/>
      <w:sz w:val="24"/>
      <w:szCs w:val="24"/>
    </w:rPr>
  </w:style>
  <w:style w:type="character" w:customStyle="1" w:styleId="Heading6Char">
    <w:name w:val="Heading 6 Char"/>
    <w:basedOn w:val="DefaultParagraphFont"/>
    <w:link w:val="Heading6"/>
    <w:uiPriority w:val="1"/>
    <w:rsid w:val="005C0F41"/>
    <w:rPr>
      <w:rFonts w:asciiTheme="majorHAnsi" w:eastAsiaTheme="majorEastAsia" w:hAnsiTheme="majorHAnsi" w:cstheme="majorBidi"/>
      <w:i/>
      <w:iCs/>
      <w:color w:val="004E6C" w:themeColor="accent2" w:themeShade="80"/>
      <w:sz w:val="24"/>
      <w:szCs w:val="24"/>
    </w:rPr>
  </w:style>
  <w:style w:type="character" w:customStyle="1" w:styleId="Heading7Char">
    <w:name w:val="Heading 7 Char"/>
    <w:basedOn w:val="DefaultParagraphFont"/>
    <w:link w:val="Heading7"/>
    <w:uiPriority w:val="1"/>
    <w:rsid w:val="005C0F41"/>
    <w:rPr>
      <w:rFonts w:asciiTheme="majorHAnsi" w:eastAsiaTheme="majorEastAsia" w:hAnsiTheme="majorHAnsi" w:cstheme="majorBidi"/>
      <w:b/>
      <w:bCs/>
      <w:color w:val="004E6C" w:themeColor="accent2" w:themeShade="80"/>
      <w:sz w:val="22"/>
      <w:szCs w:val="22"/>
    </w:rPr>
  </w:style>
  <w:style w:type="character" w:customStyle="1" w:styleId="Heading8Char">
    <w:name w:val="Heading 8 Char"/>
    <w:basedOn w:val="DefaultParagraphFont"/>
    <w:link w:val="Heading8"/>
    <w:uiPriority w:val="1"/>
    <w:rsid w:val="005C0F41"/>
    <w:rPr>
      <w:rFonts w:asciiTheme="majorHAnsi" w:eastAsiaTheme="majorEastAsia" w:hAnsiTheme="majorHAnsi" w:cstheme="majorBidi"/>
      <w:color w:val="004E6C" w:themeColor="accent2" w:themeShade="80"/>
      <w:sz w:val="22"/>
      <w:szCs w:val="22"/>
    </w:rPr>
  </w:style>
  <w:style w:type="character" w:customStyle="1" w:styleId="Heading9Char">
    <w:name w:val="Heading 9 Char"/>
    <w:basedOn w:val="DefaultParagraphFont"/>
    <w:link w:val="Heading9"/>
    <w:uiPriority w:val="9"/>
    <w:rsid w:val="005C0F41"/>
    <w:rPr>
      <w:rFonts w:asciiTheme="majorHAnsi" w:eastAsiaTheme="majorEastAsia" w:hAnsiTheme="majorHAnsi" w:cstheme="majorBidi"/>
      <w:i/>
      <w:iCs/>
      <w:color w:val="004E6C" w:themeColor="accent2" w:themeShade="80"/>
      <w:sz w:val="22"/>
      <w:szCs w:val="22"/>
    </w:rPr>
  </w:style>
  <w:style w:type="paragraph" w:styleId="TableofFigures">
    <w:name w:val="table of figures"/>
    <w:basedOn w:val="Normal"/>
    <w:next w:val="Normal"/>
    <w:uiPriority w:val="99"/>
    <w:unhideWhenUsed/>
    <w:rsid w:val="0027002F"/>
    <w:rPr>
      <w:lang w:eastAsia="ja-JP"/>
    </w:rPr>
  </w:style>
  <w:style w:type="paragraph" w:styleId="ListParagraph">
    <w:name w:val="List Paragraph"/>
    <w:basedOn w:val="Normal"/>
    <w:link w:val="ListParagraphChar"/>
    <w:uiPriority w:val="34"/>
    <w:qFormat/>
    <w:rsid w:val="004F49B8"/>
    <w:pPr>
      <w:numPr>
        <w:numId w:val="3"/>
      </w:numPr>
      <w:autoSpaceDE w:val="0"/>
      <w:autoSpaceDN w:val="0"/>
      <w:adjustRightInd w:val="0"/>
      <w:spacing w:line="320" w:lineRule="exact"/>
      <w:jc w:val="both"/>
    </w:pPr>
    <w:rPr>
      <w:rFonts w:ascii="Tahoma" w:hAnsi="Tahoma" w:cs="Tahoma"/>
      <w:sz w:val="20"/>
    </w:rPr>
  </w:style>
  <w:style w:type="character" w:customStyle="1" w:styleId="ListParagraphChar">
    <w:name w:val="List Paragraph Char"/>
    <w:link w:val="ListParagraph"/>
    <w:uiPriority w:val="34"/>
    <w:rsid w:val="004F49B8"/>
    <w:rPr>
      <w:rFonts w:ascii="Tahoma" w:hAnsi="Tahoma" w:cs="Tahoma"/>
      <w:sz w:val="20"/>
    </w:rPr>
  </w:style>
  <w:style w:type="character" w:customStyle="1" w:styleId="Heading1Char1">
    <w:name w:val="Heading 1 Char1"/>
    <w:rsid w:val="00AC4E14"/>
    <w:rPr>
      <w:rFonts w:ascii="Gisha" w:eastAsia="Times New Roman" w:hAnsi="Gisha" w:cs="Gisha"/>
      <w:b/>
      <w:bCs/>
      <w:color w:val="000000"/>
      <w:kern w:val="32"/>
      <w:sz w:val="40"/>
      <w:szCs w:val="40"/>
    </w:rPr>
  </w:style>
  <w:style w:type="paragraph" w:styleId="Header">
    <w:name w:val="header"/>
    <w:basedOn w:val="Normal"/>
    <w:link w:val="HeaderChar"/>
    <w:uiPriority w:val="99"/>
    <w:unhideWhenUsed/>
    <w:rsid w:val="00CB3322"/>
    <w:pPr>
      <w:tabs>
        <w:tab w:val="center" w:pos="4320"/>
        <w:tab w:val="right" w:pos="8640"/>
      </w:tabs>
      <w:spacing w:after="0" w:line="240" w:lineRule="auto"/>
    </w:pPr>
  </w:style>
  <w:style w:type="character" w:customStyle="1" w:styleId="HeaderChar">
    <w:name w:val="Header Char"/>
    <w:basedOn w:val="DefaultParagraphFont"/>
    <w:link w:val="Header"/>
    <w:uiPriority w:val="99"/>
    <w:rsid w:val="00CB3322"/>
    <w:rPr>
      <w:rFonts w:cs="David"/>
      <w:sz w:val="24"/>
      <w:szCs w:val="24"/>
    </w:rPr>
  </w:style>
  <w:style w:type="paragraph" w:styleId="Footer">
    <w:name w:val="footer"/>
    <w:basedOn w:val="Normal"/>
    <w:link w:val="FooterChar"/>
    <w:uiPriority w:val="99"/>
    <w:unhideWhenUsed/>
    <w:rsid w:val="00CB3322"/>
    <w:pPr>
      <w:tabs>
        <w:tab w:val="center" w:pos="4320"/>
        <w:tab w:val="right" w:pos="8640"/>
      </w:tabs>
      <w:spacing w:after="0" w:line="240" w:lineRule="auto"/>
    </w:pPr>
  </w:style>
  <w:style w:type="character" w:customStyle="1" w:styleId="FooterChar">
    <w:name w:val="Footer Char"/>
    <w:basedOn w:val="DefaultParagraphFont"/>
    <w:link w:val="Footer"/>
    <w:uiPriority w:val="99"/>
    <w:rsid w:val="00CB3322"/>
    <w:rPr>
      <w:rFonts w:cs="David"/>
      <w:sz w:val="24"/>
      <w:szCs w:val="24"/>
    </w:rPr>
  </w:style>
  <w:style w:type="character" w:styleId="CommentReference">
    <w:name w:val="annotation reference"/>
    <w:basedOn w:val="DefaultParagraphFont"/>
    <w:uiPriority w:val="99"/>
    <w:semiHidden/>
    <w:unhideWhenUsed/>
    <w:rsid w:val="00702D9F"/>
    <w:rPr>
      <w:sz w:val="16"/>
      <w:szCs w:val="16"/>
    </w:rPr>
  </w:style>
  <w:style w:type="paragraph" w:styleId="CommentText">
    <w:name w:val="annotation text"/>
    <w:basedOn w:val="Normal"/>
    <w:link w:val="CommentTextChar"/>
    <w:uiPriority w:val="99"/>
    <w:unhideWhenUsed/>
    <w:rsid w:val="00702D9F"/>
    <w:pPr>
      <w:spacing w:line="240" w:lineRule="auto"/>
    </w:pPr>
    <w:rPr>
      <w:sz w:val="20"/>
      <w:szCs w:val="20"/>
    </w:rPr>
  </w:style>
  <w:style w:type="character" w:customStyle="1" w:styleId="CommentTextChar">
    <w:name w:val="Comment Text Char"/>
    <w:basedOn w:val="DefaultParagraphFont"/>
    <w:link w:val="CommentText"/>
    <w:uiPriority w:val="99"/>
    <w:rsid w:val="00702D9F"/>
    <w:rPr>
      <w:rFonts w:cs="David"/>
    </w:rPr>
  </w:style>
  <w:style w:type="paragraph" w:styleId="CommentSubject">
    <w:name w:val="annotation subject"/>
    <w:basedOn w:val="CommentText"/>
    <w:next w:val="CommentText"/>
    <w:link w:val="CommentSubjectChar"/>
    <w:uiPriority w:val="99"/>
    <w:semiHidden/>
    <w:unhideWhenUsed/>
    <w:rsid w:val="00702D9F"/>
    <w:rPr>
      <w:b/>
      <w:bCs/>
    </w:rPr>
  </w:style>
  <w:style w:type="character" w:customStyle="1" w:styleId="CommentSubjectChar">
    <w:name w:val="Comment Subject Char"/>
    <w:basedOn w:val="CommentTextChar"/>
    <w:link w:val="CommentSubject"/>
    <w:uiPriority w:val="99"/>
    <w:semiHidden/>
    <w:rsid w:val="00702D9F"/>
    <w:rPr>
      <w:rFonts w:cs="David"/>
      <w:b/>
      <w:bCs/>
    </w:rPr>
  </w:style>
  <w:style w:type="paragraph" w:styleId="BalloonText">
    <w:name w:val="Balloon Text"/>
    <w:basedOn w:val="Normal"/>
    <w:link w:val="BalloonTextChar"/>
    <w:uiPriority w:val="99"/>
    <w:semiHidden/>
    <w:unhideWhenUsed/>
    <w:rsid w:val="00702D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2D9F"/>
    <w:rPr>
      <w:rFonts w:ascii="Segoe UI" w:hAnsi="Segoe UI" w:cs="Segoe UI"/>
      <w:sz w:val="18"/>
      <w:szCs w:val="18"/>
    </w:rPr>
  </w:style>
  <w:style w:type="paragraph" w:styleId="Revision">
    <w:name w:val="Revision"/>
    <w:hidden/>
    <w:uiPriority w:val="99"/>
    <w:semiHidden/>
    <w:rsid w:val="00702D9F"/>
    <w:rPr>
      <w:rFonts w:cs="David"/>
      <w:sz w:val="24"/>
      <w:szCs w:val="24"/>
    </w:rPr>
  </w:style>
  <w:style w:type="table" w:styleId="TableGrid">
    <w:name w:val="Table Grid"/>
    <w:basedOn w:val="TableNormal"/>
    <w:uiPriority w:val="59"/>
    <w:rsid w:val="004253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 Char,Char,FOOTNOTES,Footnote Text - Sharp,Footnote Text - Sharp Char,Footnote Text - Sharp Char Char,Footnote Text Char Char Char Char Char,Footnote reference,Sharp - Footnote Text,Sharp - Footnote Text1 Char,fn,footnote text,single space"/>
    <w:basedOn w:val="Normal"/>
    <w:link w:val="FootnoteTextChar"/>
    <w:uiPriority w:val="99"/>
    <w:unhideWhenUsed/>
    <w:rsid w:val="00D36781"/>
    <w:pPr>
      <w:keepLines/>
      <w:spacing w:after="40" w:line="200" w:lineRule="exact"/>
      <w:ind w:left="397" w:right="2268" w:hanging="397"/>
      <w:jc w:val="both"/>
    </w:pPr>
    <w:rPr>
      <w:rFonts w:ascii="Tahoma" w:hAnsi="Tahoma" w:cs="Tahoma"/>
      <w:sz w:val="14"/>
      <w:szCs w:val="14"/>
    </w:rPr>
  </w:style>
  <w:style w:type="character" w:customStyle="1" w:styleId="FootnoteTextChar">
    <w:name w:val="Footnote Text Char"/>
    <w:aliases w:val=" Char Char1,FOOTNOTES Char1,Footnote Text - Sharp Char Char Char1,Footnote Text - Sharp Char Char2,Footnote Text - Sharp Char2,Footnote Text Char Char Char Char Char Char1,Footnote reference Char1,Sharp - Footnote Text Char1,fn Char1"/>
    <w:basedOn w:val="DefaultParagraphFont"/>
    <w:link w:val="FootnoteText"/>
    <w:uiPriority w:val="99"/>
    <w:rsid w:val="00D36781"/>
    <w:rPr>
      <w:rFonts w:ascii="Tahoma" w:hAnsi="Tahoma" w:cs="Tahoma"/>
      <w:sz w:val="14"/>
      <w:szCs w:val="14"/>
    </w:rPr>
  </w:style>
  <w:style w:type="character" w:styleId="FootnoteReference0">
    <w:name w:val="footnote reference"/>
    <w:aliases w:val="Footnote Reference_0,Footnote Reference_0_0,Footnote Reference_1,Footnote Reference_2"/>
    <w:basedOn w:val="DefaultParagraphFont"/>
    <w:unhideWhenUsed/>
    <w:rsid w:val="00AC4E14"/>
    <w:rPr>
      <w:vertAlign w:val="superscript"/>
    </w:rPr>
  </w:style>
  <w:style w:type="paragraph" w:styleId="NormalWeb">
    <w:name w:val="Normal (Web)"/>
    <w:basedOn w:val="Normal"/>
    <w:uiPriority w:val="99"/>
    <w:semiHidden/>
    <w:unhideWhenUsed/>
    <w:rsid w:val="00C66B15"/>
    <w:pPr>
      <w:bidi w:val="0"/>
      <w:spacing w:before="100" w:beforeAutospacing="1" w:after="100" w:afterAutospacing="1" w:line="240" w:lineRule="auto"/>
    </w:pPr>
    <w:rPr>
      <w:rFonts w:ascii="Times New Roman" w:hAnsi="Times New Roman" w:cs="Times New Roman"/>
    </w:rPr>
  </w:style>
  <w:style w:type="table" w:customStyle="1" w:styleId="ListTable7Colorful-Accent41">
    <w:name w:val="List Table 7 Colorful - Accent 41"/>
    <w:basedOn w:val="TableNormal"/>
    <w:uiPriority w:val="52"/>
    <w:rsid w:val="00C41220"/>
    <w:rPr>
      <w:color w:val="0C9A73" w:themeColor="accent4" w:themeShade="BF"/>
    </w:rPr>
    <w:tblPr>
      <w:tblStyleRowBandSize w:val="1"/>
      <w:tblStyleColBandSize w:val="1"/>
    </w:tblPr>
    <w:tblStylePr w:type="firstRow">
      <w:rPr>
        <w:rFonts w:asciiTheme="majorHAnsi" w:eastAsiaTheme="majorEastAsia" w:hAnsiTheme="majorHAnsi" w:cstheme="majorBidi" w:hint="default"/>
        <w:i/>
        <w:iCs/>
        <w:sz w:val="26"/>
        <w:szCs w:val="26"/>
      </w:rPr>
      <w:tblPr/>
      <w:tcPr>
        <w:tcBorders>
          <w:bottom w:val="single" w:sz="4" w:space="0" w:color="10CF9B" w:themeColor="accent4"/>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10CF9B" w:themeColor="accent4"/>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10CF9B" w:themeColor="accent4"/>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10CF9B" w:themeColor="accent4"/>
        </w:tcBorders>
        <w:shd w:val="clear" w:color="auto" w:fill="FFFFFF" w:themeFill="background1"/>
      </w:tcPr>
    </w:tblStylePr>
    <w:tblStylePr w:type="band1Vert">
      <w:tblPr/>
      <w:tcPr>
        <w:shd w:val="clear" w:color="auto" w:fill="C9FBED" w:themeFill="accent4" w:themeFillTint="33"/>
      </w:tcPr>
    </w:tblStylePr>
    <w:tblStylePr w:type="band1Horz">
      <w:tblPr/>
      <w:tcPr>
        <w:shd w:val="clear" w:color="auto" w:fill="C9FBED"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pple-converted-space">
    <w:name w:val="apple-converted-space"/>
    <w:basedOn w:val="DefaultParagraphFont"/>
    <w:rsid w:val="00E46878"/>
  </w:style>
  <w:style w:type="character" w:styleId="Strong">
    <w:name w:val="Strong"/>
    <w:basedOn w:val="DefaultParagraphFont"/>
    <w:uiPriority w:val="22"/>
    <w:qFormat/>
    <w:rsid w:val="005C0F41"/>
    <w:rPr>
      <w:b/>
      <w:bCs/>
    </w:rPr>
  </w:style>
  <w:style w:type="character" w:styleId="Hyperlink">
    <w:name w:val="Hyperlink"/>
    <w:basedOn w:val="DefaultParagraphFont"/>
    <w:uiPriority w:val="99"/>
    <w:unhideWhenUsed/>
    <w:rsid w:val="00E46878"/>
    <w:rPr>
      <w:color w:val="0000FF"/>
      <w:u w:val="single"/>
    </w:rPr>
  </w:style>
  <w:style w:type="paragraph" w:styleId="TOCHeading">
    <w:name w:val="TOC Heading"/>
    <w:basedOn w:val="Heading1"/>
    <w:next w:val="Normal"/>
    <w:uiPriority w:val="39"/>
    <w:unhideWhenUsed/>
    <w:qFormat/>
    <w:rsid w:val="005C0F41"/>
    <w:pPr>
      <w:outlineLvl w:val="9"/>
    </w:pPr>
  </w:style>
  <w:style w:type="paragraph" w:styleId="TOC1">
    <w:name w:val="toc 1"/>
    <w:basedOn w:val="Normal"/>
    <w:next w:val="Normal"/>
    <w:autoRedefine/>
    <w:uiPriority w:val="39"/>
    <w:unhideWhenUsed/>
    <w:rsid w:val="006B5429"/>
    <w:pPr>
      <w:spacing w:after="100"/>
    </w:pPr>
  </w:style>
  <w:style w:type="paragraph" w:styleId="TOC2">
    <w:name w:val="toc 2"/>
    <w:basedOn w:val="Normal"/>
    <w:next w:val="Normal"/>
    <w:autoRedefine/>
    <w:uiPriority w:val="39"/>
    <w:unhideWhenUsed/>
    <w:rsid w:val="002A51A3"/>
    <w:pPr>
      <w:tabs>
        <w:tab w:val="right" w:leader="dot" w:pos="8296"/>
      </w:tabs>
      <w:spacing w:after="100"/>
      <w:ind w:left="240"/>
    </w:pPr>
    <w:rPr>
      <w:noProof/>
    </w:rPr>
  </w:style>
  <w:style w:type="character" w:styleId="FollowedHyperlink">
    <w:name w:val="FollowedHyperlink"/>
    <w:basedOn w:val="DefaultParagraphFont"/>
    <w:uiPriority w:val="99"/>
    <w:semiHidden/>
    <w:unhideWhenUsed/>
    <w:rsid w:val="000473A2"/>
    <w:rPr>
      <w:color w:val="85DFD0" w:themeColor="followedHyperlink"/>
      <w:u w:val="single"/>
    </w:rPr>
  </w:style>
  <w:style w:type="paragraph" w:styleId="NoSpacing">
    <w:name w:val="No Spacing"/>
    <w:uiPriority w:val="1"/>
    <w:qFormat/>
    <w:rsid w:val="005C0F41"/>
    <w:pPr>
      <w:bidi/>
      <w:spacing w:after="0" w:line="240" w:lineRule="auto"/>
    </w:pPr>
  </w:style>
  <w:style w:type="paragraph" w:styleId="Caption">
    <w:name w:val="caption"/>
    <w:basedOn w:val="Normal"/>
    <w:next w:val="Normal"/>
    <w:unhideWhenUsed/>
    <w:qFormat/>
    <w:rsid w:val="005C0F41"/>
    <w:pPr>
      <w:bidi w:val="0"/>
      <w:spacing w:line="240" w:lineRule="auto"/>
    </w:pPr>
    <w:rPr>
      <w:b/>
      <w:bCs/>
      <w:color w:val="404040" w:themeColor="text1" w:themeTint="BF"/>
      <w:sz w:val="16"/>
      <w:szCs w:val="16"/>
    </w:rPr>
  </w:style>
  <w:style w:type="paragraph" w:styleId="Title">
    <w:name w:val="Title"/>
    <w:basedOn w:val="Normal"/>
    <w:next w:val="Normal"/>
    <w:link w:val="TitleChar"/>
    <w:qFormat/>
    <w:rsid w:val="005C0F41"/>
    <w:pPr>
      <w:bidi w:val="0"/>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5C0F41"/>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SubtitleChar"/>
    <w:uiPriority w:val="11"/>
    <w:qFormat/>
    <w:rsid w:val="005C0F41"/>
    <w:pPr>
      <w:numPr>
        <w:ilvl w:val="1"/>
      </w:numPr>
      <w:bidi w:val="0"/>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5C0F41"/>
    <w:rPr>
      <w:caps/>
      <w:color w:val="404040" w:themeColor="text1" w:themeTint="BF"/>
      <w:spacing w:val="20"/>
      <w:sz w:val="28"/>
      <w:szCs w:val="28"/>
    </w:rPr>
  </w:style>
  <w:style w:type="character" w:styleId="Emphasis">
    <w:name w:val="Emphasis"/>
    <w:basedOn w:val="DefaultParagraphFont"/>
    <w:uiPriority w:val="20"/>
    <w:qFormat/>
    <w:rsid w:val="005C0F41"/>
    <w:rPr>
      <w:i/>
      <w:iCs/>
      <w:color w:val="000000" w:themeColor="text1"/>
    </w:rPr>
  </w:style>
  <w:style w:type="paragraph" w:styleId="Quote">
    <w:name w:val="Quote"/>
    <w:basedOn w:val="Normal"/>
    <w:next w:val="Normal"/>
    <w:link w:val="QuoteChar"/>
    <w:uiPriority w:val="29"/>
    <w:qFormat/>
    <w:rsid w:val="005C0F41"/>
    <w:pPr>
      <w:bidi w:val="0"/>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5C0F41"/>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5C0F41"/>
    <w:pPr>
      <w:pBdr>
        <w:top w:val="single" w:sz="24" w:space="4" w:color="009DD9" w:themeColor="accent2"/>
      </w:pBdr>
      <w:bidi w:val="0"/>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5C0F41"/>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5C0F41"/>
    <w:rPr>
      <w:i/>
      <w:iCs/>
      <w:color w:val="595959" w:themeColor="text1" w:themeTint="A6"/>
    </w:rPr>
  </w:style>
  <w:style w:type="character" w:styleId="IntenseEmphasis">
    <w:name w:val="Intense Emphasis"/>
    <w:basedOn w:val="DefaultParagraphFont"/>
    <w:uiPriority w:val="21"/>
    <w:qFormat/>
    <w:rsid w:val="005C0F41"/>
    <w:rPr>
      <w:b/>
      <w:bCs/>
      <w:i/>
      <w:iCs/>
      <w:caps w:val="0"/>
      <w:smallCaps w:val="0"/>
      <w:strike w:val="0"/>
      <w:dstrike w:val="0"/>
      <w:color w:val="009DD9" w:themeColor="accent2"/>
    </w:rPr>
  </w:style>
  <w:style w:type="character" w:styleId="SubtleReference">
    <w:name w:val="Subtle Reference"/>
    <w:basedOn w:val="DefaultParagraphFont"/>
    <w:uiPriority w:val="31"/>
    <w:qFormat/>
    <w:rsid w:val="005C0F41"/>
    <w:rPr>
      <w:caps w:val="0"/>
      <w:smallCaps/>
      <w:color w:val="404040" w:themeColor="text1" w:themeTint="BF"/>
      <w:spacing w:val="0"/>
      <w:u w:val="single" w:color="7F7F7F"/>
    </w:rPr>
  </w:style>
  <w:style w:type="character" w:styleId="IntenseReference">
    <w:name w:val="Intense Reference"/>
    <w:basedOn w:val="DefaultParagraphFont"/>
    <w:uiPriority w:val="32"/>
    <w:qFormat/>
    <w:rsid w:val="005C0F41"/>
    <w:rPr>
      <w:b/>
      <w:bCs/>
      <w:caps w:val="0"/>
      <w:smallCaps/>
      <w:color w:val="auto"/>
      <w:spacing w:val="0"/>
      <w:u w:val="single"/>
    </w:rPr>
  </w:style>
  <w:style w:type="character" w:styleId="BookTitle">
    <w:name w:val="Book Title"/>
    <w:basedOn w:val="DefaultParagraphFont"/>
    <w:uiPriority w:val="33"/>
    <w:qFormat/>
    <w:rsid w:val="005C0F41"/>
    <w:rPr>
      <w:b/>
      <w:bCs/>
      <w:caps w:val="0"/>
      <w:smallCaps/>
      <w:spacing w:val="0"/>
    </w:rPr>
  </w:style>
  <w:style w:type="paragraph" w:customStyle="1" w:styleId="tableheading">
    <w:name w:val="table heading"/>
    <w:basedOn w:val="Normal"/>
    <w:next w:val="Normal"/>
    <w:qFormat/>
    <w:rsid w:val="003A10E7"/>
    <w:pPr>
      <w:keepNext/>
      <w:spacing w:line="288" w:lineRule="auto"/>
      <w:ind w:left="924" w:hanging="924"/>
    </w:pPr>
    <w:rPr>
      <w:rFonts w:ascii="Times New Roman" w:eastAsia="Times New Roman" w:hAnsi="Times New Roman" w:cs="David"/>
      <w:b/>
      <w:bCs/>
      <w:sz w:val="24"/>
      <w:szCs w:val="26"/>
      <w:lang w:eastAsia="he-IL"/>
    </w:rPr>
  </w:style>
  <w:style w:type="paragraph" w:customStyle="1" w:styleId="chart">
    <w:name w:val="chart"/>
    <w:basedOn w:val="Normal"/>
    <w:qFormat/>
    <w:rsid w:val="00576828"/>
    <w:pPr>
      <w:keepNext/>
      <w:spacing w:after="0"/>
      <w:ind w:left="922" w:hanging="922"/>
      <w:jc w:val="both"/>
    </w:pPr>
    <w:rPr>
      <w:rFonts w:ascii="Times New Roman" w:eastAsia="Times New Roman" w:hAnsi="Times New Roman" w:cs="David"/>
      <w:b/>
      <w:bCs/>
      <w:sz w:val="24"/>
      <w:szCs w:val="26"/>
      <w:lang w:eastAsia="he-IL"/>
    </w:rPr>
  </w:style>
  <w:style w:type="paragraph" w:styleId="TOC3">
    <w:name w:val="toc 3"/>
    <w:basedOn w:val="Normal"/>
    <w:next w:val="Normal"/>
    <w:autoRedefine/>
    <w:uiPriority w:val="39"/>
    <w:unhideWhenUsed/>
    <w:rsid w:val="004A36ED"/>
    <w:pPr>
      <w:spacing w:after="100" w:line="259" w:lineRule="auto"/>
      <w:ind w:left="440"/>
    </w:pPr>
    <w:rPr>
      <w:sz w:val="22"/>
      <w:szCs w:val="22"/>
    </w:rPr>
  </w:style>
  <w:style w:type="paragraph" w:styleId="TOC4">
    <w:name w:val="toc 4"/>
    <w:basedOn w:val="Normal"/>
    <w:next w:val="Normal"/>
    <w:autoRedefine/>
    <w:uiPriority w:val="39"/>
    <w:unhideWhenUsed/>
    <w:rsid w:val="004A36ED"/>
    <w:pPr>
      <w:spacing w:after="100" w:line="259" w:lineRule="auto"/>
      <w:ind w:left="660"/>
    </w:pPr>
    <w:rPr>
      <w:sz w:val="22"/>
      <w:szCs w:val="22"/>
    </w:rPr>
  </w:style>
  <w:style w:type="paragraph" w:styleId="TOC5">
    <w:name w:val="toc 5"/>
    <w:basedOn w:val="Normal"/>
    <w:next w:val="Normal"/>
    <w:autoRedefine/>
    <w:uiPriority w:val="39"/>
    <w:unhideWhenUsed/>
    <w:rsid w:val="004A36ED"/>
    <w:pPr>
      <w:spacing w:after="100" w:line="259" w:lineRule="auto"/>
      <w:ind w:left="880"/>
    </w:pPr>
    <w:rPr>
      <w:sz w:val="22"/>
      <w:szCs w:val="22"/>
    </w:rPr>
  </w:style>
  <w:style w:type="paragraph" w:styleId="TOC6">
    <w:name w:val="toc 6"/>
    <w:basedOn w:val="Normal"/>
    <w:next w:val="Normal"/>
    <w:autoRedefine/>
    <w:uiPriority w:val="39"/>
    <w:unhideWhenUsed/>
    <w:rsid w:val="004A36ED"/>
    <w:pPr>
      <w:spacing w:after="100" w:line="259" w:lineRule="auto"/>
      <w:ind w:left="1100"/>
    </w:pPr>
    <w:rPr>
      <w:sz w:val="22"/>
      <w:szCs w:val="22"/>
    </w:rPr>
  </w:style>
  <w:style w:type="paragraph" w:styleId="TOC7">
    <w:name w:val="toc 7"/>
    <w:basedOn w:val="Normal"/>
    <w:next w:val="Normal"/>
    <w:autoRedefine/>
    <w:uiPriority w:val="39"/>
    <w:unhideWhenUsed/>
    <w:rsid w:val="004A36ED"/>
    <w:pPr>
      <w:spacing w:after="100" w:line="259" w:lineRule="auto"/>
      <w:ind w:left="1320"/>
    </w:pPr>
    <w:rPr>
      <w:sz w:val="22"/>
      <w:szCs w:val="22"/>
    </w:rPr>
  </w:style>
  <w:style w:type="paragraph" w:styleId="TOC8">
    <w:name w:val="toc 8"/>
    <w:basedOn w:val="Normal"/>
    <w:next w:val="Normal"/>
    <w:autoRedefine/>
    <w:uiPriority w:val="39"/>
    <w:unhideWhenUsed/>
    <w:rsid w:val="004A36ED"/>
    <w:pPr>
      <w:spacing w:after="100" w:line="259" w:lineRule="auto"/>
      <w:ind w:left="1540"/>
    </w:pPr>
    <w:rPr>
      <w:sz w:val="22"/>
      <w:szCs w:val="22"/>
    </w:rPr>
  </w:style>
  <w:style w:type="paragraph" w:styleId="TOC9">
    <w:name w:val="toc 9"/>
    <w:basedOn w:val="Normal"/>
    <w:next w:val="Normal"/>
    <w:autoRedefine/>
    <w:uiPriority w:val="39"/>
    <w:unhideWhenUsed/>
    <w:rsid w:val="004A36ED"/>
    <w:pPr>
      <w:spacing w:after="100" w:line="259" w:lineRule="auto"/>
      <w:ind w:left="1760"/>
    </w:pPr>
    <w:rPr>
      <w:sz w:val="22"/>
      <w:szCs w:val="22"/>
    </w:rPr>
  </w:style>
  <w:style w:type="paragraph" w:styleId="BodyText">
    <w:name w:val="Body Text"/>
    <w:basedOn w:val="Normal"/>
    <w:link w:val="BodyTextChar"/>
    <w:unhideWhenUsed/>
    <w:rsid w:val="00AC58FF"/>
    <w:pPr>
      <w:framePr w:hSpace="180" w:wrap="around" w:vAnchor="text" w:hAnchor="margin" w:y="450"/>
      <w:spacing w:before="120" w:after="0" w:line="276" w:lineRule="auto"/>
      <w:suppressOverlap/>
      <w:jc w:val="center"/>
    </w:pPr>
    <w:rPr>
      <w:rFonts w:ascii="Tahoma" w:hAnsi="Tahoma" w:cs="Tahoma"/>
      <w:color w:val="0B5294" w:themeColor="accent1" w:themeShade="BF"/>
      <w:sz w:val="22"/>
      <w:szCs w:val="22"/>
    </w:rPr>
  </w:style>
  <w:style w:type="character" w:customStyle="1" w:styleId="BodyTextChar">
    <w:name w:val="Body Text Char"/>
    <w:basedOn w:val="DefaultParagraphFont"/>
    <w:link w:val="BodyText"/>
    <w:uiPriority w:val="99"/>
    <w:rsid w:val="00AC58FF"/>
    <w:rPr>
      <w:rFonts w:ascii="Tahoma" w:hAnsi="Tahoma" w:cs="Tahoma"/>
      <w:color w:val="0B5294" w:themeColor="accent1" w:themeShade="BF"/>
      <w:sz w:val="22"/>
      <w:szCs w:val="22"/>
    </w:rPr>
  </w:style>
  <w:style w:type="paragraph" w:styleId="BodyText2">
    <w:name w:val="Body Text 2"/>
    <w:basedOn w:val="Normal"/>
    <w:link w:val="BodyText2Char"/>
    <w:unhideWhenUsed/>
    <w:rsid w:val="00DB1D55"/>
    <w:pPr>
      <w:tabs>
        <w:tab w:val="left" w:pos="340"/>
      </w:tabs>
      <w:spacing w:line="360" w:lineRule="exact"/>
      <w:jc w:val="both"/>
    </w:pPr>
    <w:rPr>
      <w:rFonts w:ascii="Tahoma" w:hAnsi="Tahoma" w:cs="Tahoma"/>
      <w:sz w:val="22"/>
      <w:szCs w:val="22"/>
    </w:rPr>
  </w:style>
  <w:style w:type="character" w:customStyle="1" w:styleId="BodyText2Char">
    <w:name w:val="Body Text 2 Char"/>
    <w:basedOn w:val="DefaultParagraphFont"/>
    <w:link w:val="BodyText2"/>
    <w:uiPriority w:val="99"/>
    <w:rsid w:val="00DB1D55"/>
    <w:rPr>
      <w:rFonts w:ascii="Tahoma" w:hAnsi="Tahoma" w:cs="Tahoma"/>
      <w:sz w:val="22"/>
      <w:szCs w:val="22"/>
    </w:rPr>
  </w:style>
  <w:style w:type="character" w:customStyle="1" w:styleId="1">
    <w:name w:val="כותרת 1 תו"/>
    <w:locked/>
    <w:rsid w:val="00F1368B"/>
    <w:rPr>
      <w:rFonts w:ascii="Cambria" w:hAnsi="Cambria" w:cs="Times New Roman"/>
      <w:b/>
      <w:bCs/>
      <w:kern w:val="32"/>
      <w:sz w:val="32"/>
      <w:szCs w:val="32"/>
    </w:rPr>
  </w:style>
  <w:style w:type="character" w:customStyle="1" w:styleId="2">
    <w:name w:val="כותרת 2 תו"/>
    <w:locked/>
    <w:rsid w:val="00F1368B"/>
    <w:rPr>
      <w:rFonts w:ascii="Cambria" w:hAnsi="Cambria" w:cs="Times New Roman"/>
      <w:b/>
      <w:bCs/>
      <w:i/>
      <w:iCs/>
      <w:sz w:val="28"/>
      <w:szCs w:val="28"/>
    </w:rPr>
  </w:style>
  <w:style w:type="character" w:customStyle="1" w:styleId="3">
    <w:name w:val="כותרת 3 תו"/>
    <w:locked/>
    <w:rsid w:val="00F1368B"/>
    <w:rPr>
      <w:rFonts w:ascii="Cambria" w:hAnsi="Cambria" w:cs="Times New Roman"/>
      <w:b/>
      <w:bCs/>
      <w:sz w:val="26"/>
      <w:szCs w:val="26"/>
    </w:rPr>
  </w:style>
  <w:style w:type="character" w:customStyle="1" w:styleId="4">
    <w:name w:val="כותרת 4 תו"/>
    <w:locked/>
    <w:rsid w:val="00F1368B"/>
    <w:rPr>
      <w:rFonts w:ascii="Calibri" w:hAnsi="Calibri" w:cs="Arial"/>
      <w:b/>
      <w:bCs/>
      <w:sz w:val="28"/>
      <w:szCs w:val="28"/>
    </w:rPr>
  </w:style>
  <w:style w:type="character" w:customStyle="1" w:styleId="5">
    <w:name w:val="כותרת 5 תו"/>
    <w:locked/>
    <w:rsid w:val="00F1368B"/>
    <w:rPr>
      <w:rFonts w:ascii="Calibri" w:hAnsi="Calibri" w:cs="Arial"/>
      <w:b/>
      <w:bCs/>
      <w:i/>
      <w:iCs/>
      <w:sz w:val="26"/>
      <w:szCs w:val="26"/>
    </w:rPr>
  </w:style>
  <w:style w:type="character" w:customStyle="1" w:styleId="6">
    <w:name w:val="כותרת 6 תו"/>
    <w:locked/>
    <w:rsid w:val="00F1368B"/>
    <w:rPr>
      <w:rFonts w:ascii="Calibri" w:hAnsi="Calibri" w:cs="Arial"/>
      <w:b/>
      <w:bCs/>
    </w:rPr>
  </w:style>
  <w:style w:type="character" w:customStyle="1" w:styleId="7">
    <w:name w:val="כותרת 7 תו"/>
    <w:locked/>
    <w:rsid w:val="00F1368B"/>
    <w:rPr>
      <w:rFonts w:ascii="Calibri" w:hAnsi="Calibri" w:cs="Arial"/>
      <w:sz w:val="24"/>
      <w:szCs w:val="24"/>
    </w:rPr>
  </w:style>
  <w:style w:type="character" w:customStyle="1" w:styleId="8">
    <w:name w:val="כותרת 8 תו"/>
    <w:locked/>
    <w:rsid w:val="00F1368B"/>
    <w:rPr>
      <w:rFonts w:ascii="Calibri" w:hAnsi="Calibri" w:cs="Arial"/>
      <w:i/>
      <w:iCs/>
      <w:sz w:val="24"/>
      <w:szCs w:val="24"/>
    </w:rPr>
  </w:style>
  <w:style w:type="character" w:customStyle="1" w:styleId="9">
    <w:name w:val="כותרת 9 תו"/>
    <w:locked/>
    <w:rsid w:val="00F1368B"/>
    <w:rPr>
      <w:rFonts w:ascii="Cambria" w:hAnsi="Cambria" w:cs="Times New Roman"/>
    </w:rPr>
  </w:style>
  <w:style w:type="character" w:customStyle="1" w:styleId="a">
    <w:name w:val="כותרת טקסט תו"/>
    <w:locked/>
    <w:rsid w:val="00F1368B"/>
    <w:rPr>
      <w:rFonts w:ascii="Cambria" w:hAnsi="Cambria" w:cs="Times New Roman"/>
      <w:b/>
      <w:bCs/>
      <w:kern w:val="28"/>
      <w:sz w:val="32"/>
      <w:szCs w:val="32"/>
    </w:rPr>
  </w:style>
  <w:style w:type="paragraph" w:customStyle="1" w:styleId="KOT1">
    <w:name w:val="KOT1"/>
    <w:basedOn w:val="Normal"/>
    <w:rsid w:val="00F1368B"/>
    <w:pPr>
      <w:keepNext/>
      <w:spacing w:after="360" w:line="400" w:lineRule="exact"/>
      <w:jc w:val="center"/>
    </w:pPr>
    <w:rPr>
      <w:rFonts w:ascii="Times New Roman" w:eastAsia="Times New Roman" w:hAnsi="Times New Roman" w:cs="David"/>
      <w:b/>
      <w:bCs/>
      <w:sz w:val="36"/>
      <w:szCs w:val="36"/>
      <w:lang w:eastAsia="he-IL"/>
    </w:rPr>
  </w:style>
  <w:style w:type="paragraph" w:customStyle="1" w:styleId="KOT2">
    <w:name w:val="KOT2"/>
    <w:basedOn w:val="Normal"/>
    <w:rsid w:val="00E7492C"/>
    <w:pPr>
      <w:keepNext/>
      <w:pageBreakBefore/>
      <w:spacing w:before="360" w:after="240" w:line="480" w:lineRule="exact"/>
      <w:ind w:right="2268"/>
      <w:outlineLvl w:val="0"/>
    </w:pPr>
    <w:rPr>
      <w:rFonts w:ascii="Arial Bold" w:hAnsi="Arial Bold" w:eastAsiaTheme="majorEastAsia" w:cs="Tahoma"/>
      <w:color w:val="0B5294" w:themeColor="accent1" w:themeShade="BF"/>
      <w:sz w:val="36"/>
      <w:szCs w:val="36"/>
    </w:rPr>
  </w:style>
  <w:style w:type="paragraph" w:customStyle="1" w:styleId="30">
    <w:name w:val="כותרת 3_0"/>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0">
    <w:name w:val="כותרת 4_0"/>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paragraph" w:customStyle="1" w:styleId="a0">
    <w:name w:val="נבנצלים"/>
    <w:basedOn w:val="Normal"/>
    <w:next w:val="Normal"/>
    <w:rsid w:val="00F1368B"/>
    <w:pPr>
      <w:widowControl w:val="0"/>
      <w:spacing w:after="0" w:line="269" w:lineRule="auto"/>
      <w:ind w:left="-567"/>
      <w:jc w:val="both"/>
    </w:pPr>
    <w:rPr>
      <w:rFonts w:ascii="Times New Roman" w:eastAsia="Times New Roman" w:hAnsi="Times New Roman" w:cs="David"/>
      <w:sz w:val="20"/>
      <w:szCs w:val="20"/>
      <w:lang w:eastAsia="he-IL"/>
    </w:rPr>
  </w:style>
  <w:style w:type="character" w:customStyle="1" w:styleId="a1">
    <w:name w:val="כותרת עליונה תו"/>
    <w:locked/>
    <w:rsid w:val="00F1368B"/>
    <w:rPr>
      <w:rFonts w:cs="David"/>
      <w:sz w:val="24"/>
      <w:szCs w:val="24"/>
      <w:lang w:bidi="he-IL"/>
    </w:rPr>
  </w:style>
  <w:style w:type="character" w:customStyle="1" w:styleId="a2">
    <w:name w:val="כותרת תחתונה תו"/>
    <w:locked/>
    <w:rsid w:val="00F1368B"/>
    <w:rPr>
      <w:rFonts w:cs="David"/>
      <w:sz w:val="24"/>
      <w:szCs w:val="24"/>
      <w:lang w:bidi="he-IL"/>
    </w:rPr>
  </w:style>
  <w:style w:type="character" w:customStyle="1" w:styleId="EndnoteTextChar">
    <w:name w:val="Endnote Text Char"/>
    <w:basedOn w:val="DefaultParagraphFont"/>
    <w:link w:val="EndnoteText"/>
    <w:uiPriority w:val="99"/>
    <w:semiHidden/>
    <w:rsid w:val="00F1368B"/>
    <w:rPr>
      <w:rFonts w:ascii="Times New Roman" w:eastAsia="Times New Roman" w:hAnsi="Times New Roman" w:cs="David"/>
      <w:sz w:val="24"/>
      <w:szCs w:val="20"/>
    </w:rPr>
  </w:style>
  <w:style w:type="paragraph" w:styleId="EndnoteText">
    <w:name w:val="endnote text"/>
    <w:basedOn w:val="Normal"/>
    <w:link w:val="EndnoteTextChar"/>
    <w:uiPriority w:val="99"/>
    <w:semiHidden/>
    <w:rsid w:val="00F1368B"/>
    <w:pPr>
      <w:spacing w:after="0" w:line="240" w:lineRule="exact"/>
      <w:jc w:val="both"/>
    </w:pPr>
    <w:rPr>
      <w:rFonts w:ascii="Times New Roman" w:eastAsia="Times New Roman" w:hAnsi="Times New Roman" w:cs="David"/>
      <w:sz w:val="24"/>
      <w:szCs w:val="20"/>
    </w:rPr>
  </w:style>
  <w:style w:type="character" w:styleId="EndnoteReference">
    <w:name w:val="endnote reference"/>
    <w:uiPriority w:val="99"/>
    <w:semiHidden/>
    <w:rsid w:val="00F1368B"/>
    <w:rPr>
      <w:rFonts w:cs="Times New Roman"/>
      <w:vertAlign w:val="superscript"/>
    </w:rPr>
  </w:style>
  <w:style w:type="character" w:customStyle="1" w:styleId="BodyText3Char">
    <w:name w:val="Body Text 3 Char"/>
    <w:basedOn w:val="DefaultParagraphFont"/>
    <w:link w:val="BodyText3"/>
    <w:semiHidden/>
    <w:rsid w:val="00F1368B"/>
    <w:rPr>
      <w:rFonts w:ascii="Times New Roman" w:eastAsia="Times New Roman" w:hAnsi="Times New Roman" w:cs="David"/>
      <w:sz w:val="24"/>
      <w:szCs w:val="24"/>
    </w:rPr>
  </w:style>
  <w:style w:type="paragraph" w:styleId="BodyText3">
    <w:name w:val="Body Text 3"/>
    <w:basedOn w:val="Normal"/>
    <w:link w:val="BodyText3Char"/>
    <w:semiHidden/>
    <w:rsid w:val="00F1368B"/>
    <w:pPr>
      <w:widowControl w:val="0"/>
      <w:spacing w:after="0" w:line="240" w:lineRule="exact"/>
      <w:jc w:val="both"/>
    </w:pPr>
    <w:rPr>
      <w:rFonts w:ascii="Times New Roman" w:eastAsia="Times New Roman" w:hAnsi="Times New Roman" w:cs="David"/>
      <w:sz w:val="24"/>
      <w:szCs w:val="24"/>
    </w:rPr>
  </w:style>
  <w:style w:type="paragraph" w:customStyle="1" w:styleId="KOT3A">
    <w:name w:val="KOT3A"/>
    <w:basedOn w:val="Normal"/>
    <w:rsid w:val="00F1368B"/>
    <w:pPr>
      <w:spacing w:line="360" w:lineRule="exact"/>
    </w:pPr>
    <w:rPr>
      <w:rFonts w:ascii="Times New Roman" w:eastAsia="Times New Roman" w:hAnsi="Times New Roman" w:cs="David"/>
      <w:b/>
      <w:bCs/>
      <w:spacing w:val="40"/>
      <w:sz w:val="24"/>
      <w:szCs w:val="30"/>
    </w:rPr>
  </w:style>
  <w:style w:type="paragraph" w:customStyle="1" w:styleId="KOT3">
    <w:name w:val="KOT3"/>
    <w:basedOn w:val="KOT3A"/>
    <w:rsid w:val="00F1368B"/>
    <w:pPr>
      <w:keepNext/>
      <w:spacing w:after="360"/>
      <w:jc w:val="center"/>
    </w:pPr>
    <w:rPr>
      <w:spacing w:val="0"/>
      <w:szCs w:val="28"/>
    </w:rPr>
  </w:style>
  <w:style w:type="paragraph" w:customStyle="1" w:styleId="KOT4">
    <w:name w:val="KOT4"/>
    <w:basedOn w:val="KOT3"/>
    <w:rsid w:val="00E7492C"/>
    <w:pPr>
      <w:spacing w:before="120" w:after="120"/>
      <w:ind w:right="2268"/>
      <w:jc w:val="left"/>
      <w:outlineLvl w:val="1"/>
    </w:pPr>
    <w:rPr>
      <w:rFonts w:ascii="Tahoma" w:hAnsi="Tahoma" w:cs="Tahoma"/>
      <w:b w:val="0"/>
      <w:bCs w:val="0"/>
      <w:color w:val="009692"/>
      <w:sz w:val="32"/>
      <w:szCs w:val="32"/>
    </w:rPr>
  </w:style>
  <w:style w:type="paragraph" w:customStyle="1" w:styleId="KOT5">
    <w:name w:val="KOT5"/>
    <w:basedOn w:val="KOT4"/>
    <w:rsid w:val="00F8029A"/>
    <w:pPr>
      <w:spacing w:line="320" w:lineRule="exact"/>
      <w:outlineLvl w:val="2"/>
    </w:pPr>
    <w:rPr>
      <w:rFonts w:eastAsiaTheme="majorEastAsia"/>
      <w:color w:val="387026"/>
      <w:sz w:val="26"/>
      <w:szCs w:val="26"/>
    </w:rPr>
  </w:style>
  <w:style w:type="character" w:customStyle="1" w:styleId="10">
    <w:name w:val="סגנון (עברית ושפות אחרות) ‏10 נק'"/>
    <w:rsid w:val="00F1368B"/>
    <w:rPr>
      <w:rFonts w:ascii="Times New Roman" w:hAnsi="Times New Roman"/>
      <w:sz w:val="24"/>
      <w:vertAlign w:val="baseline"/>
    </w:rPr>
  </w:style>
  <w:style w:type="paragraph" w:customStyle="1" w:styleId="NAME">
    <w:name w:val="NAME"/>
    <w:basedOn w:val="Normal"/>
    <w:rsid w:val="00E077B7"/>
    <w:pPr>
      <w:spacing w:before="2000" w:line="312" w:lineRule="auto"/>
      <w:jc w:val="center"/>
      <w:outlineLvl w:val="0"/>
    </w:pPr>
    <w:rPr>
      <w:rFonts w:ascii="Tahoma" w:eastAsia="Times New Roman" w:hAnsi="Tahoma" w:cs="Tahoma"/>
      <w:color w:val="2A2AA6"/>
      <w:sz w:val="42"/>
      <w:szCs w:val="42"/>
      <w:lang w:eastAsia="he-IL"/>
    </w:rPr>
  </w:style>
  <w:style w:type="paragraph" w:customStyle="1" w:styleId="PATIAH">
    <w:name w:val="PATIAH"/>
    <w:basedOn w:val="Normal"/>
    <w:rsid w:val="00F1368B"/>
    <w:pPr>
      <w:spacing w:line="260" w:lineRule="exact"/>
      <w:jc w:val="both"/>
    </w:pPr>
    <w:rPr>
      <w:rFonts w:ascii="Times New Roman" w:eastAsia="Times New Roman" w:hAnsi="Times New Roman" w:cs="David"/>
      <w:sz w:val="20"/>
      <w:szCs w:val="24"/>
      <w:lang w:eastAsia="he-IL"/>
    </w:rPr>
  </w:style>
  <w:style w:type="paragraph" w:customStyle="1" w:styleId="RESHET">
    <w:name w:val="RESHET"/>
    <w:basedOn w:val="Normal"/>
    <w:rsid w:val="00A654A2"/>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line="240" w:lineRule="exact"/>
      <w:ind w:left="227" w:right="2495"/>
      <w:jc w:val="both"/>
    </w:pPr>
    <w:rPr>
      <w:rFonts w:ascii="Tahoma" w:eastAsia="Times New Roman" w:hAnsi="Tahoma" w:cs="Tahoma"/>
      <w:sz w:val="17"/>
      <w:szCs w:val="18"/>
      <w:lang w:eastAsia="he-IL"/>
    </w:rPr>
  </w:style>
  <w:style w:type="paragraph" w:customStyle="1" w:styleId="takzir">
    <w:name w:val="takzir"/>
    <w:basedOn w:val="Normal"/>
    <w:uiPriority w:val="99"/>
    <w:rsid w:val="00F1368B"/>
    <w:pPr>
      <w:spacing w:line="240" w:lineRule="exact"/>
      <w:jc w:val="both"/>
    </w:pPr>
    <w:rPr>
      <w:rFonts w:ascii="Times New Roman" w:eastAsia="Times New Roman" w:hAnsi="Times New Roman" w:cs="David"/>
      <w:b/>
      <w:bCs/>
      <w:noProof/>
      <w:sz w:val="22"/>
      <w:szCs w:val="22"/>
      <w:lang w:eastAsia="he-IL"/>
    </w:rPr>
  </w:style>
  <w:style w:type="paragraph" w:styleId="PlainText">
    <w:name w:val="Plain Text"/>
    <w:basedOn w:val="Normal"/>
    <w:link w:val="PlainTextChar"/>
    <w:uiPriority w:val="99"/>
    <w:semiHidden/>
    <w:rsid w:val="00F1368B"/>
    <w:pPr>
      <w:widowControl w:val="0"/>
      <w:spacing w:after="0" w:line="312" w:lineRule="auto"/>
      <w:jc w:val="both"/>
    </w:pPr>
    <w:rPr>
      <w:rFonts w:ascii="Courier New" w:eastAsia="Times New Roman" w:hAnsi="Courier New" w:cs="Courier New"/>
      <w:sz w:val="20"/>
      <w:szCs w:val="20"/>
      <w:lang w:eastAsia="he-IL"/>
    </w:rPr>
  </w:style>
  <w:style w:type="character" w:customStyle="1" w:styleId="PlainTextChar">
    <w:name w:val="Plain Text Char"/>
    <w:basedOn w:val="DefaultParagraphFont"/>
    <w:link w:val="PlainText"/>
    <w:uiPriority w:val="99"/>
    <w:semiHidden/>
    <w:rsid w:val="00F1368B"/>
    <w:rPr>
      <w:rFonts w:ascii="Courier New" w:eastAsia="Times New Roman" w:hAnsi="Courier New" w:cs="Courier New"/>
      <w:sz w:val="20"/>
      <w:szCs w:val="20"/>
      <w:lang w:eastAsia="he-IL"/>
    </w:rPr>
  </w:style>
  <w:style w:type="character" w:customStyle="1" w:styleId="51">
    <w:name w:val="כותרת 51"/>
    <w:rsid w:val="00F1368B"/>
    <w:rPr>
      <w:rFonts w:ascii="Times New Roman" w:hAnsi="Times New Roman"/>
      <w:b/>
      <w:color w:val="auto"/>
      <w:spacing w:val="40"/>
      <w:w w:val="100"/>
      <w:position w:val="0"/>
      <w:sz w:val="24"/>
      <w:u w:val="none"/>
      <w:vertAlign w:val="baseline"/>
    </w:rPr>
  </w:style>
  <w:style w:type="character" w:customStyle="1" w:styleId="61">
    <w:name w:val="כותרת 61"/>
    <w:rsid w:val="00F1368B"/>
    <w:rPr>
      <w:rFonts w:ascii="Times New Roman" w:hAnsi="Times New Roman"/>
      <w:color w:val="auto"/>
      <w:spacing w:val="40"/>
      <w:w w:val="100"/>
      <w:position w:val="0"/>
      <w:sz w:val="24"/>
      <w:u w:val="none"/>
    </w:rPr>
  </w:style>
  <w:style w:type="character" w:customStyle="1" w:styleId="PersonalComposeStyle">
    <w:name w:val="Personal Compose Style"/>
    <w:rsid w:val="00F1368B"/>
    <w:rPr>
      <w:rFonts w:ascii="Arial" w:hAnsi="Arial"/>
      <w:color w:val="auto"/>
      <w:sz w:val="20"/>
    </w:rPr>
  </w:style>
  <w:style w:type="character" w:customStyle="1" w:styleId="PersonalReplyStyle">
    <w:name w:val="Personal Reply Style"/>
    <w:rsid w:val="00F1368B"/>
    <w:rPr>
      <w:rFonts w:ascii="Arial" w:hAnsi="Arial"/>
      <w:color w:val="auto"/>
      <w:sz w:val="20"/>
    </w:rPr>
  </w:style>
  <w:style w:type="character" w:customStyle="1" w:styleId="52">
    <w:name w:val="כותרת 52"/>
    <w:rsid w:val="00F1368B"/>
    <w:rPr>
      <w:rFonts w:ascii="Times New Roman" w:hAnsi="Times New Roman"/>
      <w:b/>
      <w:color w:val="auto"/>
      <w:spacing w:val="40"/>
      <w:w w:val="100"/>
      <w:position w:val="0"/>
      <w:sz w:val="24"/>
      <w:u w:val="none"/>
      <w:vertAlign w:val="baseline"/>
    </w:rPr>
  </w:style>
  <w:style w:type="character" w:customStyle="1" w:styleId="520">
    <w:name w:val="כותרת 5 תו2"/>
    <w:rsid w:val="00F1368B"/>
    <w:rPr>
      <w:b/>
      <w:spacing w:val="40"/>
      <w:sz w:val="24"/>
      <w:lang w:val="en-US" w:eastAsia="he-IL" w:bidi="he-IL"/>
    </w:rPr>
  </w:style>
  <w:style w:type="character" w:customStyle="1" w:styleId="71">
    <w:name w:val="כותרת 7 תו1"/>
    <w:rsid w:val="00F1368B"/>
    <w:rPr>
      <w:b/>
      <w:spacing w:val="40"/>
      <w:sz w:val="24"/>
      <w:lang w:val="en-US" w:eastAsia="he-IL" w:bidi="he-IL"/>
    </w:rPr>
  </w:style>
  <w:style w:type="paragraph" w:customStyle="1" w:styleId="a3">
    <w:name w:val="ממוספר"/>
    <w:basedOn w:val="Normal"/>
    <w:rsid w:val="00F1368B"/>
    <w:pPr>
      <w:numPr>
        <w:numId w:val="2"/>
      </w:numPr>
      <w:spacing w:after="240" w:line="312" w:lineRule="auto"/>
      <w:ind w:right="397"/>
      <w:jc w:val="both"/>
    </w:pPr>
    <w:rPr>
      <w:rFonts w:ascii="Times New Roman" w:eastAsia="Times New Roman" w:hAnsi="Times New Roman" w:cs="FrankRuehl"/>
      <w:sz w:val="24"/>
      <w:szCs w:val="24"/>
      <w:lang w:eastAsia="he-IL"/>
    </w:rPr>
  </w:style>
  <w:style w:type="paragraph" w:customStyle="1" w:styleId="a4">
    <w:name w:val="טקסט מודגש"/>
    <w:basedOn w:val="Normal"/>
    <w:rsid w:val="00F1368B"/>
    <w:pPr>
      <w:spacing w:after="240" w:line="312" w:lineRule="auto"/>
      <w:jc w:val="both"/>
    </w:pPr>
    <w:rPr>
      <w:rFonts w:ascii="Times New Roman" w:eastAsia="Times New Roman" w:hAnsi="Times New Roman" w:cs="David"/>
      <w:b/>
      <w:bCs/>
      <w:sz w:val="22"/>
      <w:szCs w:val="22"/>
      <w:lang w:eastAsia="he-IL"/>
    </w:rPr>
  </w:style>
  <w:style w:type="paragraph" w:customStyle="1" w:styleId="11">
    <w:name w:val="ציטוט1"/>
    <w:basedOn w:val="Normal"/>
    <w:rsid w:val="00F1368B"/>
    <w:pPr>
      <w:spacing w:after="240" w:line="240" w:lineRule="auto"/>
      <w:ind w:left="851" w:right="851"/>
      <w:jc w:val="both"/>
    </w:pPr>
    <w:rPr>
      <w:rFonts w:ascii="Times New Roman" w:eastAsia="Times New Roman" w:hAnsi="Times New Roman" w:cs="FrankRuehl"/>
      <w:sz w:val="24"/>
      <w:szCs w:val="24"/>
      <w:lang w:eastAsia="he-IL"/>
    </w:rPr>
  </w:style>
  <w:style w:type="character" w:customStyle="1" w:styleId="BodyTextIndent2Char">
    <w:name w:val="Body Text Indent 2 Char"/>
    <w:basedOn w:val="DefaultParagraphFont"/>
    <w:link w:val="BodyTextIndent2"/>
    <w:semiHidden/>
    <w:rsid w:val="00F1368B"/>
    <w:rPr>
      <w:rFonts w:ascii="Times New Roman" w:eastAsia="Times New Roman" w:hAnsi="Times New Roman" w:cs="FrankRuehl"/>
      <w:sz w:val="24"/>
      <w:szCs w:val="24"/>
      <w:lang w:eastAsia="he-IL"/>
    </w:rPr>
  </w:style>
  <w:style w:type="paragraph" w:styleId="BodyTextIndent2">
    <w:name w:val="Body Text Indent 2"/>
    <w:basedOn w:val="Normal"/>
    <w:link w:val="BodyTextIndent2Char"/>
    <w:semiHidden/>
    <w:rsid w:val="00F1368B"/>
    <w:pPr>
      <w:spacing w:after="240" w:line="240" w:lineRule="auto"/>
      <w:ind w:left="540" w:hanging="540"/>
      <w:jc w:val="both"/>
    </w:pPr>
    <w:rPr>
      <w:rFonts w:ascii="Times New Roman" w:eastAsia="Times New Roman" w:hAnsi="Times New Roman" w:cs="FrankRuehl"/>
      <w:sz w:val="24"/>
      <w:szCs w:val="24"/>
      <w:lang w:eastAsia="he-IL"/>
    </w:rPr>
  </w:style>
  <w:style w:type="character" w:customStyle="1" w:styleId="notes">
    <w:name w:val="notes"/>
    <w:rsid w:val="00F1368B"/>
  </w:style>
  <w:style w:type="character" w:customStyle="1" w:styleId="a5">
    <w:name w:val="טקסט הערות שוליים תו"/>
    <w:rsid w:val="00F1368B"/>
    <w:rPr>
      <w:lang w:val="en-US" w:eastAsia="en-US"/>
    </w:rPr>
  </w:style>
  <w:style w:type="character" w:customStyle="1" w:styleId="a6">
    <w:name w:val="טקסט הערת שוליים תו"/>
    <w:locked/>
    <w:rsid w:val="00F1368B"/>
    <w:rPr>
      <w:lang w:val="en-US" w:eastAsia="en-US"/>
    </w:rPr>
  </w:style>
  <w:style w:type="character" w:customStyle="1" w:styleId="BodyTextIndent3Char">
    <w:name w:val="Body Text Indent 3 Char"/>
    <w:basedOn w:val="DefaultParagraphFont"/>
    <w:link w:val="BodyTextIndent3"/>
    <w:semiHidden/>
    <w:rsid w:val="00F1368B"/>
    <w:rPr>
      <w:rFonts w:ascii="Times New Roman" w:eastAsia="Times New Roman" w:hAnsi="Times New Roman" w:cs="David"/>
      <w:sz w:val="16"/>
      <w:szCs w:val="16"/>
    </w:rPr>
  </w:style>
  <w:style w:type="paragraph" w:styleId="BodyTextIndent3">
    <w:name w:val="Body Text Indent 3"/>
    <w:basedOn w:val="Normal"/>
    <w:link w:val="BodyTextIndent3Char"/>
    <w:semiHidden/>
    <w:rsid w:val="00F1368B"/>
    <w:pPr>
      <w:spacing w:line="240" w:lineRule="exact"/>
      <w:ind w:left="283"/>
    </w:pPr>
    <w:rPr>
      <w:rFonts w:ascii="Times New Roman" w:eastAsia="Times New Roman" w:hAnsi="Times New Roman" w:cs="David"/>
      <w:sz w:val="16"/>
      <w:szCs w:val="16"/>
    </w:rPr>
  </w:style>
  <w:style w:type="paragraph" w:customStyle="1" w:styleId="12">
    <w:name w:val="פיסקת רשימה1"/>
    <w:basedOn w:val="Normal"/>
    <w:rsid w:val="00F1368B"/>
    <w:pPr>
      <w:spacing w:after="0" w:line="240" w:lineRule="exact"/>
      <w:ind w:left="720"/>
    </w:pPr>
    <w:rPr>
      <w:rFonts w:ascii="Times New Roman" w:eastAsia="Times New Roman" w:hAnsi="Times New Roman" w:cs="David"/>
      <w:sz w:val="24"/>
      <w:szCs w:val="24"/>
    </w:rPr>
  </w:style>
  <w:style w:type="character" w:customStyle="1" w:styleId="BodyTextIndentChar">
    <w:name w:val="Body Text Indent Char"/>
    <w:basedOn w:val="DefaultParagraphFont"/>
    <w:link w:val="BodyTextIndent"/>
    <w:semiHidden/>
    <w:rsid w:val="00F1368B"/>
    <w:rPr>
      <w:rFonts w:ascii="Times New Roman" w:eastAsia="Times New Roman" w:hAnsi="Times New Roman" w:cs="David"/>
      <w:sz w:val="24"/>
      <w:szCs w:val="24"/>
    </w:rPr>
  </w:style>
  <w:style w:type="paragraph" w:styleId="BodyTextIndent">
    <w:name w:val="Body Text Indent"/>
    <w:basedOn w:val="Normal"/>
    <w:link w:val="BodyTextIndentChar"/>
    <w:semiHidden/>
    <w:rsid w:val="00F1368B"/>
    <w:pPr>
      <w:spacing w:line="240" w:lineRule="exact"/>
      <w:ind w:left="283"/>
    </w:pPr>
    <w:rPr>
      <w:rFonts w:ascii="Times New Roman" w:eastAsia="Times New Roman" w:hAnsi="Times New Roman" w:cs="David"/>
      <w:sz w:val="24"/>
      <w:szCs w:val="24"/>
    </w:rPr>
  </w:style>
  <w:style w:type="paragraph" w:customStyle="1" w:styleId="31">
    <w:name w:val="כותרת 31"/>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1">
    <w:name w:val="כותרת 41"/>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character" w:customStyle="1" w:styleId="default">
    <w:name w:val="default"/>
    <w:rsid w:val="00F1368B"/>
    <w:rPr>
      <w:rFonts w:ascii="Times New Roman" w:hAnsi="Times New Roman"/>
      <w:sz w:val="26"/>
    </w:rPr>
  </w:style>
  <w:style w:type="character" w:customStyle="1" w:styleId="510">
    <w:name w:val="כותרת 5 תו1"/>
    <w:locked/>
    <w:rsid w:val="00F1368B"/>
    <w:rPr>
      <w:rFonts w:cs="David"/>
      <w:b/>
      <w:bCs/>
      <w:sz w:val="32"/>
      <w:szCs w:val="32"/>
      <w:lang w:eastAsia="he-IL"/>
    </w:rPr>
  </w:style>
  <w:style w:type="character" w:customStyle="1" w:styleId="72">
    <w:name w:val="כותרת 7 תו2"/>
    <w:locked/>
    <w:rsid w:val="00F1368B"/>
    <w:rPr>
      <w:rFonts w:cs="David"/>
      <w:sz w:val="36"/>
      <w:szCs w:val="36"/>
      <w:lang w:eastAsia="he-IL"/>
    </w:rPr>
  </w:style>
  <w:style w:type="paragraph" w:customStyle="1" w:styleId="Arial10">
    <w:name w:val="סגנון (לטיני) Arial (עברית ושפות אחרות) ‏10 נק' שמאל מרווח בין ש..."/>
    <w:basedOn w:val="Normal"/>
    <w:rsid w:val="00F1368B"/>
    <w:pPr>
      <w:widowControl w:val="0"/>
      <w:spacing w:after="0"/>
      <w:jc w:val="right"/>
    </w:pPr>
    <w:rPr>
      <w:rFonts w:ascii="David" w:eastAsia="Times New Roman" w:hAnsi="David" w:cs="David"/>
      <w:sz w:val="20"/>
      <w:szCs w:val="20"/>
      <w:lang w:eastAsia="he-IL"/>
    </w:rPr>
  </w:style>
  <w:style w:type="character" w:customStyle="1" w:styleId="20">
    <w:name w:val="תו תו2"/>
    <w:rsid w:val="00F1368B"/>
    <w:rPr>
      <w:b/>
      <w:spacing w:val="40"/>
      <w:sz w:val="24"/>
      <w:lang w:val="en-US" w:eastAsia="he-IL" w:bidi="he-IL"/>
    </w:rPr>
  </w:style>
  <w:style w:type="paragraph" w:customStyle="1" w:styleId="KOT6">
    <w:name w:val="KOT6"/>
    <w:basedOn w:val="KOT5"/>
    <w:locked/>
    <w:rsid w:val="001B19A1"/>
    <w:pPr>
      <w:outlineLvl w:val="3"/>
    </w:pPr>
    <w:rPr>
      <w:sz w:val="21"/>
      <w:szCs w:val="21"/>
    </w:rPr>
  </w:style>
  <w:style w:type="paragraph" w:customStyle="1" w:styleId="KOT7">
    <w:name w:val="KOT7"/>
    <w:basedOn w:val="KOT6"/>
    <w:locked/>
    <w:rsid w:val="00E7492C"/>
    <w:pPr>
      <w:outlineLvl w:val="4"/>
    </w:pPr>
    <w:rPr>
      <w:sz w:val="20"/>
      <w:szCs w:val="20"/>
    </w:rPr>
  </w:style>
  <w:style w:type="character" w:customStyle="1" w:styleId="610">
    <w:name w:val="כותרת 6 תו1"/>
    <w:rsid w:val="00F1368B"/>
    <w:rPr>
      <w:rFonts w:cs="David"/>
      <w:spacing w:val="40"/>
      <w:szCs w:val="24"/>
      <w:lang w:val="en-US" w:eastAsia="he-IL" w:bidi="he-IL"/>
    </w:rPr>
  </w:style>
  <w:style w:type="paragraph" w:customStyle="1" w:styleId="32">
    <w:name w:val="כותרת 32"/>
    <w:basedOn w:val="Normal"/>
    <w:next w:val="Normal"/>
    <w:rsid w:val="00F1368B"/>
    <w:pPr>
      <w:widowControl w:val="0"/>
      <w:spacing w:before="100" w:beforeAutospacing="1" w:after="0" w:line="288" w:lineRule="auto"/>
      <w:outlineLvl w:val="2"/>
    </w:pPr>
    <w:rPr>
      <w:rFonts w:ascii="Times New Roman" w:eastAsia="Times New Roman" w:hAnsi="Times New Roman" w:cs="David"/>
      <w:b/>
      <w:bCs/>
      <w:sz w:val="24"/>
      <w:szCs w:val="28"/>
      <w:u w:val="single"/>
      <w:lang w:eastAsia="he-IL"/>
    </w:rPr>
  </w:style>
  <w:style w:type="paragraph" w:customStyle="1" w:styleId="42">
    <w:name w:val="כותרת 42"/>
    <w:basedOn w:val="Normal"/>
    <w:next w:val="Normal"/>
    <w:rsid w:val="00F1368B"/>
    <w:pPr>
      <w:widowControl w:val="0"/>
      <w:spacing w:before="100" w:beforeAutospacing="1" w:after="0" w:line="264" w:lineRule="auto"/>
      <w:outlineLvl w:val="3"/>
    </w:pPr>
    <w:rPr>
      <w:rFonts w:ascii="Times New Roman" w:eastAsia="Times New Roman" w:hAnsi="Times New Roman" w:cs="David"/>
      <w:b/>
      <w:bCs/>
      <w:sz w:val="22"/>
      <w:szCs w:val="26"/>
      <w:lang w:eastAsia="he-IL"/>
    </w:rPr>
  </w:style>
  <w:style w:type="character" w:customStyle="1" w:styleId="410">
    <w:name w:val="כותרת 41 תו"/>
    <w:rsid w:val="00F1368B"/>
    <w:rPr>
      <w:rFonts w:cs="David"/>
      <w:b/>
      <w:bCs/>
      <w:sz w:val="22"/>
      <w:szCs w:val="26"/>
    </w:rPr>
  </w:style>
  <w:style w:type="character" w:customStyle="1" w:styleId="DocumentMapChar">
    <w:name w:val="Document Map Char"/>
    <w:basedOn w:val="DefaultParagraphFont"/>
    <w:link w:val="DocumentMap"/>
    <w:semiHidden/>
    <w:rsid w:val="00F1368B"/>
    <w:rPr>
      <w:rFonts w:ascii="Tahoma" w:eastAsia="Times New Roman" w:hAnsi="Tahoma" w:cs="Tahoma"/>
      <w:sz w:val="20"/>
      <w:szCs w:val="20"/>
      <w:shd w:val="clear" w:color="auto" w:fill="000080"/>
      <w:lang w:eastAsia="he-IL"/>
    </w:rPr>
  </w:style>
  <w:style w:type="paragraph" w:styleId="DocumentMap">
    <w:name w:val="Document Map"/>
    <w:basedOn w:val="Normal"/>
    <w:link w:val="DocumentMapChar"/>
    <w:semiHidden/>
    <w:rsid w:val="00F1368B"/>
    <w:pPr>
      <w:widowControl w:val="0"/>
      <w:shd w:val="clear" w:color="auto" w:fill="000080"/>
      <w:spacing w:after="0" w:line="312" w:lineRule="auto"/>
      <w:jc w:val="both"/>
    </w:pPr>
    <w:rPr>
      <w:rFonts w:ascii="Tahoma" w:eastAsia="Times New Roman" w:hAnsi="Tahoma" w:cs="Tahoma"/>
      <w:sz w:val="20"/>
      <w:szCs w:val="20"/>
      <w:lang w:eastAsia="he-IL"/>
    </w:rPr>
  </w:style>
  <w:style w:type="paragraph" w:customStyle="1" w:styleId="a7">
    <w:name w:val="נבנצאל"/>
    <w:basedOn w:val="Normal"/>
    <w:next w:val="Normal"/>
    <w:uiPriority w:val="99"/>
    <w:rsid w:val="00F1368B"/>
    <w:pPr>
      <w:spacing w:after="200" w:line="276" w:lineRule="auto"/>
      <w:ind w:left="-567"/>
    </w:pPr>
    <w:rPr>
      <w:rFonts w:ascii="Rockwell" w:eastAsia="Rockwell" w:hAnsi="Rockwell" w:cs="David"/>
      <w:sz w:val="22"/>
      <w:szCs w:val="20"/>
    </w:rPr>
  </w:style>
  <w:style w:type="character" w:customStyle="1" w:styleId="a8">
    <w:name w:val="נבנצאל תו"/>
    <w:uiPriority w:val="99"/>
    <w:locked/>
    <w:rsid w:val="00F1368B"/>
    <w:rPr>
      <w:rFonts w:ascii="Rockwell" w:eastAsia="Rockwell" w:hAnsi="Rockwell" w:cs="David"/>
      <w:sz w:val="22"/>
    </w:rPr>
  </w:style>
  <w:style w:type="paragraph" w:styleId="Date">
    <w:name w:val="Date"/>
    <w:basedOn w:val="Normal"/>
    <w:next w:val="Normal"/>
    <w:link w:val="DateChar"/>
    <w:uiPriority w:val="99"/>
    <w:rsid w:val="00F1368B"/>
    <w:pPr>
      <w:spacing w:before="120" w:after="200" w:line="240" w:lineRule="auto"/>
    </w:pPr>
    <w:rPr>
      <w:rFonts w:ascii="Rockwell" w:eastAsia="Rockwell" w:hAnsi="Rockwell" w:cs="David"/>
      <w:sz w:val="22"/>
      <w:szCs w:val="22"/>
    </w:rPr>
  </w:style>
  <w:style w:type="character" w:customStyle="1" w:styleId="DateChar">
    <w:name w:val="Date Char"/>
    <w:basedOn w:val="DefaultParagraphFont"/>
    <w:link w:val="Date"/>
    <w:uiPriority w:val="99"/>
    <w:rsid w:val="00F1368B"/>
    <w:rPr>
      <w:rFonts w:ascii="Rockwell" w:eastAsia="Rockwell" w:hAnsi="Rockwell" w:cs="David"/>
      <w:sz w:val="22"/>
      <w:szCs w:val="22"/>
    </w:rPr>
  </w:style>
  <w:style w:type="character" w:customStyle="1" w:styleId="a9">
    <w:name w:val="תאריך תו"/>
    <w:rsid w:val="00F1368B"/>
    <w:rPr>
      <w:rFonts w:ascii="Rockwell" w:eastAsia="Rockwell" w:hAnsi="Rockwell" w:cs="David"/>
      <w:sz w:val="22"/>
      <w:szCs w:val="22"/>
    </w:rPr>
  </w:style>
  <w:style w:type="paragraph" w:customStyle="1" w:styleId="tab-name">
    <w:name w:val="tab-name"/>
    <w:basedOn w:val="KOT5"/>
    <w:qFormat/>
    <w:rsid w:val="00132FFC"/>
    <w:pPr>
      <w:outlineLvl w:val="9"/>
    </w:pPr>
    <w:rPr>
      <w:rFonts w:eastAsiaTheme="minorEastAsia"/>
      <w:color w:val="0B5294" w:themeColor="accent1" w:themeShade="BF"/>
      <w:sz w:val="18"/>
      <w:szCs w:val="18"/>
    </w:rPr>
  </w:style>
  <w:style w:type="paragraph" w:customStyle="1" w:styleId="chap-name">
    <w:name w:val="chap-name"/>
    <w:basedOn w:val="Footer"/>
    <w:qFormat/>
    <w:rsid w:val="00E077B7"/>
    <w:pPr>
      <w:spacing w:before="2000" w:after="240" w:line="800" w:lineRule="atLeast"/>
      <w:jc w:val="center"/>
    </w:pPr>
    <w:rPr>
      <w:rFonts w:ascii="Tahoma" w:hAnsi="Tahoma" w:cs="Tahoma"/>
      <w:color w:val="2A2AA6"/>
      <w:sz w:val="32"/>
      <w:szCs w:val="36"/>
    </w:rPr>
  </w:style>
  <w:style w:type="paragraph" w:customStyle="1" w:styleId="KOT3T">
    <w:name w:val="KOT3T"/>
    <w:basedOn w:val="KOT3"/>
    <w:qFormat/>
    <w:rsid w:val="00D94BA9"/>
    <w:pPr>
      <w:spacing w:after="240" w:line="240" w:lineRule="atLeast"/>
      <w:outlineLvl w:val="0"/>
    </w:pPr>
    <w:rPr>
      <w:rFonts w:ascii="Tahoma" w:hAnsi="Tahoma" w:cs="Tahoma"/>
      <w:b w:val="0"/>
      <w:bCs w:val="0"/>
      <w:color w:val="2A2AA6"/>
      <w:sz w:val="48"/>
      <w:szCs w:val="52"/>
    </w:rPr>
  </w:style>
  <w:style w:type="paragraph" w:customStyle="1" w:styleId="KOT4T">
    <w:name w:val="KOT4T"/>
    <w:basedOn w:val="KOT4"/>
    <w:qFormat/>
    <w:rsid w:val="00D94BA9"/>
    <w:pPr>
      <w:spacing w:line="240" w:lineRule="atLeast"/>
    </w:pPr>
    <w:rPr>
      <w:color w:val="2A2AA6"/>
      <w:sz w:val="36"/>
      <w:szCs w:val="36"/>
    </w:rPr>
  </w:style>
  <w:style w:type="paragraph" w:customStyle="1" w:styleId="KOT4S">
    <w:name w:val="KOT4S"/>
    <w:basedOn w:val="KOT4"/>
    <w:qFormat/>
    <w:rsid w:val="00D94BA9"/>
    <w:pPr>
      <w:spacing w:line="240" w:lineRule="atLeast"/>
    </w:pPr>
    <w:rPr>
      <w:color w:val="6B2757"/>
      <w:sz w:val="36"/>
      <w:szCs w:val="36"/>
    </w:rPr>
  </w:style>
  <w:style w:type="paragraph" w:customStyle="1" w:styleId="KOT5T">
    <w:name w:val="KOT5T"/>
    <w:basedOn w:val="KOT5"/>
    <w:qFormat/>
    <w:rsid w:val="00D36781"/>
    <w:pPr>
      <w:jc w:val="center"/>
    </w:pPr>
    <w:rPr>
      <w:b/>
      <w:bCs/>
      <w:sz w:val="24"/>
      <w:szCs w:val="24"/>
      <w:u w:color="FF0000"/>
    </w:rPr>
  </w:style>
  <w:style w:type="paragraph" w:customStyle="1" w:styleId="KOT6T">
    <w:name w:val="KOT6T"/>
    <w:basedOn w:val="KOT6"/>
    <w:qFormat/>
    <w:rsid w:val="00D94BA9"/>
    <w:pPr>
      <w:spacing w:after="60"/>
    </w:pPr>
    <w:rPr>
      <w:sz w:val="20"/>
      <w:szCs w:val="20"/>
    </w:rPr>
  </w:style>
  <w:style w:type="paragraph" w:styleId="BlockText">
    <w:name w:val="Block Text"/>
    <w:basedOn w:val="Normal"/>
    <w:unhideWhenUsed/>
    <w:rsid w:val="00E67E7C"/>
    <w:pPr>
      <w:pBdr>
        <w:top w:val="single" w:sz="12" w:space="1" w:color="2A2AA6"/>
        <w:left w:val="single" w:sz="12" w:space="4" w:color="2A2AA6"/>
        <w:bottom w:val="single" w:sz="12" w:space="1" w:color="2A2AA6"/>
        <w:right w:val="single" w:sz="12" w:space="4" w:color="2A2AA6"/>
      </w:pBdr>
      <w:spacing w:line="240" w:lineRule="exact"/>
      <w:ind w:left="170" w:right="2268"/>
      <w:jc w:val="both"/>
    </w:pPr>
    <w:rPr>
      <w:rFonts w:ascii="Tahoma" w:hAnsi="Tahoma" w:cs="Tahoma"/>
      <w:sz w:val="17"/>
      <w:szCs w:val="17"/>
    </w:rPr>
  </w:style>
  <w:style w:type="paragraph" w:customStyle="1" w:styleId="name-sub">
    <w:name w:val="name-sub"/>
    <w:basedOn w:val="NAME"/>
    <w:qFormat/>
    <w:rsid w:val="00C20745"/>
    <w:pPr>
      <w:spacing w:before="0" w:after="240"/>
    </w:pPr>
    <w:rPr>
      <w:sz w:val="32"/>
      <w:szCs w:val="32"/>
    </w:rPr>
  </w:style>
  <w:style w:type="character" w:customStyle="1" w:styleId="Heading5Char1">
    <w:name w:val="Heading 5 Char1"/>
    <w:basedOn w:val="DefaultParagraphFont"/>
    <w:uiPriority w:val="1"/>
    <w:rsid w:val="000F41D0"/>
    <w:rPr>
      <w:rFonts w:eastAsiaTheme="majorEastAsia"/>
      <w:bCs/>
      <w:spacing w:val="40"/>
    </w:rPr>
  </w:style>
  <w:style w:type="character" w:customStyle="1" w:styleId="FootnoteTextChar1">
    <w:name w:val="Footnote Text Char1"/>
    <w:aliases w:val=" Char Char,FOOTNOTES Char,Footnote Text - Sharp Char Char Char,Footnote Text - Sharp Char Char1,Footnote Text - Sharp Char1,Footnote Text Char Char Char Char Char Char,Footnote reference Char,Sharp - Footnote Text Char,fn Char"/>
    <w:basedOn w:val="DefaultParagraphFont"/>
    <w:rsid w:val="000F41D0"/>
    <w:rPr>
      <w:szCs w:val="20"/>
    </w:rPr>
  </w:style>
  <w:style w:type="paragraph" w:customStyle="1" w:styleId="P00">
    <w:name w:val="P00"/>
    <w:rsid w:val="000F41D0"/>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jc w:val="both"/>
    </w:pPr>
    <w:rPr>
      <w:rFonts w:ascii="Times New Roman" w:eastAsia="Times New Roman" w:hAnsi="Times New Roman" w:cs="Times New Roman"/>
      <w:noProof/>
      <w:sz w:val="20"/>
      <w:szCs w:val="26"/>
      <w:lang w:eastAsia="he-IL"/>
    </w:rPr>
  </w:style>
  <w:style w:type="character" w:customStyle="1" w:styleId="st1">
    <w:name w:val="st1"/>
    <w:basedOn w:val="DefaultParagraphFont"/>
    <w:rsid w:val="000F41D0"/>
  </w:style>
  <w:style w:type="paragraph" w:customStyle="1" w:styleId="sub-name-2">
    <w:name w:val="sub-name-2"/>
    <w:basedOn w:val="name-sub"/>
    <w:qFormat/>
    <w:rsid w:val="00C20745"/>
    <w:pPr>
      <w:outlineLvl w:val="9"/>
    </w:pPr>
    <w:rPr>
      <w:sz w:val="24"/>
      <w:szCs w:val="24"/>
    </w:rPr>
  </w:style>
  <w:style w:type="paragraph" w:customStyle="1" w:styleId="name-sub-2">
    <w:name w:val="name-sub-2"/>
    <w:basedOn w:val="sub-name-2"/>
    <w:qFormat/>
    <w:rsid w:val="00C20745"/>
    <w:pPr>
      <w:spacing w:after="120"/>
    </w:pPr>
  </w:style>
  <w:style w:type="paragraph" w:customStyle="1" w:styleId="takzir-text">
    <w:name w:val="takzir-text"/>
    <w:qFormat/>
    <w:rsid w:val="00F67E4C"/>
    <w:pPr>
      <w:pBdr>
        <w:top w:val="single" w:sz="8" w:space="4" w:color="2A2AA6"/>
        <w:left w:val="single" w:sz="8" w:space="4" w:color="2A2AA6"/>
        <w:bottom w:val="single" w:sz="8" w:space="6" w:color="2A2AA6"/>
        <w:right w:val="single" w:sz="8" w:space="4" w:color="2A2AA6"/>
      </w:pBdr>
      <w:spacing w:line="240" w:lineRule="exact"/>
      <w:ind w:left="170" w:right="2268"/>
      <w:jc w:val="both"/>
    </w:pPr>
    <w:rPr>
      <w:rFonts w:ascii="Tahoma" w:hAnsi="Tahoma" w:cs="Tahoma"/>
      <w:sz w:val="17"/>
      <w:szCs w:val="18"/>
    </w:rPr>
  </w:style>
  <w:style w:type="paragraph" w:customStyle="1" w:styleId="takzir-list-paragraph">
    <w:name w:val="takzir-list-paragraph"/>
    <w:basedOn w:val="ListParagraph"/>
    <w:next w:val="takzir-text"/>
    <w:qFormat/>
    <w:rsid w:val="00F67E4C"/>
    <w:pPr>
      <w:numPr>
        <w:numId w:val="5"/>
      </w:numPr>
      <w:pBdr>
        <w:top w:val="single" w:sz="8" w:space="4" w:color="2A2AA6"/>
        <w:left w:val="single" w:sz="8" w:space="4" w:color="2A2AA6"/>
        <w:bottom w:val="single" w:sz="8" w:space="6" w:color="2A2AA6"/>
        <w:right w:val="single" w:sz="8" w:space="4" w:color="2A2AA6"/>
      </w:pBdr>
      <w:spacing w:line="240" w:lineRule="exact"/>
      <w:ind w:right="2268"/>
    </w:pPr>
    <w:rPr>
      <w:sz w:val="17"/>
      <w:szCs w:val="18"/>
    </w:rPr>
  </w:style>
  <w:style w:type="paragraph" w:customStyle="1" w:styleId="running-text">
    <w:name w:val="running-text"/>
    <w:qFormat/>
    <w:rsid w:val="00F67E4C"/>
    <w:pPr>
      <w:spacing w:line="240" w:lineRule="exact"/>
      <w:ind w:right="2268"/>
      <w:jc w:val="both"/>
    </w:pPr>
    <w:rPr>
      <w:rFonts w:ascii="Tahoma" w:hAnsi="Tahoma" w:cs="Tahoma"/>
      <w:sz w:val="17"/>
      <w:szCs w:val="18"/>
    </w:rPr>
  </w:style>
  <w:style w:type="paragraph" w:customStyle="1" w:styleId="text-source">
    <w:name w:val="text-source"/>
    <w:basedOn w:val="Normal"/>
    <w:next w:val="takzir-text"/>
    <w:qFormat/>
    <w:rsid w:val="00E7492C"/>
    <w:pPr>
      <w:shd w:val="clear" w:color="auto" w:fill="FFFFFF"/>
      <w:spacing w:before="120" w:after="240" w:line="200" w:lineRule="exact"/>
      <w:ind w:right="2268"/>
    </w:pPr>
    <w:rPr>
      <w:rFonts w:ascii="Tahoma" w:eastAsia="Times New Roman" w:hAnsi="Tahoma" w:cs="Tahoma"/>
      <w:color w:val="222222"/>
      <w:sz w:val="14"/>
      <w:szCs w:val="14"/>
    </w:rPr>
  </w:style>
  <w:style w:type="numbering" w:styleId="111111">
    <w:name w:val="Outline List 2"/>
    <w:basedOn w:val="NoList"/>
    <w:uiPriority w:val="99"/>
    <w:semiHidden/>
    <w:unhideWhenUsed/>
    <w:rsid w:val="009B6D36"/>
    <w:pPr>
      <w:numPr>
        <w:numId w:val="1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eader" Target="header6.xml"/><Relationship Id="rId8" Type="http://schemas.openxmlformats.org/officeDocument/2006/relationships/image" Target="media/image1.png"/><Relationship Id="rId21" Type="http://schemas.openxmlformats.org/officeDocument/2006/relationships/numbering" Target="numbering.xml"/><Relationship Id="rId3" Type="http://schemas.openxmlformats.org/officeDocument/2006/relationships/webSettings" Target="webSettings.xml"/><Relationship Id="rId12" Type="http://schemas.openxmlformats.org/officeDocument/2006/relationships/header" Target="header5.xml"/><Relationship Id="rId17" Type="http://schemas.openxmlformats.org/officeDocument/2006/relationships/image" Target="media/image7.jpeg"/><Relationship Id="rId7" Type="http://schemas.openxmlformats.org/officeDocument/2006/relationships/header" Target="header2.xml"/><Relationship Id="rId25" Type="http://schemas.openxmlformats.org/officeDocument/2006/relationships/customXml" Target="../customXml/item4.xml"/><Relationship Id="rId16" Type="http://schemas.openxmlformats.org/officeDocument/2006/relationships/image" Target="media/image6.jpeg"/><Relationship Id="rId2" Type="http://schemas.openxmlformats.org/officeDocument/2006/relationships/settings" Target="settings.xml"/><Relationship Id="rId20" Type="http://schemas.openxmlformats.org/officeDocument/2006/relationships/theme" Target="theme/theme1.xml"/><Relationship Id="rId1" Type="http://schemas.openxmlformats.org/officeDocument/2006/relationships/footnotes" Target="footnotes.xml"/><Relationship Id="rId11" Type="http://schemas.openxmlformats.org/officeDocument/2006/relationships/header" Target="header4.xml"/><Relationship Id="rId6" Type="http://schemas.openxmlformats.org/officeDocument/2006/relationships/header" Target="header1.xml"/><Relationship Id="rId24" Type="http://schemas.openxmlformats.org/officeDocument/2006/relationships/customXml" Target="../customXml/item3.xml"/><Relationship Id="rId15" Type="http://schemas.openxmlformats.org/officeDocument/2006/relationships/image" Target="media/image5.jpeg"/><Relationship Id="rId5" Type="http://schemas.openxmlformats.org/officeDocument/2006/relationships/customXml" Target="../customXml/item1.xml"/><Relationship Id="rId23" Type="http://schemas.openxmlformats.org/officeDocument/2006/relationships/customXml" Target="../customXml/item2.xml"/><Relationship Id="rId10" Type="http://schemas.openxmlformats.org/officeDocument/2006/relationships/header" Target="header3.xml"/><Relationship Id="rId19" Type="http://schemas.openxmlformats.org/officeDocument/2006/relationships/header" Target="header7.xml"/><Relationship Id="rId14" Type="http://schemas.openxmlformats.org/officeDocument/2006/relationships/image" Target="media/image4.jpeg"/><Relationship Id="rId22" Type="http://schemas.openxmlformats.org/officeDocument/2006/relationships/styles" Target="styles.xml"/><Relationship Id="rId4" Type="http://schemas.openxmlformats.org/officeDocument/2006/relationships/fontTable" Target="fontTable.xml"/><Relationship Id="rId9" Type="http://schemas.openxmlformats.org/officeDocument/2006/relationships/image" Target="media/image2.png"/></Relationships>
</file>

<file path=word/theme/_rels/theme1.xml.rels>&#65279;<?xml version="1.0" encoding="utf-8" standalone="yes"?><Relationships xmlns="http://schemas.openxmlformats.org/package/2006/relationships"><Relationship Id="rId1" Type="http://schemas.openxmlformats.org/officeDocument/2006/relationships/image" Target="../media/image8.jpeg" /></Relationships>
</file>

<file path=word/theme/theme1.xml><?xml version="1.0" encoding="utf-8"?>
<a:theme xmlns:a="http://schemas.openxmlformats.org/drawingml/2006/main" name="Ion">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 xmlns:thm15="http://schemas.microsoft.com/office/thememl/2012/main" name="Ion" id="{B8441ADB-2E43-4AF7-B97A-BD870242C6A8}" vid="{292E63A9-BB86-4E3D-B92A-7223C6510D2E}"/>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716B9AE1-3C38-44C2-A8E6-355D0F71BAF0}">
  <ds:schemaRefs>
    <ds:schemaRef ds:uri="http://schemas.openxmlformats.org/officeDocument/2006/bibliography"/>
  </ds:schemaRefs>
</ds:datastoreItem>
</file>

<file path=customXml/itemProps2.xml><?xml version="1.0" encoding="utf-8"?>
<ds:datastoreItem xmlns:ds="http://schemas.openxmlformats.org/officeDocument/2006/customXml" ds:itemID="{04036C7B-FB90-46E4-8D34-3E64AA9F2565}"/>
</file>

<file path=customXml/itemProps3.xml><?xml version="1.0" encoding="utf-8"?>
<ds:datastoreItem xmlns:ds="http://schemas.openxmlformats.org/officeDocument/2006/customXml" ds:itemID="{53C777E6-9E90-464C-8ACD-7B1B998AE55B}"/>
</file>

<file path=customXml/itemProps4.xml><?xml version="1.0" encoding="utf-8"?>
<ds:datastoreItem xmlns:ds="http://schemas.openxmlformats.org/officeDocument/2006/customXml" ds:itemID="{C1ED5400-4B8A-4DF2-998B-341D18C51DD5}"/>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