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D653E5">
      <w:pPr>
        <w:spacing w:line="240" w:lineRule="auto"/>
        <w:jc w:val="center"/>
        <w:rPr>
          <w:sz w:val="28"/>
          <w:szCs w:val="26"/>
          <w:rtl/>
        </w:rPr>
      </w:pPr>
      <w:bookmarkStart w:id="0" w:name="_GoBack"/>
      <w:bookmarkEnd w:id="0"/>
      <w:r>
        <w:rPr>
          <w:noProof/>
          <w:lang w:eastAsia="en-US"/>
        </w:rPr>
        <w:drawing>
          <wp:inline distT="0" distB="0" distL="0" distR="0">
            <wp:extent cx="714375" cy="885825"/>
            <wp:effectExtent l="0" t="0" r="9525" b="9525"/>
            <wp:docPr id="20" name="תמונה 1" descr="sem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75024" name="Picture 1" descr="semel"/>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14375" cy="885825"/>
                    </a:xfrm>
                    <a:prstGeom prst="rect">
                      <a:avLst/>
                    </a:prstGeom>
                    <a:noFill/>
                    <a:ln>
                      <a:noFill/>
                    </a:ln>
                  </pic:spPr>
                </pic:pic>
              </a:graphicData>
            </a:graphic>
          </wp:inline>
        </w:drawing>
      </w:r>
    </w:p>
    <w:p w:rsidR="00D653E5">
      <w:pPr>
        <w:spacing w:line="240" w:lineRule="auto"/>
        <w:jc w:val="center"/>
        <w:rPr>
          <w:sz w:val="28"/>
          <w:szCs w:val="26"/>
          <w:rtl/>
        </w:rPr>
      </w:pPr>
      <w:r>
        <w:rPr>
          <w:rFonts w:hint="cs"/>
          <w:sz w:val="28"/>
          <w:szCs w:val="26"/>
          <w:rtl/>
        </w:rPr>
        <w:t>מבקר המדינה</w:t>
      </w:r>
    </w:p>
    <w:p w:rsidR="00D653E5">
      <w:pPr>
        <w:spacing w:line="240" w:lineRule="auto"/>
        <w:jc w:val="center"/>
        <w:rPr>
          <w:rtl/>
        </w:rPr>
      </w:pPr>
      <w:r>
        <w:rPr>
          <w:rFonts w:hint="cs"/>
          <w:rtl/>
        </w:rPr>
        <w:t>מרים בן-פורת</w:t>
      </w:r>
    </w:p>
    <w:p w:rsidR="00D653E5">
      <w:pPr>
        <w:spacing w:line="240" w:lineRule="auto"/>
        <w:rPr>
          <w:rtl/>
        </w:rPr>
      </w:pPr>
    </w:p>
    <w:p w:rsidR="00D653E5">
      <w:pPr>
        <w:spacing w:line="240" w:lineRule="auto"/>
        <w:rPr>
          <w:rtl/>
        </w:rPr>
      </w:pPr>
    </w:p>
    <w:p w:rsidR="00D653E5">
      <w:pPr>
        <w:spacing w:line="240" w:lineRule="auto"/>
        <w:jc w:val="right"/>
        <w:rPr>
          <w:rtl/>
        </w:rPr>
      </w:pPr>
      <w:r>
        <w:rPr>
          <w:rFonts w:hint="cs"/>
          <w:rtl/>
        </w:rPr>
        <w:tab/>
        <w:t>ירושלים, ט' בטבת התשנ"א</w:t>
      </w:r>
    </w:p>
    <w:p w:rsidR="00D653E5">
      <w:pPr>
        <w:spacing w:line="240" w:lineRule="auto"/>
        <w:jc w:val="right"/>
        <w:rPr>
          <w:rtl/>
        </w:rPr>
      </w:pPr>
      <w:r>
        <w:rPr>
          <w:rFonts w:hint="cs"/>
          <w:rtl/>
        </w:rPr>
        <w:tab/>
      </w:r>
      <w:r>
        <w:rPr>
          <w:rFonts w:hint="cs"/>
          <w:rtl/>
        </w:rPr>
        <w:tab/>
        <w:t>26 בדצמבר 1990</w:t>
      </w:r>
    </w:p>
    <w:p w:rsidR="00D653E5">
      <w:pPr>
        <w:spacing w:line="240" w:lineRule="auto"/>
        <w:jc w:val="right"/>
        <w:rPr>
          <w:rtl/>
        </w:rPr>
      </w:pPr>
    </w:p>
    <w:p w:rsidR="00D653E5">
      <w:pPr>
        <w:spacing w:line="240" w:lineRule="auto"/>
        <w:rPr>
          <w:rtl/>
        </w:rPr>
      </w:pPr>
      <w:r>
        <w:rPr>
          <w:rFonts w:hint="cs"/>
          <w:rtl/>
        </w:rPr>
        <w:t>לכבוד</w:t>
      </w:r>
    </w:p>
    <w:p w:rsidR="00D653E5">
      <w:pPr>
        <w:spacing w:line="240" w:lineRule="auto"/>
        <w:rPr>
          <w:rtl/>
        </w:rPr>
      </w:pPr>
      <w:r>
        <w:rPr>
          <w:rFonts w:hint="cs"/>
          <w:rtl/>
        </w:rPr>
        <w:t>מר דב שילנסקי</w:t>
      </w:r>
    </w:p>
    <w:p w:rsidR="00D653E5">
      <w:pPr>
        <w:spacing w:line="240" w:lineRule="auto"/>
        <w:rPr>
          <w:rtl/>
        </w:rPr>
      </w:pPr>
      <w:r>
        <w:rPr>
          <w:rFonts w:hint="cs"/>
          <w:rtl/>
        </w:rPr>
        <w:t>יושב ראש הכנסת</w:t>
      </w:r>
    </w:p>
    <w:p w:rsidR="00D653E5">
      <w:pPr>
        <w:spacing w:line="240" w:lineRule="auto"/>
        <w:rPr>
          <w:rtl/>
        </w:rPr>
      </w:pPr>
      <w:r>
        <w:rPr>
          <w:rFonts w:hint="cs"/>
          <w:rtl/>
        </w:rPr>
        <w:t>הכנסת</w:t>
      </w:r>
    </w:p>
    <w:p w:rsidR="00D653E5">
      <w:pPr>
        <w:pStyle w:val="Heading3"/>
        <w:tabs>
          <w:tab w:val="clear" w:pos="5772"/>
          <w:tab w:val="clear" w:pos="6636"/>
        </w:tabs>
        <w:spacing w:line="240" w:lineRule="auto"/>
        <w:rPr>
          <w:rtl/>
        </w:rPr>
      </w:pPr>
      <w:r>
        <w:rPr>
          <w:rFonts w:hint="cs"/>
          <w:rtl/>
        </w:rPr>
        <w:t>ירושלים</w:t>
      </w:r>
    </w:p>
    <w:p w:rsidR="00D653E5">
      <w:pPr>
        <w:spacing w:line="240" w:lineRule="auto"/>
        <w:rPr>
          <w:u w:val="single"/>
          <w:rtl/>
        </w:rPr>
      </w:pPr>
    </w:p>
    <w:p w:rsidR="00D653E5">
      <w:pPr>
        <w:spacing w:line="240" w:lineRule="auto"/>
        <w:rPr>
          <w:rtl/>
        </w:rPr>
      </w:pPr>
      <w:r>
        <w:rPr>
          <w:rFonts w:hint="cs"/>
          <w:rtl/>
        </w:rPr>
        <w:t>אישי יושב ראש הכנסת,</w:t>
      </w:r>
    </w:p>
    <w:p w:rsidR="00D653E5">
      <w:pPr>
        <w:spacing w:line="240" w:lineRule="auto"/>
        <w:rPr>
          <w:rtl/>
        </w:rPr>
      </w:pPr>
    </w:p>
    <w:p w:rsidR="00D653E5">
      <w:pPr>
        <w:spacing w:line="240" w:lineRule="auto"/>
        <w:rPr>
          <w:rtl/>
        </w:rPr>
      </w:pPr>
    </w:p>
    <w:p w:rsidR="00D653E5">
      <w:pPr>
        <w:spacing w:line="240" w:lineRule="auto"/>
        <w:rPr>
          <w:rtl/>
        </w:rPr>
      </w:pPr>
      <w:r>
        <w:rPr>
          <w:rFonts w:hint="cs"/>
          <w:rtl/>
        </w:rPr>
        <w:t>הנדון: דין וחשבון לפי חוק מימון מפלגות, התשל"ג-1973</w:t>
      </w:r>
    </w:p>
    <w:p w:rsidR="00D653E5">
      <w:pPr>
        <w:spacing w:line="240" w:lineRule="auto"/>
        <w:rPr>
          <w:rtl/>
        </w:rPr>
      </w:pPr>
      <w:r>
        <w:rPr>
          <w:rFonts w:hint="cs"/>
          <w:rtl/>
        </w:rPr>
        <w:tab/>
        <w:t xml:space="preserve">על תוצאות ביקורת חשבונות הסיעה </w:t>
      </w:r>
    </w:p>
    <w:p w:rsidR="00D653E5">
      <w:pPr>
        <w:spacing w:line="240" w:lineRule="auto"/>
        <w:rPr>
          <w:rtl/>
        </w:rPr>
      </w:pPr>
      <w:r>
        <w:rPr>
          <w:rFonts w:hint="cs"/>
          <w:rtl/>
        </w:rPr>
        <w:tab/>
        <w:t>"</w:t>
      </w:r>
      <w:r>
        <w:rPr>
          <w:rFonts w:hint="cs"/>
          <w:b/>
          <w:bCs/>
          <w:rtl/>
        </w:rPr>
        <w:t xml:space="preserve">התאחדות הספרדים שומרי </w:t>
      </w:r>
      <w:r>
        <w:rPr>
          <w:rFonts w:hint="cs"/>
          <w:b/>
          <w:bCs/>
          <w:rtl/>
        </w:rPr>
        <w:t>תורה-ש"ס"</w:t>
      </w:r>
    </w:p>
    <w:p w:rsidR="00D653E5">
      <w:pPr>
        <w:spacing w:line="240" w:lineRule="auto"/>
        <w:rPr>
          <w:rtl/>
        </w:rPr>
      </w:pPr>
      <w:r>
        <w:rPr>
          <w:noProof/>
          <w:sz w:val="20"/>
          <w:rtl/>
          <w:lang w:eastAsia="en-US"/>
        </w:rPr>
        <mc:AlternateContent>
          <mc:Choice Requires="wps">
            <w:drawing>
              <wp:anchor distT="0" distB="0" distL="114300" distR="114300" simplePos="0" relativeHeight="251658240" behindDoc="0" locked="0" layoutInCell="1" allowOverlap="1">
                <wp:simplePos x="0" y="0"/>
                <wp:positionH relativeFrom="column">
                  <wp:posOffset>1737360</wp:posOffset>
                </wp:positionH>
                <wp:positionV relativeFrom="paragraph">
                  <wp:posOffset>11430</wp:posOffset>
                </wp:positionV>
                <wp:extent cx="3108960" cy="0"/>
                <wp:effectExtent l="0" t="0" r="0" b="0"/>
                <wp:wrapNone/>
                <wp:docPr id="23"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310896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flip:x;mso-height-percent:0;mso-height-relative:page;mso-width-percent:0;mso-width-relative:page;mso-wrap-distance-bottom:0;mso-wrap-distance-left:9pt;mso-wrap-distance-right:9pt;mso-wrap-distance-top:0;mso-wrap-style:square;position:absolute;visibility:visible;z-index:251659264" from="136.8pt,0.9pt" to="381.6pt,0.9pt"/>
            </w:pict>
          </mc:Fallback>
        </mc:AlternateContent>
      </w:r>
    </w:p>
    <w:p w:rsidR="00D653E5">
      <w:pPr>
        <w:spacing w:line="240" w:lineRule="auto"/>
        <w:rPr>
          <w:rtl/>
        </w:rPr>
      </w:pPr>
    </w:p>
    <w:p w:rsidR="00D653E5">
      <w:pPr>
        <w:spacing w:line="240" w:lineRule="auto"/>
        <w:ind w:left="567" w:hanging="567"/>
        <w:rPr>
          <w:rtl/>
        </w:rPr>
      </w:pPr>
      <w:r>
        <w:rPr>
          <w:rFonts w:hint="cs"/>
          <w:rtl/>
        </w:rPr>
        <w:t>1.</w:t>
      </w:r>
      <w:r>
        <w:rPr>
          <w:rFonts w:hint="cs"/>
          <w:rtl/>
        </w:rPr>
        <w:tab/>
        <w:t>(א)</w:t>
      </w:r>
      <w:r>
        <w:rPr>
          <w:rFonts w:hint="cs"/>
          <w:rtl/>
        </w:rPr>
        <w:tab/>
        <w:t>בהתאם לחוק מימון מפלגות, התשל"ג-1973 (להלן - חוק המימון) מסרתי לך ב-6.6.1989 דין וחשבון על תוצאות ביקורת חשבונות הסיעות לתקופת הבחירות לכנסת השתים-עשרה. בענין חשבונות "</w:t>
      </w:r>
      <w:r>
        <w:rPr>
          <w:rFonts w:hint="cs"/>
          <w:b/>
          <w:bCs/>
          <w:rtl/>
        </w:rPr>
        <w:t>התאחדות הספרדים שומרי תורה-ש"ס</w:t>
      </w:r>
      <w:r>
        <w:rPr>
          <w:rFonts w:hint="cs"/>
          <w:rtl/>
        </w:rPr>
        <w:t xml:space="preserve">" (להלן - סיעת ש"ס), קבעתי באותו דין </w:t>
      </w:r>
      <w:r>
        <w:rPr>
          <w:rFonts w:hint="cs"/>
          <w:rtl/>
        </w:rPr>
        <w:t xml:space="preserve">וחשבון, כי היא לא קיימה את הנחיות מבקר המדינה ולא עמדה באיסור על קבלת תרומה מתאגיד הקבוע בסעיף 8 לחוק המימון. נוכח קביעה זו, הדין וחשבון שנתתי על ביקורת חשבונות סיעת ש"ס היה לא חיובי. אולם, לאור נסיבות מקלות, השתמשתי בשיקול דעתי, והסנקציה שהמלצתי להטיל על </w:t>
      </w:r>
      <w:r>
        <w:rPr>
          <w:rFonts w:hint="cs"/>
          <w:rtl/>
        </w:rPr>
        <w:t>סיעת ש"ס היתה שלילת השלמת מימון הוצאות הבחירות בשיעור של 12% במקום הסנקציה המירבית בשיעור של 15%.</w:t>
      </w:r>
    </w:p>
    <w:p w:rsidR="00D653E5">
      <w:pPr>
        <w:spacing w:line="240" w:lineRule="auto"/>
        <w:ind w:left="1134" w:hanging="567"/>
        <w:rPr>
          <w:rtl/>
        </w:rPr>
      </w:pPr>
      <w:r>
        <w:rPr>
          <w:rtl/>
        </w:rPr>
        <w:br w:type="page"/>
      </w:r>
      <w:r>
        <w:rPr>
          <w:rFonts w:hint="cs"/>
          <w:rtl/>
        </w:rPr>
        <w:t>(ב)</w:t>
      </w:r>
      <w:r>
        <w:rPr>
          <w:rFonts w:hint="cs"/>
          <w:rtl/>
        </w:rPr>
        <w:tab/>
        <w:t xml:space="preserve">בהתאם לחוק המימון מסרתי לך באותו מועד גם דין וחשבון על תוצאות ביקורת חשבונות הסיעות לתקופה 1.4.1988 - 30.11.1988. בענין חשבונות סיעת ש"ס קבעתי באותו דין </w:t>
      </w:r>
      <w:r>
        <w:rPr>
          <w:rFonts w:hint="cs"/>
          <w:rtl/>
        </w:rPr>
        <w:t>וחשבון, כי היא לא הקפידה הקפדה מלאה על קיום הנחיות מבקר המדינה ולא עמדה באיסור האמור על קבלת תרומה מתאגיד. נוכח קביעה זו, גם דין וחשבון זה היה לא חיובי. לאור נסיבות מקלות השתמשתי, גם במקרה זה, בשיקול דעתי, והסנקציה שהמלצתי להטיל על סיעת ש"ס הייתה שלילת תשל</w:t>
      </w:r>
      <w:r>
        <w:rPr>
          <w:rFonts w:hint="cs"/>
          <w:rtl/>
        </w:rPr>
        <w:t>ום מימון הוצאות שוטפות לחודש אחד בלבד ולא הסנקציה המירבית של שלילת שלושה תשלומים חודשיים.</w:t>
      </w:r>
    </w:p>
    <w:p w:rsidR="00D653E5">
      <w:pPr>
        <w:spacing w:line="240" w:lineRule="auto"/>
        <w:rPr>
          <w:rtl/>
        </w:rPr>
      </w:pPr>
    </w:p>
    <w:p w:rsidR="00D653E5">
      <w:pPr>
        <w:spacing w:line="240" w:lineRule="auto"/>
        <w:ind w:left="567" w:hanging="567"/>
        <w:rPr>
          <w:rtl/>
        </w:rPr>
      </w:pPr>
      <w:r>
        <w:rPr>
          <w:rFonts w:hint="cs"/>
          <w:rtl/>
        </w:rPr>
        <w:t>2.</w:t>
      </w:r>
      <w:r>
        <w:rPr>
          <w:rFonts w:hint="cs"/>
          <w:rtl/>
        </w:rPr>
        <w:tab/>
        <w:t>(א)</w:t>
      </w:r>
      <w:r>
        <w:rPr>
          <w:rFonts w:hint="cs"/>
          <w:rtl/>
        </w:rPr>
        <w:tab/>
        <w:t>בהתאם לחוק הרשויות המקומיות (מימון בחירות) (הוראות שעה), התשמ"ח-1988 מסרתי לך ב-14.9.1989 דין וחשבון על תוצאות ביקורת חשבונותיהן של הסיעות והרשימות שהשתתפו בב</w:t>
      </w:r>
      <w:r>
        <w:rPr>
          <w:rFonts w:hint="cs"/>
          <w:rtl/>
        </w:rPr>
        <w:t>חירות לרשויות המקומיות, לרבות הבחירות החוזרות, שהתקיימו ב-28.2.1989 וב-14.3.1989 (להלן - הבחירות לרשויות המקומיות).</w:t>
      </w:r>
    </w:p>
    <w:p w:rsidR="00D653E5">
      <w:pPr>
        <w:spacing w:line="240" w:lineRule="auto"/>
        <w:rPr>
          <w:rtl/>
        </w:rPr>
      </w:pPr>
    </w:p>
    <w:p w:rsidR="00D653E5">
      <w:pPr>
        <w:spacing w:line="240" w:lineRule="auto"/>
        <w:ind w:left="1134" w:hanging="567"/>
        <w:rPr>
          <w:rtl/>
        </w:rPr>
      </w:pPr>
      <w:r>
        <w:rPr>
          <w:rFonts w:hint="cs"/>
          <w:rtl/>
        </w:rPr>
        <w:t>(ב)</w:t>
      </w:r>
      <w:r>
        <w:rPr>
          <w:rFonts w:hint="cs"/>
          <w:rtl/>
        </w:rPr>
        <w:tab/>
        <w:t>בדין וחשבון האמור קבעתי בענין חשבונותיה של סיעת ש"ס, כי הדין וחשבון הוא חיובי.</w:t>
      </w:r>
    </w:p>
    <w:p w:rsidR="00D653E5">
      <w:pPr>
        <w:spacing w:line="240" w:lineRule="auto"/>
        <w:rPr>
          <w:rtl/>
        </w:rPr>
      </w:pPr>
    </w:p>
    <w:p w:rsidR="00D653E5">
      <w:pPr>
        <w:spacing w:line="240" w:lineRule="auto"/>
        <w:ind w:left="567" w:hanging="567"/>
        <w:rPr>
          <w:rtl/>
        </w:rPr>
      </w:pPr>
      <w:r>
        <w:rPr>
          <w:rFonts w:hint="cs"/>
          <w:rtl/>
        </w:rPr>
        <w:t>3.</w:t>
      </w:r>
      <w:r>
        <w:rPr>
          <w:rFonts w:hint="cs"/>
          <w:rtl/>
        </w:rPr>
        <w:tab/>
        <w:t>במיסגרת בדיקת חשבונות הסיעות לתקופה 1.12.1988-31.3.1</w:t>
      </w:r>
      <w:r>
        <w:rPr>
          <w:rFonts w:hint="cs"/>
          <w:rtl/>
        </w:rPr>
        <w:t xml:space="preserve">990 (להלן - התקופה הניסקרת) הועלו מימצאים חדשים הנוגעים לסיעת ש"ס, אשר חלקם מתייחס לתקופות לגביהן ניתנו הדינים וחשבונות האמורים. בעטיים של מימצאים אלה החלטתי לנקוט צעד לא שיגרתי של פתיחה מחדש של אותם דינים וחשבונות, שכן שוב אינן קיימות הנסיבות המקלות שהיו </w:t>
      </w:r>
      <w:r>
        <w:rPr>
          <w:rFonts w:hint="cs"/>
          <w:rtl/>
        </w:rPr>
        <w:t xml:space="preserve">לנגד עיני בעת מסירת הדינים וחשבונות על תוצאות ביקורת חשבונות הסיעה לתקופת הבחירות לכנסת השתים-עשרה וביקורת חשבונות הסיעה לתקופה 1.4.1988-30.11.1998. אשר לדין וחשבון על תוצאות ביקורת חשבונות סיעת ש"ס לתקופת הבחירות לרשויות המקומיות, עלי לשקול מחדש, אם לאור </w:t>
      </w:r>
      <w:r>
        <w:rPr>
          <w:rFonts w:hint="cs"/>
          <w:rtl/>
        </w:rPr>
        <w:t>המימצאים הידועים לי היום, אין לקבוע שהדין וחשבון הראוי הוא לא חיובי.</w:t>
      </w:r>
    </w:p>
    <w:p w:rsidR="00D653E5">
      <w:pPr>
        <w:spacing w:line="240" w:lineRule="auto"/>
        <w:rPr>
          <w:rtl/>
        </w:rPr>
      </w:pPr>
    </w:p>
    <w:p w:rsidR="00D653E5">
      <w:pPr>
        <w:spacing w:line="240" w:lineRule="auto"/>
        <w:ind w:left="567"/>
        <w:rPr>
          <w:rtl/>
        </w:rPr>
      </w:pPr>
      <w:r>
        <w:rPr>
          <w:rFonts w:hint="cs"/>
          <w:rtl/>
        </w:rPr>
        <w:t xml:space="preserve">לפתיחת שלושת הדינים וחשבונות האמורים יש גם תכלית אופרטיבית: לענין הדינים וחשבונות על תוצאות ביקורת חשבונות סיעת ש"ס לכנסת השתים-עשרה ולתקופה 1.4.1988 עד 30.11.1988 - לשקול מחדש את שיעור </w:t>
      </w:r>
      <w:r>
        <w:rPr>
          <w:rFonts w:hint="cs"/>
          <w:rtl/>
        </w:rPr>
        <w:t>הסנקציה התואם את המימצאים הידועים לי היום, דהיינו</w:t>
      </w:r>
    </w:p>
    <w:p w:rsidR="00D653E5">
      <w:pPr>
        <w:spacing w:line="240" w:lineRule="auto"/>
        <w:ind w:left="567"/>
        <w:rPr>
          <w:rtl/>
        </w:rPr>
      </w:pPr>
      <w:r>
        <w:rPr>
          <w:rtl/>
        </w:rPr>
        <w:br w:type="page"/>
      </w:r>
      <w:r>
        <w:rPr>
          <w:rFonts w:hint="cs"/>
          <w:rtl/>
        </w:rPr>
        <w:t>אם עדיין יש הצדקה להסתפק בפחות מהשיעור המירבי הקבוע בחוק המימון; ולענין הדין וחשבון על תוצאות ביקורת חשבונות הסיעה לתקופת הבחירות לרשויות המקומיות - אם הדין וחשבון אינו חיובי, כי אז הטלת הסנקציה, דהיינו הח</w:t>
      </w:r>
      <w:r>
        <w:rPr>
          <w:rFonts w:hint="cs"/>
          <w:rtl/>
        </w:rPr>
        <w:t>זרת כספים בשיעור של 15% מהמימון הממלכתי שהסיעה קיבלה במיסגרת זו - היא מנדטורית.</w:t>
      </w:r>
    </w:p>
    <w:p w:rsidR="00D653E5">
      <w:pPr>
        <w:spacing w:line="240" w:lineRule="auto"/>
        <w:rPr>
          <w:rtl/>
        </w:rPr>
      </w:pPr>
    </w:p>
    <w:p w:rsidR="00D653E5">
      <w:pPr>
        <w:spacing w:line="240" w:lineRule="auto"/>
        <w:ind w:left="567" w:hanging="567"/>
        <w:rPr>
          <w:rtl/>
        </w:rPr>
      </w:pPr>
      <w:r>
        <w:rPr>
          <w:rFonts w:hint="cs"/>
          <w:rtl/>
        </w:rPr>
        <w:t>4.</w:t>
      </w:r>
      <w:r>
        <w:rPr>
          <w:rFonts w:hint="cs"/>
          <w:rtl/>
        </w:rPr>
        <w:tab/>
        <w:t>ב-13.9.1990 מסרתי לך דינים וחשבונות על תוצאות ביקורת החשבונות של חמש-עשרה מהסיעות בכנסת השתים-עשרה, לתקופה הניסקרת (1.12.1988-31.3.1990).</w:t>
      </w:r>
    </w:p>
    <w:p w:rsidR="00D653E5">
      <w:pPr>
        <w:spacing w:line="240" w:lineRule="auto"/>
        <w:rPr>
          <w:rtl/>
        </w:rPr>
      </w:pPr>
    </w:p>
    <w:p w:rsidR="00D653E5">
      <w:pPr>
        <w:spacing w:line="240" w:lineRule="auto"/>
        <w:rPr>
          <w:rtl/>
        </w:rPr>
      </w:pPr>
      <w:r>
        <w:rPr>
          <w:rFonts w:hint="cs"/>
          <w:rtl/>
        </w:rPr>
        <w:t>5.</w:t>
      </w:r>
      <w:r>
        <w:rPr>
          <w:rFonts w:hint="cs"/>
          <w:rtl/>
        </w:rPr>
        <w:tab/>
        <w:t>בסעיף 4(2) למכתב הלוואי לדינים</w:t>
      </w:r>
      <w:r>
        <w:rPr>
          <w:rFonts w:hint="cs"/>
          <w:rtl/>
        </w:rPr>
        <w:t xml:space="preserve"> וחשבונות האמורים ציינתי כלהלן:</w:t>
      </w:r>
    </w:p>
    <w:p w:rsidR="00D653E5">
      <w:pPr>
        <w:spacing w:line="240" w:lineRule="auto"/>
        <w:rPr>
          <w:rtl/>
        </w:rPr>
      </w:pPr>
    </w:p>
    <w:p w:rsidR="00D653E5">
      <w:pPr>
        <w:tabs>
          <w:tab w:val="left" w:pos="948"/>
        </w:tabs>
        <w:spacing w:line="240" w:lineRule="auto"/>
        <w:ind w:left="567"/>
        <w:rPr>
          <w:b/>
          <w:bCs/>
          <w:rtl/>
        </w:rPr>
      </w:pPr>
      <w:r>
        <w:rPr>
          <w:rFonts w:hint="cs"/>
          <w:rtl/>
        </w:rPr>
        <w:t>"</w:t>
      </w:r>
      <w:r>
        <w:rPr>
          <w:rFonts w:hint="cs"/>
          <w:b/>
          <w:bCs/>
          <w:rtl/>
        </w:rPr>
        <w:t>הסיעה התאחדות הספרדים שומרי תורה-ש"ס הגישה את חשבונותיה לביקורת המדינה במועד. במהלך הביקורת התברר, שמערכת החשבונות אינה שלמה, וכי רישומים רבים במערכת החשבונות של הסיעה לא לוו באסמכתאות כנדרש על-פי הנחיות מבקר המדינה.</w:t>
      </w:r>
    </w:p>
    <w:p w:rsidR="00D653E5">
      <w:pPr>
        <w:spacing w:line="240" w:lineRule="auto"/>
        <w:rPr>
          <w:b/>
          <w:bCs/>
          <w:rtl/>
        </w:rPr>
      </w:pPr>
    </w:p>
    <w:p w:rsidR="00D653E5">
      <w:pPr>
        <w:tabs>
          <w:tab w:val="left" w:pos="948"/>
        </w:tabs>
        <w:spacing w:line="240" w:lineRule="auto"/>
        <w:ind w:left="567"/>
        <w:rPr>
          <w:b/>
          <w:bCs/>
          <w:rtl/>
        </w:rPr>
      </w:pPr>
      <w:r>
        <w:rPr>
          <w:rFonts w:hint="cs"/>
          <w:b/>
          <w:bCs/>
          <w:rtl/>
        </w:rPr>
        <w:t xml:space="preserve">חרף </w:t>
      </w:r>
      <w:r>
        <w:rPr>
          <w:rFonts w:hint="cs"/>
          <w:b/>
          <w:bCs/>
          <w:rtl/>
        </w:rPr>
        <w:t>דרישות חוזרות ונשנות, לא המציאו נציגי הסיעה הסברים שיבהירו מהותם של רישומים מעוררי תהייה. גם דרישות להמצאת הסברים ונתונים המתייחסים למערכת החשבונות - לא נענו.</w:t>
      </w:r>
    </w:p>
    <w:p w:rsidR="00D653E5">
      <w:pPr>
        <w:spacing w:line="240" w:lineRule="auto"/>
        <w:rPr>
          <w:b/>
          <w:bCs/>
          <w:rtl/>
        </w:rPr>
      </w:pPr>
    </w:p>
    <w:p w:rsidR="00D653E5">
      <w:pPr>
        <w:tabs>
          <w:tab w:val="left" w:pos="948"/>
        </w:tabs>
        <w:spacing w:line="240" w:lineRule="auto"/>
        <w:ind w:left="567"/>
        <w:rPr>
          <w:b/>
          <w:bCs/>
          <w:rtl/>
        </w:rPr>
      </w:pPr>
      <w:r>
        <w:rPr>
          <w:rFonts w:hint="cs"/>
          <w:b/>
          <w:bCs/>
          <w:rtl/>
        </w:rPr>
        <w:t>ב-4.9.1990 פנתה הסיעה לוועדת הכספים, לפי סעיף 10(ו) לחוק המימון, וביקשה להאריך את המועד הקבוע בס</w:t>
      </w:r>
      <w:r>
        <w:rPr>
          <w:rFonts w:hint="cs"/>
          <w:b/>
          <w:bCs/>
          <w:rtl/>
        </w:rPr>
        <w:t>עיף 10 לחוק המימון, לצורך מתן התשובות הדרשות. ועדת הכספים נענתה לבקשת הסיעה והאריכה את המועד הקבוע בסעיף 10(ג) לחוק המימון עד ליום 15.10.1990".</w:t>
      </w:r>
    </w:p>
    <w:p w:rsidR="00D653E5">
      <w:pPr>
        <w:spacing w:line="240" w:lineRule="auto"/>
        <w:rPr>
          <w:b/>
          <w:bCs/>
          <w:rtl/>
        </w:rPr>
      </w:pPr>
    </w:p>
    <w:p w:rsidR="00D653E5">
      <w:pPr>
        <w:spacing w:line="240" w:lineRule="auto"/>
        <w:ind w:left="567"/>
        <w:rPr>
          <w:rtl/>
        </w:rPr>
      </w:pPr>
      <w:r>
        <w:rPr>
          <w:rFonts w:hint="cs"/>
          <w:rtl/>
        </w:rPr>
        <w:t>ב-15.10.1990 הודיעה לי סיעת ש"ס, כי:</w:t>
      </w:r>
    </w:p>
    <w:p w:rsidR="00D653E5">
      <w:pPr>
        <w:spacing w:line="240" w:lineRule="auto"/>
        <w:rPr>
          <w:rtl/>
        </w:rPr>
      </w:pPr>
    </w:p>
    <w:p w:rsidR="00D653E5">
      <w:pPr>
        <w:spacing w:line="240" w:lineRule="auto"/>
        <w:ind w:left="567"/>
        <w:rPr>
          <w:b/>
          <w:bCs/>
          <w:rtl/>
        </w:rPr>
      </w:pPr>
      <w:r>
        <w:rPr>
          <w:rFonts w:hint="cs"/>
          <w:rtl/>
        </w:rPr>
        <w:t>"</w:t>
      </w:r>
      <w:r>
        <w:rPr>
          <w:rFonts w:hint="cs"/>
          <w:b/>
          <w:bCs/>
          <w:rtl/>
        </w:rPr>
        <w:t>1.</w:t>
      </w:r>
      <w:r>
        <w:rPr>
          <w:rFonts w:hint="cs"/>
          <w:b/>
          <w:bCs/>
          <w:rtl/>
        </w:rPr>
        <w:tab/>
        <w:t xml:space="preserve">ועדת הכספים של הכנסת נענתה לבקשת הסיעה להארכת המועד, לפי סעיף 10(ו) </w:t>
      </w:r>
      <w:r>
        <w:rPr>
          <w:rFonts w:hint="cs"/>
          <w:b/>
          <w:bCs/>
          <w:rtl/>
        </w:rPr>
        <w:t>לחוק מימון מפלגות, בשלושים יום. מועד ההארכה תם ביום 15.10.90.</w:t>
      </w:r>
    </w:p>
    <w:p w:rsidR="00D653E5">
      <w:pPr>
        <w:spacing w:line="240" w:lineRule="auto"/>
        <w:ind w:left="567"/>
        <w:rPr>
          <w:b/>
          <w:bCs/>
          <w:rtl/>
        </w:rPr>
      </w:pPr>
      <w:r>
        <w:rPr>
          <w:b/>
          <w:bCs/>
          <w:rtl/>
        </w:rPr>
        <w:br w:type="page"/>
      </w:r>
      <w:r>
        <w:rPr>
          <w:rFonts w:hint="cs"/>
          <w:b/>
          <w:bCs/>
          <w:rtl/>
        </w:rPr>
        <w:t>2.</w:t>
      </w:r>
      <w:r>
        <w:rPr>
          <w:rFonts w:hint="cs"/>
          <w:b/>
          <w:bCs/>
          <w:rtl/>
        </w:rPr>
        <w:tab/>
        <w:t>בינתיים, כידוע, החלה חקירת משטרת ישראל, אשר נטלה ממשרדי הסיעה בבני ברק ובירושלים חומר ומסמכים הקשורים לדו"חות הכספיים.</w:t>
      </w:r>
    </w:p>
    <w:p w:rsidR="00D653E5">
      <w:pPr>
        <w:spacing w:line="240" w:lineRule="auto"/>
        <w:rPr>
          <w:b/>
          <w:bCs/>
          <w:rtl/>
        </w:rPr>
      </w:pPr>
    </w:p>
    <w:p w:rsidR="00D653E5">
      <w:pPr>
        <w:spacing w:line="240" w:lineRule="auto"/>
        <w:ind w:left="567"/>
        <w:rPr>
          <w:b/>
          <w:bCs/>
          <w:rtl/>
        </w:rPr>
      </w:pPr>
      <w:r>
        <w:rPr>
          <w:rFonts w:hint="cs"/>
          <w:b/>
          <w:bCs/>
          <w:rtl/>
        </w:rPr>
        <w:t>3.</w:t>
      </w:r>
      <w:r>
        <w:rPr>
          <w:rFonts w:hint="cs"/>
          <w:b/>
          <w:bCs/>
          <w:rtl/>
        </w:rPr>
        <w:tab/>
        <w:t>בנסיבות אלה נבצר מהסיעה לעמוד במועד החדש שעליו החליטה ועדת הכספים".</w:t>
      </w:r>
    </w:p>
    <w:p w:rsidR="00D653E5">
      <w:pPr>
        <w:spacing w:line="240" w:lineRule="auto"/>
        <w:rPr>
          <w:b/>
          <w:bCs/>
          <w:rtl/>
        </w:rPr>
      </w:pPr>
    </w:p>
    <w:p w:rsidR="00D653E5">
      <w:pPr>
        <w:spacing w:line="240" w:lineRule="auto"/>
        <w:ind w:left="567"/>
        <w:rPr>
          <w:rtl/>
        </w:rPr>
      </w:pPr>
      <w:r>
        <w:rPr>
          <w:rFonts w:hint="cs"/>
          <w:rtl/>
        </w:rPr>
        <w:t>ב-23.10.1990, במענה להודעה האמורה, הבהיר משרדי לנציגי הסיעה, במכתב שנשלח אליה, כי:</w:t>
      </w:r>
    </w:p>
    <w:p w:rsidR="00D653E5">
      <w:pPr>
        <w:spacing w:line="240" w:lineRule="auto"/>
        <w:rPr>
          <w:rtl/>
        </w:rPr>
      </w:pPr>
    </w:p>
    <w:p w:rsidR="00D653E5">
      <w:pPr>
        <w:spacing w:line="240" w:lineRule="auto"/>
        <w:ind w:left="1134"/>
        <w:rPr>
          <w:b/>
          <w:bCs/>
          <w:rtl/>
        </w:rPr>
      </w:pPr>
      <w:r>
        <w:rPr>
          <w:rFonts w:hint="cs"/>
          <w:b/>
          <w:bCs/>
          <w:rtl/>
        </w:rPr>
        <w:t>"טענת הסיעה כאילו נבצר ממנה, עקב חקירת המשטרה ונטילת מסמכים הקשורים לדו"חות הכספיים של הסיעה, לעמוד במועד המוארך ולענות לשאלות שהוצגו על-ידי משרדנו - אינה מקובלת עלינו.</w:t>
      </w:r>
    </w:p>
    <w:p w:rsidR="00D653E5">
      <w:pPr>
        <w:spacing w:line="240" w:lineRule="auto"/>
        <w:rPr>
          <w:b/>
          <w:bCs/>
          <w:rtl/>
        </w:rPr>
      </w:pPr>
    </w:p>
    <w:p w:rsidR="00D653E5">
      <w:pPr>
        <w:spacing w:line="240" w:lineRule="auto"/>
        <w:ind w:left="1134"/>
        <w:rPr>
          <w:b/>
          <w:bCs/>
          <w:rtl/>
        </w:rPr>
      </w:pPr>
      <w:r>
        <w:rPr>
          <w:rFonts w:hint="cs"/>
          <w:b/>
          <w:bCs/>
          <w:rtl/>
        </w:rPr>
        <w:t xml:space="preserve">סיפרי הסיעה וחשבונותיה, שהומצאו לביקורת, נבדקו על-ידינו. במהלך הביקורת התעוררו אצלנו שאלות ותמיהות, שלא נמצאו להן תשובות בחומר שהוגש. כך למשל, הופנתה אליכם שאלה בקשר למשיכות של מאות אלפי ש"ח במזומן מחשבון הסיעה בבנק, באמצעות שיקים לפקודת מר שמואל דוד, חשב </w:t>
      </w:r>
      <w:r>
        <w:rPr>
          <w:rFonts w:hint="cs"/>
          <w:b/>
          <w:bCs/>
          <w:rtl/>
        </w:rPr>
        <w:t>הסיעה. בחומר שנבדק לא היו כל רישומים שיבהירו משיכות אלה או יפרטו את היעוד שאליו הופנו הכספים. לשאלות הביקורת שהופנו לסיעה לא נתקבלו תשובות שיבהירו את התמיהות האמורות, למרות שניתן היה לענות עליהן כבר מזמן".</w:t>
      </w:r>
    </w:p>
    <w:p w:rsidR="00D653E5">
      <w:pPr>
        <w:spacing w:line="240" w:lineRule="auto"/>
        <w:rPr>
          <w:b/>
          <w:bCs/>
          <w:rtl/>
        </w:rPr>
      </w:pPr>
    </w:p>
    <w:p w:rsidR="00D653E5">
      <w:pPr>
        <w:spacing w:line="240" w:lineRule="auto"/>
        <w:ind w:left="567"/>
        <w:rPr>
          <w:rtl/>
        </w:rPr>
      </w:pPr>
      <w:r>
        <w:rPr>
          <w:rFonts w:hint="cs"/>
          <w:rtl/>
        </w:rPr>
        <w:t xml:space="preserve">כבר במכתבי ליושב ראש ועדת הכספים, מיום 9.9.1990, </w:t>
      </w:r>
      <w:r>
        <w:rPr>
          <w:rFonts w:hint="cs"/>
          <w:rtl/>
        </w:rPr>
        <w:t>במסגרת התייחסותי לבקשתה האמורה של הסיעה להאריך את המועד הקבוע בסעיף 10 לחוק המימון, ציינתי כי:</w:t>
      </w:r>
    </w:p>
    <w:p w:rsidR="00D653E5">
      <w:pPr>
        <w:spacing w:line="240" w:lineRule="auto"/>
        <w:rPr>
          <w:rtl/>
        </w:rPr>
      </w:pPr>
    </w:p>
    <w:p w:rsidR="00D653E5">
      <w:pPr>
        <w:spacing w:line="240" w:lineRule="auto"/>
        <w:ind w:left="1134"/>
        <w:rPr>
          <w:b/>
          <w:bCs/>
          <w:rtl/>
        </w:rPr>
      </w:pPr>
      <w:r>
        <w:rPr>
          <w:rFonts w:hint="cs"/>
          <w:b/>
          <w:bCs/>
          <w:rtl/>
        </w:rPr>
        <w:t>"... הנתונים בהם מדובר הם בידיעת האנשים נושאי התפקידים בסיעה שקיבלו את הכספים. הסברים אלה ניתן היה לקבל מהם לאלתר. לכן הבקשה להארכת המועד, בהקשר זה, היא יותר מת</w:t>
      </w:r>
      <w:r>
        <w:rPr>
          <w:rFonts w:hint="cs"/>
          <w:b/>
          <w:bCs/>
          <w:rtl/>
        </w:rPr>
        <w:t>מוהה ...".</w:t>
      </w:r>
    </w:p>
    <w:p w:rsidR="00D653E5">
      <w:pPr>
        <w:spacing w:line="240" w:lineRule="auto"/>
        <w:ind w:left="567" w:hanging="567"/>
        <w:rPr>
          <w:rtl/>
        </w:rPr>
      </w:pPr>
      <w:r>
        <w:rPr>
          <w:b/>
          <w:bCs/>
          <w:rtl/>
        </w:rPr>
        <w:br w:type="page"/>
      </w:r>
      <w:r>
        <w:rPr>
          <w:rFonts w:hint="cs"/>
          <w:rtl/>
        </w:rPr>
        <w:t>6.</w:t>
      </w:r>
      <w:r>
        <w:rPr>
          <w:rFonts w:hint="cs"/>
          <w:rtl/>
        </w:rPr>
        <w:tab/>
        <w:t xml:space="preserve">בהתאם לסעיף 10(ד) לחוק המימון על מבקר המדינה למסור ליושב ראש הכנסת, תוך שנים-עשר שבועות לאחר קבלת החשבונות, דין וחשבון על תוצאות ביקורת החשבונות. מועד זה עומד לפוג ב-7.1.1991. אולם, נוכח האמור לעיל, ובהתחשב בכך שמלבד הסבר חלקי לנושא ספציפי, </w:t>
      </w:r>
      <w:r>
        <w:rPr>
          <w:rFonts w:hint="cs"/>
          <w:rtl/>
        </w:rPr>
        <w:t>אליו אתייחס להלן, לא המציאו נציגי הסיעה הסברים ואסמכתאות כלשהם שיבהירו רישומים מעוררי תהייה וליקויים שהועלו בבדיקת מערכת החשבונות של הסיעה - איני רואה צורך למצות את כל הזמן שהועמד לרשותי על-פי חוק המימון.</w:t>
      </w:r>
    </w:p>
    <w:p w:rsidR="00D653E5">
      <w:pPr>
        <w:spacing w:line="240" w:lineRule="auto"/>
        <w:rPr>
          <w:rtl/>
        </w:rPr>
      </w:pPr>
    </w:p>
    <w:p w:rsidR="00D653E5">
      <w:pPr>
        <w:spacing w:line="240" w:lineRule="auto"/>
        <w:ind w:left="567"/>
        <w:rPr>
          <w:rtl/>
        </w:rPr>
      </w:pPr>
      <w:r>
        <w:rPr>
          <w:rFonts w:hint="cs"/>
          <w:rtl/>
        </w:rPr>
        <w:t>הנני מגישה לך, איפוא, את הדין וחשבון על תוצאות ביק</w:t>
      </w:r>
      <w:r>
        <w:rPr>
          <w:rFonts w:hint="cs"/>
          <w:rtl/>
        </w:rPr>
        <w:t>ורת חשבונות סיעת ש"ס לתקופה הניסקרת, כבר עתה.</w:t>
      </w:r>
    </w:p>
    <w:p w:rsidR="00D653E5">
      <w:pPr>
        <w:spacing w:line="240" w:lineRule="auto"/>
        <w:rPr>
          <w:rtl/>
        </w:rPr>
      </w:pPr>
    </w:p>
    <w:p w:rsidR="00D653E5">
      <w:pPr>
        <w:spacing w:line="240" w:lineRule="auto"/>
        <w:rPr>
          <w:rtl/>
        </w:rPr>
      </w:pPr>
      <w:r>
        <w:rPr>
          <w:rFonts w:hint="cs"/>
          <w:rtl/>
        </w:rPr>
        <w:t>7.</w:t>
      </w:r>
      <w:r>
        <w:rPr>
          <w:rFonts w:hint="cs"/>
          <w:rtl/>
        </w:rPr>
        <w:tab/>
        <w:t>על-פי בדיקת החשבונות שנמסרו לביקורת, אני קובעת, כי -</w:t>
      </w:r>
    </w:p>
    <w:p w:rsidR="00D653E5">
      <w:pPr>
        <w:spacing w:line="240" w:lineRule="auto"/>
        <w:rPr>
          <w:rtl/>
        </w:rPr>
      </w:pPr>
    </w:p>
    <w:p w:rsidR="00D653E5">
      <w:pPr>
        <w:tabs>
          <w:tab w:val="left" w:pos="588"/>
        </w:tabs>
        <w:spacing w:line="240" w:lineRule="auto"/>
        <w:ind w:left="1134" w:hanging="1134"/>
        <w:rPr>
          <w:rtl/>
        </w:rPr>
      </w:pPr>
      <w:r>
        <w:rPr>
          <w:rFonts w:hint="cs"/>
          <w:rtl/>
        </w:rPr>
        <w:tab/>
        <w:t>(א)</w:t>
      </w:r>
      <w:r>
        <w:rPr>
          <w:rFonts w:hint="cs"/>
          <w:rtl/>
        </w:rPr>
        <w:tab/>
        <w:t xml:space="preserve">הסיעה לא ניהלה את החשבונות שלה בתקופה הניסקרת בהתאם להנחיות מבקר המדינה. לכן לא ניתן לקבוע כי הוצאות הסיעה לא חרגו מתקרת ההוצאות המותרת, וכי היא </w:t>
      </w:r>
      <w:r>
        <w:rPr>
          <w:rFonts w:hint="cs"/>
          <w:rtl/>
        </w:rPr>
        <w:t>עמדה באיסור על קבלת תרומה מתאגיד. משום-כך הדין וחשבון על תוצאות ביקורת החשבונות השוטפים של הסיעה לתקופה הניסקרת - אינו חיובי;</w:t>
      </w:r>
    </w:p>
    <w:p w:rsidR="00D653E5">
      <w:pPr>
        <w:spacing w:line="240" w:lineRule="auto"/>
        <w:rPr>
          <w:rtl/>
        </w:rPr>
      </w:pPr>
    </w:p>
    <w:p w:rsidR="00D653E5">
      <w:pPr>
        <w:tabs>
          <w:tab w:val="left" w:pos="588"/>
        </w:tabs>
        <w:spacing w:line="240" w:lineRule="auto"/>
        <w:ind w:left="1134" w:hanging="1134"/>
        <w:rPr>
          <w:rtl/>
        </w:rPr>
      </w:pPr>
      <w:r>
        <w:rPr>
          <w:rFonts w:hint="cs"/>
          <w:rtl/>
        </w:rPr>
        <w:tab/>
        <w:t>(ב)</w:t>
      </w:r>
      <w:r>
        <w:rPr>
          <w:rFonts w:hint="cs"/>
          <w:rtl/>
        </w:rPr>
        <w:tab/>
        <w:t xml:space="preserve">יתר על כן, בדיקת החשבונות שנמסרו לביקורת בגין התקופה הניסקרת העלתה, כאמור, מימצאים המחייבים אותי לשקול מחדש את קביעותי לגבי </w:t>
      </w:r>
      <w:r>
        <w:rPr>
          <w:rFonts w:hint="cs"/>
          <w:rtl/>
        </w:rPr>
        <w:t>הנושאים הבאים: תוצאות ביקורת חשבונות הסיעה לתקופת הבחירות לכנסת השתים-עשרה, תוצאות ביקורת החשבונות השוטפים של הסיעה לתקופה 1.4.1988-30.11.1988 וכן תוצאות ביקורת חשבונות הסיעה למערכת הבחירות לרשויות המקומיות. להלן הפירוט:</w:t>
      </w:r>
    </w:p>
    <w:p w:rsidR="00D653E5">
      <w:pPr>
        <w:spacing w:line="240" w:lineRule="auto"/>
        <w:rPr>
          <w:rtl/>
        </w:rPr>
      </w:pPr>
    </w:p>
    <w:p w:rsidR="00D653E5">
      <w:pPr>
        <w:pStyle w:val="BodyTextIndent"/>
        <w:spacing w:line="240" w:lineRule="auto"/>
        <w:ind w:left="1134" w:firstLine="0"/>
        <w:rPr>
          <w:rtl/>
        </w:rPr>
      </w:pPr>
      <w:r>
        <w:rPr>
          <w:rFonts w:hint="cs"/>
          <w:rtl/>
        </w:rPr>
        <w:t xml:space="preserve">(1) הסיעה לא שיקפה את כל הכנסותיה </w:t>
      </w:r>
      <w:r>
        <w:rPr>
          <w:rFonts w:hint="cs"/>
          <w:rtl/>
        </w:rPr>
        <w:t>והוצאותיה בחשבונות שהגישה לי ב-8.2.1989 לתקופת הבחירות לכנסת השתים-עשרה ולתקופה 1.4.1988-30.11.1988;</w:t>
      </w:r>
    </w:p>
    <w:p w:rsidR="00D653E5">
      <w:pPr>
        <w:spacing w:line="240" w:lineRule="auto"/>
        <w:rPr>
          <w:rtl/>
        </w:rPr>
      </w:pPr>
    </w:p>
    <w:p w:rsidR="00D653E5">
      <w:pPr>
        <w:tabs>
          <w:tab w:val="left" w:pos="1452"/>
        </w:tabs>
        <w:spacing w:line="240" w:lineRule="auto"/>
        <w:ind w:left="1134"/>
        <w:rPr>
          <w:rtl/>
        </w:rPr>
      </w:pPr>
      <w:r>
        <w:rPr>
          <w:rFonts w:hint="cs"/>
          <w:rtl/>
        </w:rPr>
        <w:t>(2) הסיעה לא שיקפה את כל הכנסותיה והוצאותיה בחשבונות שהגישה לי ב-28.6.1989 לתקופת הבחירות לרשויות המקומיות.</w:t>
      </w:r>
    </w:p>
    <w:p w:rsidR="00D653E5">
      <w:pPr>
        <w:spacing w:line="240" w:lineRule="auto"/>
        <w:ind w:left="567"/>
        <w:rPr>
          <w:rtl/>
        </w:rPr>
      </w:pPr>
      <w:r>
        <w:rPr>
          <w:rtl/>
        </w:rPr>
        <w:br w:type="page"/>
      </w:r>
      <w:r>
        <w:rPr>
          <w:rFonts w:hint="cs"/>
          <w:rtl/>
        </w:rPr>
        <w:t>נוכח האמור לעיל אני קובעת, שהדינים וחשבונות ע</w:t>
      </w:r>
      <w:r>
        <w:rPr>
          <w:rFonts w:hint="cs"/>
          <w:rtl/>
        </w:rPr>
        <w:t>ל תוצאות ביקורת חשבונות סיעת ש"ס בגין מערכת הבחירות לכנסת השתים-עשרה, מערכת החשבונות השוטפים לתקופה 1.4.1988-30.11.1988 וכן בגין מערכת הבחירות לרשויות המקומיות - אינם חיוביים.</w:t>
      </w:r>
    </w:p>
    <w:p w:rsidR="00D653E5">
      <w:pPr>
        <w:spacing w:line="240" w:lineRule="auto"/>
        <w:rPr>
          <w:rtl/>
        </w:rPr>
      </w:pPr>
    </w:p>
    <w:p w:rsidR="00D653E5">
      <w:pPr>
        <w:spacing w:line="240" w:lineRule="auto"/>
        <w:ind w:left="567"/>
        <w:rPr>
          <w:rtl/>
        </w:rPr>
      </w:pPr>
      <w:r>
        <w:rPr>
          <w:rFonts w:hint="cs"/>
          <w:rtl/>
        </w:rPr>
        <w:t>אני מוסרת לך במצורף, דין וחשבון מתוקן על תוצאות ביקורת חשבונות הסיעה לתקופת הבח</w:t>
      </w:r>
      <w:r>
        <w:rPr>
          <w:rFonts w:hint="cs"/>
          <w:rtl/>
        </w:rPr>
        <w:t>ירות לכנסת השתים-עשרה ודין וחשבון מתוקן על תוצאות ביקורת החשבונות השוטפים של הסיעה לתקופה 1.4.1988-30.11.1988. כאמור לעיל, בדינים וחשבונות שמסרתי לך ב-6.6.1989 כבר קבעתי, מנימוקים אחרים, שדינים וחשבונות אלה אינם חיוביים, ומשמעות קביעתי הנוכחית נוגעת רק לשי</w:t>
      </w:r>
      <w:r>
        <w:rPr>
          <w:rFonts w:hint="cs"/>
          <w:rtl/>
        </w:rPr>
        <w:t>קולים המקלים שהדריכו אותי בשעתו.</w:t>
      </w:r>
    </w:p>
    <w:p w:rsidR="00D653E5">
      <w:pPr>
        <w:spacing w:line="240" w:lineRule="auto"/>
        <w:rPr>
          <w:rtl/>
        </w:rPr>
      </w:pPr>
    </w:p>
    <w:p w:rsidR="00D653E5">
      <w:pPr>
        <w:spacing w:line="240" w:lineRule="auto"/>
        <w:ind w:left="567"/>
        <w:rPr>
          <w:rtl/>
        </w:rPr>
      </w:pPr>
      <w:r>
        <w:rPr>
          <w:rFonts w:hint="cs"/>
          <w:rtl/>
        </w:rPr>
        <w:t>אשר לענין תוצאות ביקורת החשבונות של מערכת הבחירות לרשויות המקומיות משמעות קביעתי היא, שהדין וחשבון החיובי אשר מסרתי לך ב-14.9.1989 - בטל, ואני מוסרת לך במצורף דין וחשבון אחר על תוצאות ביקורת אותם חשבונות - שאינו חיובי.</w:t>
      </w:r>
    </w:p>
    <w:p w:rsidR="00D653E5">
      <w:pPr>
        <w:spacing w:line="240" w:lineRule="auto"/>
        <w:rPr>
          <w:rtl/>
        </w:rPr>
      </w:pPr>
    </w:p>
    <w:p w:rsidR="00D653E5">
      <w:pPr>
        <w:spacing w:line="240" w:lineRule="auto"/>
        <w:ind w:left="567" w:hanging="567"/>
        <w:rPr>
          <w:rtl/>
        </w:rPr>
      </w:pPr>
      <w:r>
        <w:rPr>
          <w:rFonts w:hint="cs"/>
          <w:rtl/>
        </w:rPr>
        <w:t>8.</w:t>
      </w:r>
      <w:r>
        <w:rPr>
          <w:rFonts w:hint="cs"/>
          <w:rtl/>
        </w:rPr>
        <w:tab/>
        <w:t xml:space="preserve">מעבר למסקנות ולקביעות האמורות לעיל, ראיתי זאת מחובתי לבדוק את מהותן של תנועות כספיות במאות אלפי ש"ח בחשבונות סיעת ש"ס, חלקן הגדול במזומנים. המדובר בהפקדות ובמשיכות של כספים, להן לא ניתן הסבר כלשהו על-ידי הסיעה. נוכח אי-שיתוף פעולה מצד הסיעה, עשתה הביקורת </w:t>
      </w:r>
      <w:r>
        <w:rPr>
          <w:rFonts w:hint="cs"/>
          <w:rtl/>
        </w:rPr>
        <w:t>שימוש במידע על דיונים שהסיעה קיימה בעקבות דרישת הביקורת להמציא לה הבהרות והסברים על הרישומים מעוררי התמיהה שהוצבע עליהם.</w:t>
      </w:r>
    </w:p>
    <w:p w:rsidR="00D653E5">
      <w:pPr>
        <w:spacing w:line="240" w:lineRule="auto"/>
        <w:rPr>
          <w:rtl/>
        </w:rPr>
      </w:pPr>
    </w:p>
    <w:p w:rsidR="00D653E5">
      <w:pPr>
        <w:spacing w:line="240" w:lineRule="auto"/>
        <w:ind w:left="567"/>
        <w:rPr>
          <w:rtl/>
        </w:rPr>
      </w:pPr>
      <w:r>
        <w:rPr>
          <w:rFonts w:hint="cs"/>
          <w:rtl/>
        </w:rPr>
        <w:t>ממידע זה שהגיע לביקורת עולה, שבידי השר רפאל פנחסי - אשר לפי סעיף 6(א)(1) לחוק המימון משמש כנציג הסיעה הבקי במשק הכספים שלה - קיים רישו</w:t>
      </w:r>
      <w:r>
        <w:rPr>
          <w:rFonts w:hint="cs"/>
          <w:rtl/>
        </w:rPr>
        <w:t>ם מפורט המתייחס לתנועות כספים אלה, אך רישום זה נעשה שלא במסגרת הספרים הגלויים של הסיעה והועלם מעיני במתכוון. כמו כן מצביע המידע על כך, כי הנימוק העיקרי להסתרת הרישום המתייחס לתנועות כספים אלה נובע מכך, שהמדובר בתשלומים לתלמידי ישיבות, כשכר עבור פעילותם במה</w:t>
      </w:r>
      <w:r>
        <w:rPr>
          <w:rFonts w:hint="cs"/>
          <w:rtl/>
        </w:rPr>
        <w:t xml:space="preserve">לך מערכות הבחירות, וכי בהיות תורתם אומנותם, עלולה חשיפת שמותיהם להזיק להם, כגון - </w:t>
      </w:r>
    </w:p>
    <w:p w:rsidR="00D653E5">
      <w:pPr>
        <w:spacing w:line="240" w:lineRule="auto"/>
        <w:ind w:left="567"/>
        <w:rPr>
          <w:rtl/>
        </w:rPr>
      </w:pPr>
      <w:r>
        <w:rPr>
          <w:rtl/>
        </w:rPr>
        <w:br w:type="page"/>
      </w:r>
      <w:r>
        <w:rPr>
          <w:rFonts w:hint="cs"/>
          <w:rtl/>
        </w:rPr>
        <w:t>גיוסם לצה"ל וחיובם במס. כמו-כן שולמו כספים לנותני שירותים למיניהם ללא ניכוי מס במקור, בניגוד לחוק, דבר שיש בו כדי לאפשר התחמקות מדיווח לשלטונות המס על הכנסותיהם אלה. בניסיו</w:t>
      </w:r>
      <w:r>
        <w:rPr>
          <w:rFonts w:hint="cs"/>
          <w:rtl/>
        </w:rPr>
        <w:t>ן להסביר למבקר המדינה את משיכות הכספים במאות אלפי ש"ח במזומנים, הועלו בסיעה רעיונות שונים בדבר גיבוש גירסה כוזבת. סוף מעשה היה בבקשת דחייה, בטענה שלא היה סיפק בידם להתארגן למתן ההסברים המבוקשים. הדחייה כאמור ניתנה, אך הסברים - אין.</w:t>
      </w:r>
    </w:p>
    <w:p w:rsidR="00D653E5">
      <w:pPr>
        <w:spacing w:line="240" w:lineRule="auto"/>
        <w:rPr>
          <w:rtl/>
        </w:rPr>
      </w:pPr>
    </w:p>
    <w:p w:rsidR="00D653E5">
      <w:pPr>
        <w:spacing w:line="240" w:lineRule="auto"/>
        <w:rPr>
          <w:rtl/>
        </w:rPr>
      </w:pPr>
      <w:r>
        <w:rPr>
          <w:rFonts w:hint="cs"/>
          <w:rtl/>
        </w:rPr>
        <w:t>9.</w:t>
      </w:r>
      <w:r>
        <w:rPr>
          <w:rFonts w:hint="cs"/>
          <w:rtl/>
        </w:rPr>
        <w:tab/>
        <w:t>להלן התייחסותי המפור</w:t>
      </w:r>
      <w:r>
        <w:rPr>
          <w:rFonts w:hint="cs"/>
          <w:rtl/>
        </w:rPr>
        <w:t>טת לתוצאות ביקורת חשבונות הסיעה:</w:t>
      </w:r>
    </w:p>
    <w:p w:rsidR="00D653E5">
      <w:pPr>
        <w:spacing w:line="240" w:lineRule="auto"/>
        <w:rPr>
          <w:rtl/>
        </w:rPr>
      </w:pPr>
    </w:p>
    <w:p w:rsidR="00D653E5">
      <w:pPr>
        <w:pStyle w:val="Heading6"/>
        <w:rPr>
          <w:rtl/>
        </w:rPr>
      </w:pPr>
      <w:r>
        <w:rPr>
          <w:rFonts w:hint="cs"/>
          <w:rtl/>
        </w:rPr>
        <w:t>(א)</w:t>
      </w:r>
      <w:r>
        <w:rPr>
          <w:rFonts w:hint="cs"/>
          <w:rtl/>
        </w:rPr>
        <w:tab/>
        <w:t>החשבונות השוטפים לתקופה 1.12.1988 - 31.3.1990</w:t>
      </w:r>
    </w:p>
    <w:p w:rsidR="00D653E5">
      <w:pPr>
        <w:spacing w:line="240" w:lineRule="auto"/>
        <w:ind w:left="1134"/>
        <w:rPr>
          <w:b/>
          <w:bCs/>
          <w:rtl/>
        </w:rPr>
      </w:pPr>
      <w:r>
        <w:rPr>
          <w:rFonts w:hint="cs"/>
          <w:b/>
          <w:bCs/>
          <w:rtl/>
        </w:rPr>
        <w:t>(התקופה הניסקרת)</w:t>
      </w:r>
    </w:p>
    <w:p w:rsidR="00D653E5">
      <w:pPr>
        <w:spacing w:line="240" w:lineRule="auto"/>
        <w:ind w:left="1134"/>
        <w:rPr>
          <w:b/>
          <w:bCs/>
          <w:rtl/>
        </w:rPr>
      </w:pPr>
      <w:r>
        <w:rPr>
          <w:rFonts w:hint="cs"/>
          <w:b/>
          <w:bCs/>
          <w:rtl/>
        </w:rPr>
        <w:t>--------------------------------------------</w:t>
      </w:r>
    </w:p>
    <w:p w:rsidR="00D653E5">
      <w:pPr>
        <w:spacing w:line="240" w:lineRule="auto"/>
        <w:rPr>
          <w:b/>
          <w:bCs/>
          <w:rtl/>
        </w:rPr>
      </w:pPr>
    </w:p>
    <w:p w:rsidR="00D653E5">
      <w:pPr>
        <w:tabs>
          <w:tab w:val="left" w:pos="588"/>
        </w:tabs>
        <w:spacing w:line="240" w:lineRule="auto"/>
        <w:ind w:left="1134" w:hanging="1134"/>
        <w:rPr>
          <w:rtl/>
        </w:rPr>
      </w:pPr>
      <w:r>
        <w:rPr>
          <w:rFonts w:hint="cs"/>
          <w:rtl/>
        </w:rPr>
        <w:tab/>
        <w:t>(1)</w:t>
      </w:r>
      <w:r>
        <w:rPr>
          <w:rFonts w:hint="cs"/>
          <w:rtl/>
        </w:rPr>
        <w:tab/>
      </w:r>
      <w:r>
        <w:rPr>
          <w:rFonts w:hint="cs"/>
          <w:rtl/>
        </w:rPr>
        <w:t>מכרטיסי חשבונות הבנקים של הסיעה עולה, כי כספים בהיקף של מאות אלפי ש"ח הופקדו בחשבונות הסיעה ונמשכו מהם, בלא שהסיעה הציגה תיעוד על מפקידי הכספים ועל יעודם של הכספים שהוצאו מחשבונותיה. בהעדר תיעוד כאמור, לא קיימה הסיעה את הנחיות מימון מפלגות (ניהול חשבונות ס</w:t>
      </w:r>
      <w:r>
        <w:rPr>
          <w:rFonts w:hint="cs"/>
          <w:rtl/>
        </w:rPr>
        <w:t xml:space="preserve">יעה), התשל"ח-1978 (להלן - ההנחיות) הקובעות, כי - </w:t>
      </w:r>
    </w:p>
    <w:p w:rsidR="00D653E5">
      <w:pPr>
        <w:spacing w:line="240" w:lineRule="auto"/>
        <w:rPr>
          <w:rtl/>
        </w:rPr>
      </w:pPr>
    </w:p>
    <w:p w:rsidR="00D653E5">
      <w:pPr>
        <w:tabs>
          <w:tab w:val="left" w:pos="1452"/>
        </w:tabs>
        <w:spacing w:line="240" w:lineRule="auto"/>
        <w:ind w:left="1452"/>
        <w:rPr>
          <w:b/>
          <w:bCs/>
          <w:rtl/>
        </w:rPr>
      </w:pPr>
      <w:r>
        <w:rPr>
          <w:rFonts w:hint="cs"/>
          <w:b/>
          <w:bCs/>
          <w:rtl/>
        </w:rPr>
        <w:t>"סיעה תנהל מערכת חשבונות בצורה שתאפשר בדרכי ביקורת מקובלות, לזהות בבירור, לאמת ולסכם את הוצאותיה לבחירות ואת הוצאותיה השוטפות בנפרד אלה מאלה, ולזהות את הכנסותיה על מקורותיהן" (סעיף 1 להנחיות).</w:t>
      </w:r>
    </w:p>
    <w:p w:rsidR="00D653E5">
      <w:pPr>
        <w:spacing w:line="240" w:lineRule="auto"/>
        <w:rPr>
          <w:b/>
          <w:bCs/>
          <w:rtl/>
        </w:rPr>
      </w:pPr>
    </w:p>
    <w:p w:rsidR="00D653E5">
      <w:pPr>
        <w:tabs>
          <w:tab w:val="left" w:pos="1452"/>
        </w:tabs>
        <w:spacing w:line="240" w:lineRule="auto"/>
        <w:ind w:left="1452"/>
        <w:rPr>
          <w:b/>
          <w:bCs/>
          <w:rtl/>
        </w:rPr>
      </w:pPr>
      <w:r>
        <w:rPr>
          <w:rFonts w:hint="cs"/>
          <w:b/>
          <w:bCs/>
          <w:rtl/>
        </w:rPr>
        <w:t>"כל רישום ב</w:t>
      </w:r>
      <w:r>
        <w:rPr>
          <w:rFonts w:hint="cs"/>
          <w:b/>
          <w:bCs/>
          <w:rtl/>
        </w:rPr>
        <w:t>מערכת החשבונות יפנה לאסמכתא, המעידה על מהימנותו ושלמותו של הרישום והמאפשרת לעמוד על פרטי הפעולה הנוגעת; על הרישום לאפשר איתור האסמכתא בתיקי הסיעה" (סעיף 10 להנחיות).</w:t>
      </w:r>
    </w:p>
    <w:p w:rsidR="00D653E5">
      <w:pPr>
        <w:tabs>
          <w:tab w:val="left" w:pos="588"/>
          <w:tab w:val="left" w:pos="1164"/>
        </w:tabs>
        <w:spacing w:line="240" w:lineRule="auto"/>
        <w:ind w:left="567"/>
        <w:rPr>
          <w:rtl/>
        </w:rPr>
      </w:pPr>
      <w:r>
        <w:rPr>
          <w:b/>
          <w:bCs/>
          <w:rtl/>
        </w:rPr>
        <w:br w:type="page"/>
      </w:r>
      <w:r>
        <w:rPr>
          <w:rFonts w:hint="cs"/>
          <w:rtl/>
        </w:rPr>
        <w:t>(2)</w:t>
      </w:r>
      <w:r>
        <w:rPr>
          <w:rFonts w:hint="cs"/>
          <w:rtl/>
        </w:rPr>
        <w:tab/>
        <w:t>בחשבון שהסיעה כינתה "מעבר בחירות", שנכלל בין החשבונות השוטפים לתקופה הניסקרת, נרשמו מ</w:t>
      </w:r>
      <w:r>
        <w:rPr>
          <w:rFonts w:hint="cs"/>
          <w:rtl/>
        </w:rPr>
        <w:t>שיכות והפקדות בסכום כולל של מאות אלפי ש"ח לפקודת חשב הסיעה מר שמואל דוד, כמפורט להלן:</w:t>
      </w:r>
    </w:p>
    <w:p w:rsidR="00D653E5">
      <w:pPr>
        <w:spacing w:line="240" w:lineRule="auto"/>
        <w:rPr>
          <w:sz w:val="20"/>
          <w:szCs w:val="20"/>
          <w:rtl/>
        </w:rPr>
      </w:pPr>
    </w:p>
    <w:p w:rsidR="00D653E5">
      <w:pPr>
        <w:spacing w:line="240" w:lineRule="auto"/>
        <w:ind w:left="2835"/>
        <w:rPr>
          <w:sz w:val="20"/>
          <w:szCs w:val="20"/>
          <w:rtl/>
        </w:rPr>
      </w:pPr>
      <w:r>
        <w:rPr>
          <w:rFonts w:hint="cs"/>
          <w:sz w:val="20"/>
          <w:szCs w:val="20"/>
          <w:rtl/>
        </w:rPr>
        <w:t>סכום</w:t>
      </w:r>
      <w:r>
        <w:rPr>
          <w:rFonts w:hint="cs"/>
          <w:sz w:val="20"/>
          <w:szCs w:val="20"/>
          <w:rtl/>
        </w:rPr>
        <w:tab/>
      </w:r>
      <w:r>
        <w:rPr>
          <w:rFonts w:hint="cs"/>
          <w:sz w:val="20"/>
          <w:szCs w:val="20"/>
          <w:rtl/>
        </w:rPr>
        <w:tab/>
        <w:t>סכום</w:t>
      </w:r>
      <w:r>
        <w:rPr>
          <w:rFonts w:hint="cs"/>
          <w:sz w:val="20"/>
          <w:szCs w:val="20"/>
          <w:rtl/>
        </w:rPr>
        <w:tab/>
      </w:r>
      <w:r>
        <w:rPr>
          <w:rFonts w:hint="cs"/>
          <w:sz w:val="20"/>
          <w:szCs w:val="20"/>
          <w:rtl/>
        </w:rPr>
        <w:tab/>
        <w:t>יתרה</w:t>
      </w:r>
    </w:p>
    <w:p w:rsidR="00D653E5">
      <w:pPr>
        <w:pStyle w:val="Heading7"/>
        <w:rPr>
          <w:rtl/>
        </w:rPr>
      </w:pPr>
      <w:r>
        <w:rPr>
          <w:rFonts w:hint="cs"/>
          <w:rtl/>
        </w:rPr>
        <w:t>תאריך/ערך</w:t>
      </w:r>
      <w:r>
        <w:rPr>
          <w:rFonts w:hint="cs"/>
          <w:rtl/>
        </w:rPr>
        <w:tab/>
        <w:t>שניתן</w:t>
      </w:r>
      <w:r>
        <w:rPr>
          <w:rFonts w:hint="cs"/>
          <w:rtl/>
        </w:rPr>
        <w:tab/>
      </w:r>
      <w:r>
        <w:rPr>
          <w:rFonts w:hint="cs"/>
          <w:rtl/>
        </w:rPr>
        <w:tab/>
        <w:t>שהוחזר</w:t>
      </w:r>
      <w:r>
        <w:rPr>
          <w:rFonts w:hint="cs"/>
          <w:rtl/>
        </w:rPr>
        <w:tab/>
        <w:t>ל-31.3.90</w:t>
      </w:r>
    </w:p>
    <w:p w:rsidR="00D653E5">
      <w:pPr>
        <w:spacing w:line="240" w:lineRule="auto"/>
        <w:ind w:left="1701"/>
        <w:rPr>
          <w:sz w:val="20"/>
          <w:szCs w:val="20"/>
          <w:rtl/>
        </w:rPr>
      </w:pPr>
      <w:r>
        <w:rPr>
          <w:rFonts w:hint="cs"/>
          <w:sz w:val="20"/>
          <w:szCs w:val="20"/>
          <w:rtl/>
        </w:rPr>
        <w:t>5.12.88</w:t>
      </w:r>
      <w:r>
        <w:rPr>
          <w:rFonts w:hint="cs"/>
          <w:sz w:val="20"/>
          <w:szCs w:val="20"/>
          <w:rtl/>
        </w:rPr>
        <w:tab/>
      </w:r>
      <w:r>
        <w:rPr>
          <w:rFonts w:hint="cs"/>
          <w:sz w:val="20"/>
          <w:szCs w:val="20"/>
          <w:rtl/>
        </w:rPr>
        <w:tab/>
        <w:t>150,000</w:t>
      </w:r>
    </w:p>
    <w:p w:rsidR="00D653E5">
      <w:pPr>
        <w:spacing w:line="240" w:lineRule="auto"/>
        <w:ind w:left="1701"/>
        <w:rPr>
          <w:sz w:val="20"/>
          <w:szCs w:val="20"/>
          <w:rtl/>
        </w:rPr>
      </w:pPr>
      <w:r>
        <w:rPr>
          <w:rFonts w:hint="cs"/>
          <w:sz w:val="20"/>
          <w:szCs w:val="20"/>
          <w:rtl/>
        </w:rPr>
        <w:t>29.12.88</w:t>
      </w:r>
      <w:r>
        <w:rPr>
          <w:rFonts w:hint="cs"/>
          <w:sz w:val="20"/>
          <w:szCs w:val="20"/>
          <w:rtl/>
        </w:rPr>
        <w:tab/>
        <w:t>200,000</w:t>
      </w:r>
    </w:p>
    <w:p w:rsidR="00D653E5">
      <w:pPr>
        <w:spacing w:line="240" w:lineRule="auto"/>
        <w:ind w:left="1701"/>
        <w:rPr>
          <w:sz w:val="20"/>
          <w:szCs w:val="20"/>
          <w:rtl/>
        </w:rPr>
      </w:pPr>
      <w:r>
        <w:rPr>
          <w:rFonts w:hint="cs"/>
          <w:sz w:val="20"/>
          <w:szCs w:val="20"/>
          <w:rtl/>
        </w:rPr>
        <w:t>19.5.89</w:t>
      </w:r>
      <w:r>
        <w:rPr>
          <w:rFonts w:hint="cs"/>
          <w:sz w:val="20"/>
          <w:szCs w:val="20"/>
          <w:rtl/>
        </w:rPr>
        <w:tab/>
      </w:r>
      <w:r>
        <w:rPr>
          <w:rFonts w:hint="cs"/>
          <w:sz w:val="20"/>
          <w:szCs w:val="20"/>
          <w:rtl/>
        </w:rPr>
        <w:tab/>
        <w:t>30,000</w:t>
      </w:r>
    </w:p>
    <w:p w:rsidR="00D653E5">
      <w:pPr>
        <w:spacing w:line="240" w:lineRule="auto"/>
        <w:ind w:left="1701"/>
        <w:rPr>
          <w:sz w:val="20"/>
          <w:szCs w:val="20"/>
          <w:rtl/>
        </w:rPr>
      </w:pPr>
      <w:r>
        <w:rPr>
          <w:rFonts w:hint="cs"/>
          <w:sz w:val="20"/>
          <w:szCs w:val="20"/>
          <w:rtl/>
        </w:rPr>
        <w:t>11.1.90</w:t>
      </w:r>
      <w:r>
        <w:rPr>
          <w:rFonts w:hint="cs"/>
          <w:sz w:val="20"/>
          <w:szCs w:val="20"/>
          <w:rtl/>
        </w:rPr>
        <w:tab/>
      </w:r>
      <w:r>
        <w:rPr>
          <w:rFonts w:hint="cs"/>
          <w:sz w:val="20"/>
          <w:szCs w:val="20"/>
          <w:rtl/>
        </w:rPr>
        <w:tab/>
        <w:t>98,000</w:t>
      </w:r>
    </w:p>
    <w:p w:rsidR="00D653E5">
      <w:pPr>
        <w:spacing w:line="240" w:lineRule="auto"/>
        <w:ind w:left="1701"/>
        <w:rPr>
          <w:sz w:val="20"/>
          <w:szCs w:val="20"/>
          <w:rtl/>
        </w:rPr>
      </w:pPr>
      <w:r>
        <w:rPr>
          <w:rFonts w:hint="cs"/>
          <w:sz w:val="20"/>
          <w:szCs w:val="20"/>
          <w:rtl/>
        </w:rPr>
        <w:t>21.2.90</w:t>
      </w:r>
      <w:r>
        <w:rPr>
          <w:rFonts w:hint="cs"/>
          <w:sz w:val="20"/>
          <w:szCs w:val="20"/>
          <w:rtl/>
        </w:rPr>
        <w:tab/>
      </w:r>
      <w:r>
        <w:rPr>
          <w:rFonts w:hint="cs"/>
          <w:sz w:val="20"/>
          <w:szCs w:val="20"/>
          <w:rtl/>
        </w:rPr>
        <w:tab/>
      </w:r>
      <w:r>
        <w:rPr>
          <w:rFonts w:hint="cs"/>
          <w:sz w:val="20"/>
          <w:szCs w:val="20"/>
          <w:rtl/>
        </w:rPr>
        <w:tab/>
      </w:r>
      <w:r>
        <w:rPr>
          <w:rFonts w:hint="cs"/>
          <w:sz w:val="20"/>
          <w:szCs w:val="20"/>
          <w:rtl/>
        </w:rPr>
        <w:tab/>
        <w:t>180,000</w:t>
      </w:r>
    </w:p>
    <w:p w:rsidR="00D653E5">
      <w:pPr>
        <w:pStyle w:val="Heading7"/>
        <w:rPr>
          <w:u w:val="none"/>
          <w:rtl/>
        </w:rPr>
      </w:pPr>
      <w:r>
        <w:rPr>
          <w:rFonts w:hint="cs"/>
          <w:u w:val="none"/>
          <w:rtl/>
        </w:rPr>
        <w:t>30.3.90</w:t>
      </w:r>
      <w:r>
        <w:rPr>
          <w:rFonts w:hint="cs"/>
          <w:u w:val="none"/>
          <w:rtl/>
        </w:rPr>
        <w:tab/>
      </w:r>
      <w:r>
        <w:rPr>
          <w:rFonts w:hint="cs"/>
          <w:u w:val="none"/>
          <w:rtl/>
        </w:rPr>
        <w:tab/>
      </w:r>
      <w:r>
        <w:rPr>
          <w:rFonts w:hint="cs"/>
          <w:u w:val="none"/>
          <w:rtl/>
        </w:rPr>
        <w:tab/>
      </w:r>
      <w:r>
        <w:rPr>
          <w:rFonts w:hint="cs"/>
          <w:u w:val="none"/>
          <w:rtl/>
        </w:rPr>
        <w:tab/>
        <w:t>200,000</w:t>
      </w:r>
      <w:r>
        <w:rPr>
          <w:rFonts w:hint="cs"/>
          <w:u w:val="none"/>
          <w:rtl/>
        </w:rPr>
        <w:tab/>
        <w:t>98,000</w:t>
      </w:r>
    </w:p>
    <w:p w:rsidR="00D653E5">
      <w:pPr>
        <w:spacing w:line="240" w:lineRule="auto"/>
        <w:rPr>
          <w:sz w:val="20"/>
          <w:szCs w:val="20"/>
          <w:rtl/>
        </w:rPr>
      </w:pPr>
      <w:r>
        <w:rPr>
          <w:noProof/>
          <w:sz w:val="20"/>
          <w:rtl/>
          <w:lang w:eastAsia="en-US"/>
        </w:rPr>
        <mc:AlternateContent>
          <mc:Choice Requires="wps">
            <w:drawing>
              <wp:anchor distT="0" distB="0" distL="114300" distR="114300" simplePos="0" relativeHeight="251660288" behindDoc="0" locked="0" layoutInCell="1" allowOverlap="1">
                <wp:simplePos x="0" y="0"/>
                <wp:positionH relativeFrom="column">
                  <wp:posOffset>1463040</wp:posOffset>
                </wp:positionH>
                <wp:positionV relativeFrom="paragraph">
                  <wp:posOffset>60960</wp:posOffset>
                </wp:positionV>
                <wp:extent cx="2697480" cy="0"/>
                <wp:effectExtent l="0" t="0" r="0" b="0"/>
                <wp:wrapNone/>
                <wp:docPr id="2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269748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flip:x;mso-height-percent:0;mso-height-relative:page;mso-width-percent:0;mso-width-relative:page;mso-wrap-distance-bottom:0;mso-wrap-distance-left:9pt;mso-wrap-distance-right:9pt;mso-wrap-distance-top:0;mso-wrap-style:square;position:absolute;visibility:visible;z-index:251661312" from="115.2pt,4.8pt" to="327.6pt,4.8pt"/>
            </w:pict>
          </mc:Fallback>
        </mc:AlternateContent>
      </w:r>
    </w:p>
    <w:p w:rsidR="00D653E5">
      <w:pPr>
        <w:spacing w:line="240" w:lineRule="auto"/>
        <w:ind w:left="567"/>
        <w:rPr>
          <w:rtl/>
        </w:rPr>
      </w:pPr>
      <w:r>
        <w:rPr>
          <w:rFonts w:hint="cs"/>
          <w:rtl/>
        </w:rPr>
        <w:t>הסיעה</w:t>
      </w:r>
      <w:r>
        <w:rPr>
          <w:rFonts w:hint="cs"/>
          <w:rtl/>
        </w:rPr>
        <w:t xml:space="preserve"> לא צירפה אסמכתאות ולא נתנה הסברים כלשהם לגבי יעודם של הסכומים ששולמו לחשב הסיעה ולגבי המקורות ששימשו להחזרתם. מטעם הסיעה נטען, כי ההסברים הם בידיעתו של השר רפאל פנחסי, שהוא כאמור נציג הסיעה הבקי במשק הכספים שלה לענין חוק המימון; ואולם, פניות משרדי אליו וא</w:t>
      </w:r>
      <w:r>
        <w:rPr>
          <w:rFonts w:hint="cs"/>
          <w:rtl/>
        </w:rPr>
        <w:t>ל הסיעה בנושא זה לא נענו.</w:t>
      </w:r>
    </w:p>
    <w:p w:rsidR="00D653E5">
      <w:pPr>
        <w:spacing w:line="240" w:lineRule="auto"/>
        <w:rPr>
          <w:rtl/>
        </w:rPr>
      </w:pPr>
    </w:p>
    <w:p w:rsidR="00D653E5">
      <w:pPr>
        <w:spacing w:line="240" w:lineRule="auto"/>
        <w:ind w:left="567"/>
        <w:rPr>
          <w:rtl/>
        </w:rPr>
      </w:pPr>
      <w:r>
        <w:rPr>
          <w:rFonts w:hint="cs"/>
          <w:rtl/>
        </w:rPr>
        <w:t>לפיכך, לא ניהלה הסיעה את חשבונותיה לפי הנחיות מבקר המדינה, וגם לא ניתן לקבוע כי הסיעה עמדה באיסור על קבלת תרומה מתאגיד, הקבוע בסעיף 8 לחוק המימון.</w:t>
      </w:r>
    </w:p>
    <w:p w:rsidR="00D653E5">
      <w:pPr>
        <w:spacing w:line="240" w:lineRule="auto"/>
        <w:rPr>
          <w:rtl/>
        </w:rPr>
      </w:pPr>
    </w:p>
    <w:p w:rsidR="00D653E5">
      <w:pPr>
        <w:spacing w:line="240" w:lineRule="auto"/>
        <w:ind w:left="567"/>
        <w:rPr>
          <w:rtl/>
        </w:rPr>
      </w:pPr>
      <w:r>
        <w:rPr>
          <w:rFonts w:hint="cs"/>
          <w:rtl/>
        </w:rPr>
        <w:t>(3)</w:t>
      </w:r>
      <w:r>
        <w:rPr>
          <w:rFonts w:hint="cs"/>
          <w:rtl/>
        </w:rPr>
        <w:tab/>
        <w:t>אני רואה חובה לעצמי לדווח לך גם על השימוש שנעשה בכספי מימון המפלגות על-ידי אי</w:t>
      </w:r>
      <w:r>
        <w:rPr>
          <w:rFonts w:hint="cs"/>
          <w:rtl/>
        </w:rPr>
        <w:t>שים מרכזיים בסיעה, כפי שהדבר בא לידי ביטוי במערכת החשבונות של הסיעה בתקופה הניסקרת.</w:t>
      </w:r>
    </w:p>
    <w:p w:rsidR="00D653E5">
      <w:pPr>
        <w:spacing w:line="240" w:lineRule="auto"/>
        <w:rPr>
          <w:rtl/>
        </w:rPr>
      </w:pPr>
    </w:p>
    <w:p w:rsidR="00D653E5">
      <w:pPr>
        <w:spacing w:line="240" w:lineRule="auto"/>
        <w:ind w:left="567"/>
        <w:rPr>
          <w:rtl/>
        </w:rPr>
      </w:pPr>
      <w:r>
        <w:rPr>
          <w:rFonts w:hint="cs"/>
          <w:rtl/>
        </w:rPr>
        <w:t>לחובתם של מספר אישים מרכזיים בסיעה נרשמו, בראשית שנת 1989, סכומים כמפורט להלן: השר רפאל פנחסי - 36,390 ש"ח; סגן השר יוסף עזרן - 36,000 ש"ח; ח"כ שלמה דיין - 36,200 ש"ח. מאו</w:t>
      </w:r>
      <w:r>
        <w:rPr>
          <w:rFonts w:hint="cs"/>
          <w:rtl/>
        </w:rPr>
        <w:t>תם</w:t>
      </w:r>
    </w:p>
    <w:p w:rsidR="00D653E5">
      <w:pPr>
        <w:spacing w:line="240" w:lineRule="auto"/>
        <w:ind w:left="567"/>
        <w:rPr>
          <w:rtl/>
        </w:rPr>
      </w:pPr>
      <w:r>
        <w:rPr>
          <w:rtl/>
        </w:rPr>
        <w:br w:type="page"/>
      </w:r>
      <w:r>
        <w:rPr>
          <w:rFonts w:hint="cs"/>
          <w:rtl/>
        </w:rPr>
        <w:t>רישומים עולה, כי השר רפאל פנחסי החזיר לסילוק החוב האמור, בפברואר 1990, 38,900 ש"ח. רישומים אלה לא לוו באסמכתאות שיבהירו את מהות החיובים האמורים.</w:t>
      </w:r>
    </w:p>
    <w:p w:rsidR="00D653E5">
      <w:pPr>
        <w:spacing w:line="240" w:lineRule="auto"/>
        <w:rPr>
          <w:rtl/>
        </w:rPr>
      </w:pPr>
    </w:p>
    <w:p w:rsidR="00D653E5">
      <w:pPr>
        <w:spacing w:line="240" w:lineRule="auto"/>
        <w:ind w:left="567"/>
        <w:rPr>
          <w:rtl/>
        </w:rPr>
      </w:pPr>
      <w:r>
        <w:rPr>
          <w:rFonts w:hint="cs"/>
          <w:rtl/>
        </w:rPr>
        <w:t>במכתב מטעם הסיעה, שנשלח למשרדי רק בספטמבר 1990, הסבירה הסיעה בענין הרישומים האמורים כדלקמן:</w:t>
      </w:r>
    </w:p>
    <w:p w:rsidR="00D653E5">
      <w:pPr>
        <w:spacing w:line="240" w:lineRule="auto"/>
        <w:rPr>
          <w:rtl/>
        </w:rPr>
      </w:pPr>
    </w:p>
    <w:p w:rsidR="00D653E5">
      <w:pPr>
        <w:spacing w:line="240" w:lineRule="auto"/>
        <w:ind w:left="1134"/>
        <w:rPr>
          <w:b/>
          <w:bCs/>
          <w:rtl/>
        </w:rPr>
      </w:pPr>
      <w:r>
        <w:rPr>
          <w:rFonts w:hint="cs"/>
          <w:b/>
          <w:bCs/>
          <w:rtl/>
        </w:rPr>
        <w:t>"...לאחר הבחי</w:t>
      </w:r>
      <w:r>
        <w:rPr>
          <w:rFonts w:hint="cs"/>
          <w:b/>
          <w:bCs/>
          <w:rtl/>
        </w:rPr>
        <w:t>רות לכנסת השתים עשרה החליטה הסיעה על פעילות ארגונית והסברתית בהיקף רחב, במגמה לקיים קשר ישיר עם הציבור בכל רחבי הארץ. על מנת לחסוך בהוצאות כספיות גדולות הכרוכות ברכישת רכבים ואחזקתם ע"י הסיעה כדי להעמידם לרשות חברי הכנסת, הוחלט על מתן הלוואות בגובה של 20,0</w:t>
      </w:r>
      <w:r>
        <w:rPr>
          <w:rFonts w:hint="cs"/>
          <w:b/>
          <w:bCs/>
          <w:rtl/>
        </w:rPr>
        <w:t>00 דולר לחברי הכנסת, לצורך רכישת רכב פרטי למטרות האמורות לעיל.</w:t>
      </w:r>
    </w:p>
    <w:p w:rsidR="00D653E5">
      <w:pPr>
        <w:spacing w:line="240" w:lineRule="auto"/>
        <w:ind w:left="1134" w:hanging="1134"/>
        <w:rPr>
          <w:b/>
          <w:bCs/>
          <w:rtl/>
        </w:rPr>
      </w:pPr>
    </w:p>
    <w:p w:rsidR="00D653E5">
      <w:pPr>
        <w:spacing w:line="240" w:lineRule="auto"/>
        <w:ind w:left="1134"/>
        <w:rPr>
          <w:b/>
          <w:bCs/>
          <w:rtl/>
        </w:rPr>
      </w:pPr>
      <w:r>
        <w:rPr>
          <w:rFonts w:hint="cs"/>
          <w:b/>
          <w:bCs/>
          <w:rtl/>
        </w:rPr>
        <w:t>נקבע כי חברי הכנסת יחזירו את ההלוואות צמוד לשער היציג של דולר ארה"ב עד ולא יאוחר מתום כהונת הכנסת השתים עשרה.</w:t>
      </w:r>
    </w:p>
    <w:p w:rsidR="00D653E5">
      <w:pPr>
        <w:spacing w:line="240" w:lineRule="auto"/>
        <w:rPr>
          <w:b/>
          <w:bCs/>
          <w:rtl/>
        </w:rPr>
      </w:pPr>
    </w:p>
    <w:p w:rsidR="00D653E5">
      <w:pPr>
        <w:spacing w:line="240" w:lineRule="auto"/>
        <w:ind w:left="1134"/>
        <w:rPr>
          <w:b/>
          <w:bCs/>
          <w:rtl/>
        </w:rPr>
      </w:pPr>
      <w:r>
        <w:rPr>
          <w:rFonts w:hint="cs"/>
          <w:b/>
          <w:bCs/>
          <w:rtl/>
        </w:rPr>
        <w:t>...</w:t>
      </w:r>
    </w:p>
    <w:p w:rsidR="00D653E5">
      <w:pPr>
        <w:spacing w:line="240" w:lineRule="auto"/>
        <w:rPr>
          <w:b/>
          <w:bCs/>
          <w:rtl/>
        </w:rPr>
      </w:pPr>
    </w:p>
    <w:p w:rsidR="00D653E5">
      <w:pPr>
        <w:pStyle w:val="BodyTextIndent2"/>
        <w:spacing w:line="240" w:lineRule="auto"/>
        <w:ind w:firstLine="0"/>
        <w:rPr>
          <w:rtl/>
        </w:rPr>
      </w:pPr>
      <w:r>
        <w:rPr>
          <w:rFonts w:hint="cs"/>
          <w:rtl/>
        </w:rPr>
        <w:t xml:space="preserve">שר התקשורת, הרב רפאל פנחסי, החזיר את ההלוואה, כולל הפרשי שער, ב-23.2.90, </w:t>
      </w:r>
      <w:r>
        <w:rPr>
          <w:rFonts w:hint="cs"/>
          <w:rtl/>
        </w:rPr>
        <w:t>סמוך לאחר שהתמנה לכהונת סגן שר הפנים, כאשר הועמד לרשותו רכב צמוד מטעם המשרד.</w:t>
      </w:r>
    </w:p>
    <w:p w:rsidR="00D653E5">
      <w:pPr>
        <w:spacing w:line="240" w:lineRule="auto"/>
        <w:rPr>
          <w:b/>
          <w:bCs/>
          <w:rtl/>
        </w:rPr>
      </w:pPr>
    </w:p>
    <w:p w:rsidR="00D653E5">
      <w:pPr>
        <w:spacing w:line="240" w:lineRule="auto"/>
        <w:ind w:left="1134"/>
        <w:rPr>
          <w:b/>
          <w:bCs/>
          <w:rtl/>
        </w:rPr>
      </w:pPr>
      <w:r>
        <w:rPr>
          <w:rFonts w:hint="cs"/>
          <w:b/>
          <w:bCs/>
          <w:rtl/>
        </w:rPr>
        <w:t>סגן שר האוצר, הרב יוסף עזרן, החזיר את ההלוואה, כולל הפרשי שער, בסך כולל של 40,000 ש"ח ב-4 תשלומים חודשיים עוקבים של 2,500 ש"ח כל אחד, החל מ-1.4.90; וביום 19.7.90, סמוך לאחר התמנו</w:t>
      </w:r>
      <w:r>
        <w:rPr>
          <w:rFonts w:hint="cs"/>
          <w:b/>
          <w:bCs/>
          <w:rtl/>
        </w:rPr>
        <w:t>תו לכהונתו כסגן שר, פרע את יתרת ההלוואה בסך 30,000 ש"ח ...".</w:t>
      </w:r>
    </w:p>
    <w:p w:rsidR="00D653E5">
      <w:pPr>
        <w:spacing w:line="240" w:lineRule="auto"/>
        <w:rPr>
          <w:b/>
          <w:bCs/>
          <w:rtl/>
        </w:rPr>
      </w:pPr>
    </w:p>
    <w:p w:rsidR="00D653E5">
      <w:pPr>
        <w:spacing w:line="240" w:lineRule="auto"/>
        <w:ind w:left="567"/>
        <w:rPr>
          <w:rtl/>
        </w:rPr>
      </w:pPr>
      <w:r>
        <w:rPr>
          <w:rFonts w:hint="cs"/>
          <w:rtl/>
        </w:rPr>
        <w:t>(4)</w:t>
      </w:r>
      <w:r>
        <w:rPr>
          <w:rFonts w:hint="cs"/>
          <w:rtl/>
        </w:rPr>
        <w:tab/>
        <w:t xml:space="preserve">לדרישת הביקורת, המציאה סיעת ש"ס השלמות הנוגעות לרישומים שהיא סיווגה כמתייחסים לתקופת הבחירות לרשויות המקומיות (ראה להלן סעיף (ג)). הביקורת העלתה, כי לפי הרישומים בהנהלת החשבונות בתקופה יולי </w:t>
      </w:r>
      <w:r>
        <w:rPr>
          <w:rFonts w:hint="cs"/>
          <w:rtl/>
        </w:rPr>
        <w:t xml:space="preserve">1989 - מארס 1990 הופקדו בחשבונות הבנק </w:t>
      </w:r>
    </w:p>
    <w:p w:rsidR="00D653E5">
      <w:pPr>
        <w:spacing w:line="240" w:lineRule="auto"/>
        <w:ind w:left="567"/>
        <w:rPr>
          <w:rtl/>
        </w:rPr>
      </w:pPr>
      <w:r>
        <w:rPr>
          <w:rtl/>
        </w:rPr>
        <w:br w:type="page"/>
      </w:r>
      <w:r>
        <w:rPr>
          <w:rFonts w:hint="cs"/>
          <w:rtl/>
        </w:rPr>
        <w:t>של הסיעה סכומים בהיקף של מאות אלפי ש"ח. לביקורת לא הומצאו נתונים ותיעוד על מקורם של כספים אלה, ובהעדר ידיעה על מקורם - לא ניתן לקבוע, כי הסיעה עמדה באיסור על קבלת תרומה מתאגיד לפי סעיף 8 לחוק המימון.</w:t>
      </w:r>
    </w:p>
    <w:p w:rsidR="00D653E5">
      <w:pPr>
        <w:spacing w:line="240" w:lineRule="auto"/>
        <w:rPr>
          <w:rtl/>
        </w:rPr>
      </w:pPr>
    </w:p>
    <w:p w:rsidR="00D653E5">
      <w:pPr>
        <w:spacing w:line="240" w:lineRule="auto"/>
        <w:ind w:left="567"/>
        <w:rPr>
          <w:rtl/>
        </w:rPr>
      </w:pPr>
      <w:r>
        <w:rPr>
          <w:rFonts w:hint="cs"/>
          <w:rtl/>
        </w:rPr>
        <w:t>נוכח המימצאים כ</w:t>
      </w:r>
      <w:r>
        <w:rPr>
          <w:rFonts w:hint="cs"/>
          <w:rtl/>
        </w:rPr>
        <w:t xml:space="preserve">בדי המשקל שהועלו בבדיקת החשבונות השוטפים של הסיעה לתקופה הניסקרת, לא ראיתי לנכון להשתמש בסמכותי לפי סעיף 10(ה)(3) לחוק המימון, ולהמליץ על סנקציה נמוכה מזו הנקובה בסעיף 10(ה)(1) לחוק המימון. התוצאה היא - שלילת שלושת התשלומים הקרובים למימון הוצאותיה השוטפות </w:t>
      </w:r>
      <w:r>
        <w:rPr>
          <w:rFonts w:hint="cs"/>
          <w:rtl/>
        </w:rPr>
        <w:t>של הסיעה, שערכם כיום הוא כ-400,000 ש"ח.</w:t>
      </w:r>
    </w:p>
    <w:p w:rsidR="00D653E5">
      <w:pPr>
        <w:spacing w:line="240" w:lineRule="auto"/>
        <w:rPr>
          <w:rtl/>
        </w:rPr>
      </w:pPr>
    </w:p>
    <w:p w:rsidR="00D653E5">
      <w:pPr>
        <w:spacing w:line="240" w:lineRule="auto"/>
        <w:ind w:left="567"/>
        <w:rPr>
          <w:b/>
          <w:bCs/>
          <w:rtl/>
        </w:rPr>
      </w:pPr>
      <w:r>
        <w:rPr>
          <w:rFonts w:hint="cs"/>
          <w:b/>
          <w:bCs/>
          <w:rtl/>
        </w:rPr>
        <w:t>(ב)</w:t>
      </w:r>
      <w:r>
        <w:rPr>
          <w:rFonts w:hint="cs"/>
          <w:b/>
          <w:bCs/>
          <w:rtl/>
        </w:rPr>
        <w:tab/>
        <w:t>חשבונות הסיעה לתקופה הבחירות לכנסת השתים-עשרה</w:t>
      </w:r>
    </w:p>
    <w:p w:rsidR="00D653E5">
      <w:pPr>
        <w:spacing w:line="240" w:lineRule="auto"/>
        <w:ind w:left="567"/>
        <w:rPr>
          <w:b/>
          <w:bCs/>
          <w:rtl/>
        </w:rPr>
      </w:pPr>
      <w:r>
        <w:rPr>
          <w:rFonts w:hint="cs"/>
          <w:b/>
          <w:bCs/>
          <w:rtl/>
        </w:rPr>
        <w:t>והחשבונות השוטפים של הסיעה לתקופה 1.4.1988 - 30.11.1988</w:t>
      </w:r>
    </w:p>
    <w:p w:rsidR="00D653E5">
      <w:pPr>
        <w:spacing w:line="240" w:lineRule="auto"/>
        <w:ind w:left="567"/>
        <w:rPr>
          <w:b/>
          <w:bCs/>
          <w:rtl/>
        </w:rPr>
      </w:pPr>
      <w:r>
        <w:rPr>
          <w:rFonts w:hint="cs"/>
          <w:b/>
          <w:bCs/>
          <w:rtl/>
        </w:rPr>
        <w:t>------------------------------------------------------</w:t>
      </w:r>
    </w:p>
    <w:p w:rsidR="00D653E5">
      <w:pPr>
        <w:spacing w:line="240" w:lineRule="auto"/>
        <w:rPr>
          <w:b/>
          <w:bCs/>
          <w:rtl/>
        </w:rPr>
      </w:pPr>
    </w:p>
    <w:p w:rsidR="00D653E5">
      <w:pPr>
        <w:spacing w:line="240" w:lineRule="auto"/>
        <w:ind w:left="567"/>
        <w:rPr>
          <w:rtl/>
        </w:rPr>
      </w:pPr>
      <w:r>
        <w:rPr>
          <w:rFonts w:hint="cs"/>
          <w:rtl/>
        </w:rPr>
        <w:t>ב-6.6.1989 מסרתי לך, בין היתר, דינים וחשבונות על תוצא</w:t>
      </w:r>
      <w:r>
        <w:rPr>
          <w:rFonts w:hint="cs"/>
          <w:rtl/>
        </w:rPr>
        <w:t>ות ביקורת חשבונות סיעת ש"ס לתקופת הבחירות לכנסת השתים-עשרה ולתקופה 1.4.1988 - 30.11.1988.</w:t>
      </w:r>
    </w:p>
    <w:p w:rsidR="00D653E5">
      <w:pPr>
        <w:spacing w:line="240" w:lineRule="auto"/>
        <w:rPr>
          <w:rtl/>
        </w:rPr>
      </w:pPr>
    </w:p>
    <w:p w:rsidR="00D653E5">
      <w:pPr>
        <w:spacing w:line="240" w:lineRule="auto"/>
        <w:ind w:left="567"/>
        <w:rPr>
          <w:rtl/>
        </w:rPr>
      </w:pPr>
      <w:r>
        <w:rPr>
          <w:rFonts w:hint="cs"/>
          <w:rtl/>
        </w:rPr>
        <w:t xml:space="preserve">בחשבונות שהגישה הסיעה לתקופה הניסקרת היא דיווחה, בין היתר, גם על הוצאות שהיא סיווגה אותן כמתייחסות לתקופת הבחירות לכנסת השתים-עשרה. לדרישת הביקורת המציאה </w:t>
      </w:r>
      <w:r>
        <w:rPr>
          <w:rFonts w:hint="cs"/>
          <w:rtl/>
        </w:rPr>
        <w:tab/>
        <w:t>הסיעה השלמ</w:t>
      </w:r>
      <w:r>
        <w:rPr>
          <w:rFonts w:hint="cs"/>
          <w:rtl/>
        </w:rPr>
        <w:t>ות הנוגעות לרישומים אלה, שהיא רשמה אותן ב"חשבון מעבר".</w:t>
      </w:r>
    </w:p>
    <w:p w:rsidR="00D653E5">
      <w:pPr>
        <w:spacing w:line="240" w:lineRule="auto"/>
        <w:rPr>
          <w:rtl/>
        </w:rPr>
      </w:pPr>
    </w:p>
    <w:p w:rsidR="00D653E5">
      <w:pPr>
        <w:spacing w:line="240" w:lineRule="auto"/>
        <w:ind w:left="567"/>
        <w:rPr>
          <w:rtl/>
        </w:rPr>
      </w:pPr>
      <w:r>
        <w:rPr>
          <w:rFonts w:hint="cs"/>
          <w:rtl/>
        </w:rPr>
        <w:t xml:space="preserve">בדיקת חשבונות אלה העלתה, כי סכום כולל של 920,000 ש"ח רשום כיתרת חובה ב"חשבון מעבר" האמור. לא נמצא תיעוד כלשהו שיבהיר את מהות הרישומים ואת טיבם של החובות. ביתרה האמורה כלולים סכומים המסתכמים ב-770,000 </w:t>
      </w:r>
      <w:r>
        <w:rPr>
          <w:rFonts w:hint="cs"/>
          <w:rtl/>
        </w:rPr>
        <w:t>ש"ח ששולמו לחשב הסיעה בנובמבר 1988. לביקורת הומצאו רק ספחי השיקים שהוצאו לפקודת חשב הסיעה בסכום האמור, אך ללא כל תיעוד נילווה. משנדרשה הסיעה להסביר את מהות התשלומים, היפנו אנשי הקשר מטעם הסיעה את עובדי משרדי לקבלת הסברים ואסמכתאות בנדון לשר רפאל פנחסי; ואו</w:t>
      </w:r>
      <w:r>
        <w:rPr>
          <w:rFonts w:hint="cs"/>
          <w:rtl/>
        </w:rPr>
        <w:t>לם משנתבקשו הסיעה והשר פנחסי, כנציג הסיעה, להמציא הסברים, מילאו פיהם מים.</w:t>
      </w:r>
    </w:p>
    <w:p w:rsidR="00D653E5">
      <w:pPr>
        <w:spacing w:line="240" w:lineRule="auto"/>
        <w:ind w:left="567"/>
        <w:rPr>
          <w:rtl/>
        </w:rPr>
      </w:pPr>
      <w:r>
        <w:rPr>
          <w:rtl/>
        </w:rPr>
        <w:br w:type="page"/>
      </w:r>
      <w:r>
        <w:rPr>
          <w:rFonts w:hint="cs"/>
          <w:rtl/>
        </w:rPr>
        <w:t>מערכות החשבונות המתייחסות לתקופת הבחירות לכנסת השתים-עשרה ולתקופה 1.4.1988 - 30.11.1988 נמסרו למשרדי על-ידי נציגי הסיעה ב-8.2.1989. הנתונים האמורים מצביעים על-כך, שהדיווחים שהגישו ב</w:t>
      </w:r>
      <w:r>
        <w:rPr>
          <w:rFonts w:hint="cs"/>
          <w:rtl/>
        </w:rPr>
        <w:t>שעתו נציגי הסיעה (כאמור) למשרד מבקר המדינה, בגין הכנסותיה והוצאותיה של הסיעה בתקופות האמורות, לא שיקפו את מלוא פעולותיה. יש לציין, שנציגי הסיעה, השר רפאל פנחסי והרב יחזקאל אסחייק, מסרו את הדינים וחשבונות הכספיים של הסיעה בצירוף הצהרה, לפי סעיף 9(ג) לחוק המ</w:t>
      </w:r>
      <w:r>
        <w:rPr>
          <w:rFonts w:hint="cs"/>
          <w:rtl/>
        </w:rPr>
        <w:t>ימון, כי למיטב ידיעתם, הרישומים במערכת החשבונות של הסיעה הם שלמים ונכונים, ומשקפים את כל הכנסות הסיעה והוצאותיה. בדינים וחשבונות שהגשתי בשעתו בגין שתי התקופות האמורות ציינתי, שקיבלתי הצהרות אלה כראייה.</w:t>
      </w:r>
    </w:p>
    <w:p w:rsidR="00D653E5">
      <w:pPr>
        <w:spacing w:line="240" w:lineRule="auto"/>
        <w:rPr>
          <w:rtl/>
        </w:rPr>
      </w:pPr>
    </w:p>
    <w:p w:rsidR="00D653E5">
      <w:pPr>
        <w:spacing w:line="240" w:lineRule="auto"/>
        <w:ind w:left="567"/>
        <w:rPr>
          <w:rtl/>
        </w:rPr>
      </w:pPr>
      <w:r>
        <w:rPr>
          <w:rFonts w:hint="cs"/>
          <w:rtl/>
        </w:rPr>
        <w:t>כאמור, הדינים וחשבונות שמסרתי לך על תוצאות ביקורת חשב</w:t>
      </w:r>
      <w:r>
        <w:rPr>
          <w:rFonts w:hint="cs"/>
          <w:rtl/>
        </w:rPr>
        <w:t xml:space="preserve">ונות הסיעה לתקופת הבחירות לכנסת השתים-עשרה ולתקופה 1.4.1988-30.11.1988 לא היו חיוביים. עם זאת, בתוקף סמכותי לפי סעיף 10(ה)(3) לחוק המימון, המלצתי לשלול מהסיעה בגין תקופת הבחירות לכנסת השתים-עשרה השלמת מימון בשיעור של 12% מהמימון המגיע ולא את השיעור המירבי </w:t>
      </w:r>
      <w:r>
        <w:rPr>
          <w:rFonts w:hint="cs"/>
          <w:rtl/>
        </w:rPr>
        <w:t>של 15% לפי סעיף 10(ה)(1) לחוק המימון, ובגין התקופה 1.4.1988 עד 30.11.1988 - מימון הוצאות שוטפות לחודש אחד בלבד, ולא שלושה תשלומים חודשיים לפי סעיף 10(ה)(1) לחוק המימון.</w:t>
      </w:r>
    </w:p>
    <w:p w:rsidR="00D653E5">
      <w:pPr>
        <w:spacing w:line="240" w:lineRule="auto"/>
        <w:rPr>
          <w:rtl/>
        </w:rPr>
      </w:pPr>
    </w:p>
    <w:p w:rsidR="00D653E5">
      <w:pPr>
        <w:spacing w:line="240" w:lineRule="auto"/>
        <w:ind w:left="567"/>
        <w:rPr>
          <w:rtl/>
        </w:rPr>
      </w:pPr>
      <w:r>
        <w:rPr>
          <w:rFonts w:hint="cs"/>
          <w:rtl/>
        </w:rPr>
        <w:t xml:space="preserve">לו היה בפני בעת הגשת הדינים וחשבונות שמסרתי לך ב-6.6.1989 המידע הנוסף, מידע אותו היתה </w:t>
      </w:r>
      <w:r>
        <w:rPr>
          <w:rFonts w:hint="cs"/>
          <w:rtl/>
        </w:rPr>
        <w:t>הסיעה אמורה להמציא לי כבר בשעתו, לא הייתי ממליצה על סנקציות נמוכות מאלה הנקובות בסעיף 10(ה)(1) לחוק המימון. אין לדעתי הצדקה שהסיעה תיהנה מפירות הפרת הדיווח המלא כמתואר. לפיכך הנני מבטלת את המלצותי האמורות וקובעת, כי הסנקציות בגין הדינים וחשבונות הלא חיוביי</w:t>
      </w:r>
      <w:r>
        <w:rPr>
          <w:rFonts w:hint="cs"/>
          <w:rtl/>
        </w:rPr>
        <w:t>ם של מערכות החשבונות של שתי התקופות האמורות יהיו הסנקציות המירביות.</w:t>
      </w:r>
    </w:p>
    <w:p w:rsidR="00D653E5">
      <w:pPr>
        <w:spacing w:line="240" w:lineRule="auto"/>
        <w:rPr>
          <w:rtl/>
        </w:rPr>
      </w:pPr>
    </w:p>
    <w:p w:rsidR="00D653E5">
      <w:pPr>
        <w:spacing w:line="240" w:lineRule="auto"/>
        <w:ind w:left="567"/>
        <w:rPr>
          <w:rtl/>
        </w:rPr>
      </w:pPr>
      <w:r>
        <w:rPr>
          <w:rFonts w:hint="cs"/>
          <w:rtl/>
        </w:rPr>
        <w:t>התוצאה היא: שלילת עוד 3% מהכספים שהגיעו לסיעה להשלמת מימון הוצאות הבחירות לכנסת השתים-עשרה (שערכם היום כ-80,000 ש"ח). ושלילת שני תשלומים חודשיים נוספים למימון הוצאותיה השוטפות (שערכם היום</w:t>
      </w:r>
      <w:r>
        <w:rPr>
          <w:rFonts w:hint="cs"/>
          <w:rtl/>
        </w:rPr>
        <w:t xml:space="preserve"> כ-266,000 ש"ח).</w:t>
      </w:r>
    </w:p>
    <w:p w:rsidR="00D653E5">
      <w:pPr>
        <w:spacing w:line="240" w:lineRule="auto"/>
        <w:ind w:left="567"/>
        <w:rPr>
          <w:b/>
          <w:bCs/>
          <w:rtl/>
        </w:rPr>
      </w:pPr>
      <w:r>
        <w:rPr>
          <w:rtl/>
        </w:rPr>
        <w:br w:type="page"/>
      </w:r>
      <w:r>
        <w:rPr>
          <w:rFonts w:hint="cs"/>
          <w:b/>
          <w:bCs/>
          <w:rtl/>
        </w:rPr>
        <w:t>(ג)</w:t>
      </w:r>
      <w:r>
        <w:rPr>
          <w:rFonts w:hint="cs"/>
          <w:b/>
          <w:bCs/>
          <w:rtl/>
        </w:rPr>
        <w:tab/>
        <w:t>החשבונות לתקופת הבחירות לרשויות המקומיות</w:t>
      </w:r>
    </w:p>
    <w:p w:rsidR="00D653E5">
      <w:pPr>
        <w:spacing w:line="240" w:lineRule="auto"/>
        <w:ind w:left="567"/>
        <w:rPr>
          <w:b/>
          <w:bCs/>
          <w:rtl/>
        </w:rPr>
      </w:pPr>
      <w:r>
        <w:rPr>
          <w:rFonts w:hint="cs"/>
          <w:b/>
          <w:bCs/>
          <w:rtl/>
        </w:rPr>
        <w:t>----------------------------------------</w:t>
      </w:r>
    </w:p>
    <w:p w:rsidR="00D653E5">
      <w:pPr>
        <w:spacing w:line="240" w:lineRule="auto"/>
        <w:rPr>
          <w:b/>
          <w:bCs/>
          <w:rtl/>
        </w:rPr>
      </w:pPr>
    </w:p>
    <w:p w:rsidR="00D653E5">
      <w:pPr>
        <w:spacing w:line="240" w:lineRule="auto"/>
        <w:ind w:left="567"/>
        <w:rPr>
          <w:rtl/>
        </w:rPr>
      </w:pPr>
      <w:r>
        <w:rPr>
          <w:rFonts w:hint="cs"/>
          <w:rtl/>
        </w:rPr>
        <w:t>בדין וחשבון שמסרתי לך ב-14.9.1989 על תוצאות ביקורת חשבונות הסיעה לתקופת הבחירות לרשויות המקומיות ציינתי, בין היתר, כי ניתן לסיעת ש"ס דין וחשבון חיובי ע</w:t>
      </w:r>
      <w:r>
        <w:rPr>
          <w:rFonts w:hint="cs"/>
          <w:rtl/>
        </w:rPr>
        <w:t>ל תוצאות ביקורת החשבונות שלה לתקופת הבחירות לרשויות המקומיות.</w:t>
      </w:r>
    </w:p>
    <w:p w:rsidR="00D653E5">
      <w:pPr>
        <w:spacing w:line="240" w:lineRule="auto"/>
        <w:rPr>
          <w:rtl/>
        </w:rPr>
      </w:pPr>
    </w:p>
    <w:p w:rsidR="00D653E5">
      <w:pPr>
        <w:spacing w:line="240" w:lineRule="auto"/>
        <w:ind w:left="567"/>
        <w:rPr>
          <w:rtl/>
        </w:rPr>
      </w:pPr>
      <w:r>
        <w:rPr>
          <w:rFonts w:hint="cs"/>
          <w:rtl/>
        </w:rPr>
        <w:t>בחשבונות שהגישה הסיעה לתקופה הניסקרת היא דיווחה, בין היתר, גם על הוצאות שיוחסו על-ידיה לבחירות לרשויות המקומיות. לדרישת הביקורת, המציאה הסיעה השלמות הנוגעות לרישומים אלה. מבדיקת ההשלמות שהומצאו</w:t>
      </w:r>
      <w:r>
        <w:rPr>
          <w:rFonts w:hint="cs"/>
          <w:rtl/>
        </w:rPr>
        <w:t xml:space="preserve"> לביקורת עולה, כי מחשבונות הבנק של הסיעה שולמו, לפי הרישומים בהנהלת החשבונות, בתקופה מאי 1989 - מארס 1990, סכומים בהיקף של מאות אלפי ש"ח. לביקורת לא הומצאו נתונים ותיעוד לפי שולמו הסכומים האמורים וסיבת התשלום. יצויין, כי חלק משמעותי מהסכומים האמורים שולמו,</w:t>
      </w:r>
      <w:r>
        <w:rPr>
          <w:rFonts w:hint="cs"/>
          <w:rtl/>
        </w:rPr>
        <w:t xml:space="preserve"> על-פי הרישומים בהנהלת החשבונות, במאי 1989, דהיינו לפני הדיווח שנתנה הסיעה למבקר המדינה ביוני 1989. בדיווח זה לא נכללו הזכאים לסכומים אלה והתשלומים להם. היעדר המידע, שמחובת הסיעה היה לספק לי במועד, הוא שהניעני לקבוע בשעתו שהדין וחשבון הוא חיובי. מהטעיה זו </w:t>
      </w:r>
      <w:r>
        <w:rPr>
          <w:rFonts w:hint="cs"/>
          <w:rtl/>
        </w:rPr>
        <w:t>אין להניח לסיעה להיבנות, וזה השיקול ביסוד החלטתי לראות הדין וחשבון החיובי הקודם מ-14.9.1989 כבטל ולדון בענין מחדש.</w:t>
      </w:r>
    </w:p>
    <w:p w:rsidR="00D653E5">
      <w:pPr>
        <w:spacing w:line="240" w:lineRule="auto"/>
        <w:rPr>
          <w:rtl/>
        </w:rPr>
      </w:pPr>
    </w:p>
    <w:p w:rsidR="00D653E5">
      <w:pPr>
        <w:spacing w:line="240" w:lineRule="auto"/>
        <w:ind w:left="567"/>
        <w:rPr>
          <w:rtl/>
        </w:rPr>
      </w:pPr>
      <w:r>
        <w:rPr>
          <w:rFonts w:hint="cs"/>
          <w:rtl/>
        </w:rPr>
        <w:t>מהנאמר לעיל נובע, שסיעת ש"ס לא ניהלה את חשבונותיה בהתאם להנחיות מימון הבחירות ברשויות המקומיות (ניהול חשבונות), התשמ"ט-1988 ולא שיקפה בחשבונ</w:t>
      </w:r>
      <w:r>
        <w:rPr>
          <w:rFonts w:hint="cs"/>
          <w:rtl/>
        </w:rPr>
        <w:t>ותיה את מלוא הכנסותיה והוצאותיה לרבות התחיבויותיה בשל הוצאות אלה.</w:t>
      </w:r>
    </w:p>
    <w:p w:rsidR="00D653E5">
      <w:pPr>
        <w:spacing w:line="240" w:lineRule="auto"/>
        <w:rPr>
          <w:rtl/>
        </w:rPr>
      </w:pPr>
    </w:p>
    <w:p w:rsidR="00D653E5">
      <w:pPr>
        <w:spacing w:line="240" w:lineRule="auto"/>
        <w:ind w:left="567"/>
        <w:rPr>
          <w:rtl/>
        </w:rPr>
      </w:pPr>
      <w:r>
        <w:rPr>
          <w:rFonts w:hint="cs"/>
          <w:rtl/>
        </w:rPr>
        <w:t>התוצאה היא, כי לאור המידע הנוסף, הדין וחשבון לפי חוק הרשויות המקומיות (מימון בחירות) (הוראות שעה), התשמ"ח-1988 - אינו חיובי.</w:t>
      </w:r>
    </w:p>
    <w:p w:rsidR="00D653E5">
      <w:pPr>
        <w:spacing w:line="240" w:lineRule="auto"/>
        <w:ind w:left="567"/>
        <w:rPr>
          <w:rtl/>
        </w:rPr>
      </w:pPr>
      <w:r>
        <w:rPr>
          <w:rtl/>
        </w:rPr>
        <w:br w:type="page"/>
      </w:r>
      <w:r>
        <w:rPr>
          <w:rFonts w:hint="cs"/>
          <w:rtl/>
        </w:rPr>
        <w:t xml:space="preserve">התוצאה היא, שעל סיעת ש"ס להחזיר לאוצר המדינה 15% מהכספים שהיא </w:t>
      </w:r>
      <w:r>
        <w:rPr>
          <w:rFonts w:hint="cs"/>
          <w:rtl/>
        </w:rPr>
        <w:t>קיבלה למימון הוצאות הבחירות לרשויות המקומיות בתקופת הבחירות לרשויות המקומיות; ערכו של שיעור זה היה בתקופה האמורה כ-421,000 ש"ח.</w:t>
      </w:r>
    </w:p>
    <w:p w:rsidR="00D653E5">
      <w:pPr>
        <w:spacing w:line="240" w:lineRule="auto"/>
        <w:rPr>
          <w:rtl/>
        </w:rPr>
      </w:pPr>
    </w:p>
    <w:p w:rsidR="00D653E5">
      <w:pPr>
        <w:spacing w:line="240" w:lineRule="auto"/>
        <w:ind w:left="567" w:hanging="567"/>
        <w:rPr>
          <w:rtl/>
        </w:rPr>
      </w:pPr>
      <w:r>
        <w:rPr>
          <w:rFonts w:hint="cs"/>
          <w:rtl/>
        </w:rPr>
        <w:t>10.</w:t>
      </w:r>
      <w:r>
        <w:rPr>
          <w:rFonts w:hint="cs"/>
          <w:rtl/>
        </w:rPr>
        <w:tab/>
        <w:t>סה"כ הסנקציה הכספית (חלקה - 346,000 ש"ח - הינו בנוסף על סכום כולל של 365,000 ש"ח כהשלמה של הסנקציה שכבר הטלתי על הסיעה על-פ</w:t>
      </w:r>
      <w:r>
        <w:rPr>
          <w:rFonts w:hint="cs"/>
          <w:rtl/>
        </w:rPr>
        <w:t>י הדינים וחשבונות מ-6.6.1989*, שבוטלו על-ידי) בגין ארבעת הדינים וחשבונות הלא חיוביים, שהנני מוסרת לך במצורף, היא כ-1,167,000 ש"ח, כמפורט להלן:</w:t>
      </w:r>
    </w:p>
    <w:p w:rsidR="00D653E5">
      <w:pPr>
        <w:spacing w:line="240" w:lineRule="auto"/>
        <w:rPr>
          <w:rtl/>
        </w:rPr>
      </w:pPr>
    </w:p>
    <w:p w:rsidR="00D653E5">
      <w:pPr>
        <w:pStyle w:val="Heading4"/>
        <w:spacing w:line="240" w:lineRule="auto"/>
        <w:ind w:left="567"/>
        <w:rPr>
          <w:rtl/>
        </w:rPr>
      </w:pPr>
      <w:r>
        <w:rPr>
          <w:rFonts w:hint="cs"/>
          <w:rtl/>
        </w:rPr>
        <w:t>(א)</w:t>
      </w:r>
      <w:r>
        <w:rPr>
          <w:rFonts w:hint="cs"/>
          <w:rtl/>
        </w:rPr>
        <w:tab/>
        <w:t>הדין וחשבון על תוצאות ביקורת חשבונות</w:t>
      </w:r>
    </w:p>
    <w:p w:rsidR="00D653E5">
      <w:pPr>
        <w:tabs>
          <w:tab w:val="left" w:pos="588"/>
          <w:tab w:val="left" w:pos="5628"/>
        </w:tabs>
        <w:spacing w:line="240" w:lineRule="auto"/>
        <w:ind w:left="567"/>
        <w:rPr>
          <w:b/>
          <w:bCs/>
          <w:rtl/>
        </w:rPr>
      </w:pPr>
      <w:r>
        <w:rPr>
          <w:rFonts w:hint="cs"/>
          <w:b/>
          <w:bCs/>
          <w:rtl/>
        </w:rPr>
        <w:t>הסיעה לתקופה 1.12.1988 - 31.3.1990</w:t>
      </w:r>
      <w:r>
        <w:rPr>
          <w:rFonts w:hint="cs"/>
          <w:b/>
          <w:bCs/>
          <w:rtl/>
        </w:rPr>
        <w:tab/>
        <w:t>כ-400,000 ש"ח</w:t>
      </w:r>
    </w:p>
    <w:p w:rsidR="00D653E5">
      <w:pPr>
        <w:spacing w:line="240" w:lineRule="auto"/>
        <w:rPr>
          <w:b/>
          <w:bCs/>
          <w:rtl/>
        </w:rPr>
      </w:pPr>
    </w:p>
    <w:p w:rsidR="00D653E5">
      <w:pPr>
        <w:pStyle w:val="Heading4"/>
        <w:spacing w:line="240" w:lineRule="auto"/>
        <w:ind w:left="567"/>
        <w:rPr>
          <w:rtl/>
        </w:rPr>
      </w:pPr>
      <w:r>
        <w:rPr>
          <w:rFonts w:hint="cs"/>
          <w:rtl/>
        </w:rPr>
        <w:t>(ב)</w:t>
      </w:r>
      <w:r>
        <w:rPr>
          <w:rFonts w:hint="cs"/>
          <w:rtl/>
        </w:rPr>
        <w:tab/>
        <w:t>הדין וחשבון על תו</w:t>
      </w:r>
      <w:r>
        <w:rPr>
          <w:rFonts w:hint="cs"/>
          <w:rtl/>
        </w:rPr>
        <w:t>צאות ביקורת חשבונות</w:t>
      </w:r>
    </w:p>
    <w:p w:rsidR="00D653E5">
      <w:pPr>
        <w:pStyle w:val="Heading4"/>
        <w:tabs>
          <w:tab w:val="left" w:pos="588"/>
          <w:tab w:val="left" w:pos="5628"/>
        </w:tabs>
        <w:spacing w:line="240" w:lineRule="auto"/>
        <w:ind w:left="567"/>
        <w:rPr>
          <w:rtl/>
        </w:rPr>
      </w:pPr>
      <w:r>
        <w:rPr>
          <w:rFonts w:hint="cs"/>
          <w:rtl/>
        </w:rPr>
        <w:t>הסיעה לתקופת הבחירות לכנסת השתים-עשרה</w:t>
      </w:r>
      <w:r>
        <w:rPr>
          <w:rFonts w:hint="cs"/>
          <w:rtl/>
        </w:rPr>
        <w:tab/>
        <w:t>כ-80,000 ש"ח</w:t>
      </w:r>
    </w:p>
    <w:p w:rsidR="00D653E5">
      <w:pPr>
        <w:spacing w:line="240" w:lineRule="auto"/>
        <w:rPr>
          <w:b/>
          <w:bCs/>
          <w:rtl/>
        </w:rPr>
      </w:pPr>
    </w:p>
    <w:p w:rsidR="00D653E5">
      <w:pPr>
        <w:pStyle w:val="Heading4"/>
        <w:spacing w:line="240" w:lineRule="auto"/>
        <w:ind w:left="567"/>
        <w:rPr>
          <w:rtl/>
        </w:rPr>
      </w:pPr>
      <w:r>
        <w:rPr>
          <w:rFonts w:hint="cs"/>
          <w:rtl/>
        </w:rPr>
        <w:t>(ג)</w:t>
      </w:r>
      <w:r>
        <w:rPr>
          <w:rFonts w:hint="cs"/>
          <w:rtl/>
        </w:rPr>
        <w:tab/>
        <w:t>הדין וחשבון על תוצאות ביקורת חשבונות</w:t>
      </w:r>
    </w:p>
    <w:p w:rsidR="00D653E5">
      <w:pPr>
        <w:pStyle w:val="Heading4"/>
        <w:tabs>
          <w:tab w:val="left" w:pos="588"/>
          <w:tab w:val="left" w:pos="5628"/>
        </w:tabs>
        <w:spacing w:line="240" w:lineRule="auto"/>
        <w:ind w:left="567"/>
        <w:rPr>
          <w:rtl/>
        </w:rPr>
      </w:pPr>
      <w:r>
        <w:rPr>
          <w:rFonts w:hint="cs"/>
          <w:rtl/>
        </w:rPr>
        <w:t>הסיעה לתקופה 1.4.1988 - 30.11.1988</w:t>
      </w:r>
      <w:r>
        <w:rPr>
          <w:rFonts w:hint="cs"/>
          <w:rtl/>
        </w:rPr>
        <w:tab/>
        <w:t>כ-266,000 ש"ח</w:t>
      </w:r>
    </w:p>
    <w:p w:rsidR="00D653E5">
      <w:pPr>
        <w:spacing w:line="240" w:lineRule="auto"/>
        <w:rPr>
          <w:b/>
          <w:bCs/>
          <w:rtl/>
        </w:rPr>
      </w:pPr>
    </w:p>
    <w:p w:rsidR="00D653E5">
      <w:pPr>
        <w:spacing w:line="240" w:lineRule="auto"/>
        <w:ind w:left="567"/>
        <w:rPr>
          <w:b/>
          <w:bCs/>
          <w:rtl/>
        </w:rPr>
      </w:pPr>
      <w:r>
        <w:rPr>
          <w:rFonts w:hint="cs"/>
          <w:b/>
          <w:bCs/>
          <w:rtl/>
        </w:rPr>
        <w:t>(ד)</w:t>
      </w:r>
      <w:r>
        <w:rPr>
          <w:rFonts w:hint="cs"/>
          <w:b/>
          <w:bCs/>
          <w:rtl/>
        </w:rPr>
        <w:tab/>
        <w:t>הדין וחשבון על תוצאות ביקורת חשבונות</w:t>
      </w:r>
    </w:p>
    <w:p w:rsidR="00D653E5">
      <w:pPr>
        <w:pStyle w:val="Heading4"/>
        <w:tabs>
          <w:tab w:val="left" w:pos="588"/>
          <w:tab w:val="left" w:pos="5628"/>
        </w:tabs>
        <w:spacing w:line="240" w:lineRule="auto"/>
        <w:ind w:left="567"/>
        <w:rPr>
          <w:rtl/>
        </w:rPr>
      </w:pPr>
      <w:r>
        <w:rPr>
          <w:rFonts w:hint="cs"/>
          <w:rtl/>
        </w:rPr>
        <w:t>הסיעה לתקופת הבחירות לרשויות המקומיות</w:t>
      </w:r>
      <w:r>
        <w:rPr>
          <w:rFonts w:hint="cs"/>
          <w:rtl/>
        </w:rPr>
        <w:tab/>
        <w:t xml:space="preserve">כ-421,000 </w:t>
      </w:r>
      <w:r>
        <w:rPr>
          <w:rFonts w:hint="cs"/>
          <w:rtl/>
        </w:rPr>
        <w:t>ש"ח**</w:t>
      </w:r>
    </w:p>
    <w:p w:rsidR="00D653E5">
      <w:pPr>
        <w:spacing w:line="240" w:lineRule="auto"/>
        <w:rPr>
          <w:b/>
          <w:bCs/>
          <w:rtl/>
        </w:rPr>
      </w:pPr>
    </w:p>
    <w:p w:rsidR="00D653E5">
      <w:pPr>
        <w:spacing w:line="240" w:lineRule="auto"/>
        <w:rPr>
          <w:b/>
          <w:bCs/>
          <w:rtl/>
        </w:rPr>
      </w:pPr>
    </w:p>
    <w:p w:rsidR="00D653E5">
      <w:pPr>
        <w:spacing w:line="240" w:lineRule="auto"/>
        <w:rPr>
          <w:b/>
          <w:bCs/>
          <w:rtl/>
        </w:rPr>
      </w:pPr>
    </w:p>
    <w:p w:rsidR="00D653E5">
      <w:pPr>
        <w:spacing w:line="240" w:lineRule="auto"/>
        <w:rPr>
          <w:b/>
          <w:bCs/>
          <w:rtl/>
        </w:rPr>
      </w:pPr>
    </w:p>
    <w:p w:rsidR="00D653E5">
      <w:pPr>
        <w:spacing w:line="240" w:lineRule="auto"/>
        <w:rPr>
          <w:b/>
          <w:bCs/>
          <w:rtl/>
        </w:rPr>
      </w:pPr>
    </w:p>
    <w:p w:rsidR="00D653E5">
      <w:pPr>
        <w:spacing w:line="240" w:lineRule="auto"/>
        <w:rPr>
          <w:b/>
          <w:bCs/>
          <w:rtl/>
        </w:rPr>
      </w:pPr>
    </w:p>
    <w:p w:rsidR="00D653E5">
      <w:pPr>
        <w:spacing w:line="240" w:lineRule="auto"/>
        <w:rPr>
          <w:b/>
          <w:bCs/>
          <w:rtl/>
        </w:rPr>
      </w:pPr>
    </w:p>
    <w:p w:rsidR="00D653E5">
      <w:pPr>
        <w:spacing w:line="240" w:lineRule="auto"/>
        <w:rPr>
          <w:b/>
          <w:bCs/>
          <w:rtl/>
        </w:rPr>
      </w:pPr>
    </w:p>
    <w:p w:rsidR="00D653E5">
      <w:pPr>
        <w:spacing w:line="240" w:lineRule="auto"/>
        <w:rPr>
          <w:noProof/>
          <w:sz w:val="20"/>
          <w:rtl/>
          <w:lang w:val="he-IL"/>
        </w:rPr>
      </w:pPr>
    </w:p>
    <w:p w:rsidR="00D653E5">
      <w:pPr>
        <w:pStyle w:val="FootnoteText"/>
        <w:spacing w:line="240" w:lineRule="auto"/>
        <w:rPr>
          <w:noProof/>
          <w:sz w:val="20"/>
          <w:rtl/>
          <w:lang w:val="he-IL"/>
        </w:rPr>
      </w:pPr>
      <w:r>
        <w:rPr>
          <w:noProof/>
          <w:rtl/>
          <w:lang w:eastAsia="en-US"/>
        </w:rPr>
        <mc:AlternateContent>
          <mc:Choice Requires="wps">
            <w:drawing>
              <wp:anchor distT="0" distB="0" distL="114300" distR="114300" simplePos="0" relativeHeight="251662336" behindDoc="0" locked="0" layoutInCell="1" allowOverlap="1">
                <wp:simplePos x="0" y="0"/>
                <wp:positionH relativeFrom="column">
                  <wp:posOffset>4114800</wp:posOffset>
                </wp:positionH>
                <wp:positionV relativeFrom="paragraph">
                  <wp:posOffset>62865</wp:posOffset>
                </wp:positionV>
                <wp:extent cx="1051560" cy="0"/>
                <wp:effectExtent l="0" t="0" r="0" b="0"/>
                <wp:wrapNone/>
                <wp:docPr id="2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105156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7" style="flip:x;mso-height-percent:0;mso-height-relative:page;mso-width-percent:0;mso-width-relative:page;mso-wrap-distance-bottom:0;mso-wrap-distance-left:9pt;mso-wrap-distance-right:9pt;mso-wrap-distance-top:0;mso-wrap-style:square;position:absolute;visibility:visible;z-index:251663360" from="324pt,4.95pt" to="406.8pt,4.95pt"/>
            </w:pict>
          </mc:Fallback>
        </mc:AlternateContent>
      </w:r>
      <w:r>
        <w:rPr>
          <w:rFonts w:hint="cs"/>
          <w:noProof/>
          <w:rtl/>
          <w:lang w:val="he-IL"/>
        </w:rPr>
        <w:t>__________</w:t>
      </w:r>
    </w:p>
    <w:p w:rsidR="00D653E5">
      <w:pPr>
        <w:pStyle w:val="FootnoteText"/>
        <w:spacing w:line="240" w:lineRule="auto"/>
        <w:rPr>
          <w:rtl/>
        </w:rPr>
      </w:pPr>
      <w:r>
        <w:rPr>
          <w:rFonts w:hint="cs"/>
          <w:rtl/>
        </w:rPr>
        <w:t>*</w:t>
      </w:r>
      <w:r>
        <w:rPr>
          <w:rFonts w:hint="cs"/>
          <w:rtl/>
        </w:rPr>
        <w:tab/>
        <w:t>הסכום האמור הינו לפי ערכי יחידת המימון שהייתה בתוקף ביוני 1989 - מועד הגשת אותם דו"חות.</w:t>
      </w:r>
    </w:p>
    <w:p w:rsidR="00D653E5">
      <w:pPr>
        <w:pStyle w:val="FootnoteText"/>
        <w:spacing w:line="240" w:lineRule="auto"/>
        <w:rPr>
          <w:rtl/>
        </w:rPr>
      </w:pPr>
      <w:r>
        <w:rPr>
          <w:rFonts w:hint="cs"/>
          <w:rtl/>
        </w:rPr>
        <w:t>**</w:t>
      </w:r>
      <w:r>
        <w:rPr>
          <w:rFonts w:hint="cs"/>
          <w:rtl/>
        </w:rPr>
        <w:tab/>
        <w:t xml:space="preserve">הסכום האמור מובא בערכי ספטמבר 1989 - מועד בו מסרתי לך את הדין וחשבון שלי על תוצאות ביקורת חשבונותיהן של הסיעות והרשימות שהשתתפו בבחירות </w:t>
      </w:r>
      <w:r>
        <w:rPr>
          <w:rFonts w:hint="cs"/>
          <w:rtl/>
        </w:rPr>
        <w:t>לרשויות המקומיות.</w:t>
      </w:r>
    </w:p>
    <w:p w:rsidR="00D653E5">
      <w:pPr>
        <w:spacing w:line="240" w:lineRule="auto"/>
        <w:ind w:left="567" w:hanging="567"/>
        <w:rPr>
          <w:rtl/>
        </w:rPr>
      </w:pPr>
      <w:r>
        <w:rPr>
          <w:rtl/>
        </w:rPr>
        <w:br w:type="page"/>
      </w:r>
      <w:r>
        <w:rPr>
          <w:rFonts w:hint="cs"/>
          <w:rtl/>
        </w:rPr>
        <w:t>11.</w:t>
      </w:r>
      <w:r>
        <w:rPr>
          <w:rFonts w:hint="cs"/>
          <w:rtl/>
        </w:rPr>
        <w:tab/>
        <w:t>לסיכום עלי לחזור ולציין את החומרה הנעוצה בכך, שנציגי הסיעה לא הגיבו על פניות בכתב שהמציא להם משרדי ולא הסבירו את התמיהות הרבות שנתעוררו, ובפרט לגבי התנועות הרבות של כספים במזומנים; כל זאת, חרף העובדה שבידי נציגי הסיעה היו, למיטב ידיע</w:t>
      </w:r>
      <w:r>
        <w:rPr>
          <w:rFonts w:hint="cs"/>
          <w:rtl/>
        </w:rPr>
        <w:t>תי, הסברים לשאלות של הביקורת. יתר על כן, גם לאחר שוועדת הכספים של הכנסת נענתה לבקשת הסיעה להאריך את המועד הקבוע בסעיף 10 לחוק המימון, בהסתמך על טענה שהארכה זו נחוצה לה לצורך מתן הסברים לביקורת - נמנעו נציגי הסיעה מלהמציאם.</w:t>
      </w:r>
    </w:p>
    <w:p w:rsidR="00D653E5">
      <w:pPr>
        <w:spacing w:line="240" w:lineRule="auto"/>
        <w:rPr>
          <w:rtl/>
        </w:rPr>
      </w:pPr>
    </w:p>
    <w:p w:rsidR="00D653E5">
      <w:pPr>
        <w:spacing w:line="240" w:lineRule="auto"/>
        <w:rPr>
          <w:rtl/>
        </w:rPr>
      </w:pPr>
    </w:p>
    <w:p w:rsidR="00D653E5">
      <w:pPr>
        <w:spacing w:line="240" w:lineRule="auto"/>
        <w:rPr>
          <w:rtl/>
        </w:rPr>
      </w:pPr>
    </w:p>
    <w:p w:rsidR="00D653E5">
      <w:pPr>
        <w:spacing w:line="240" w:lineRule="auto"/>
        <w:rPr>
          <w:rtl/>
        </w:rPr>
      </w:pPr>
    </w:p>
    <w:p w:rsidR="00D653E5">
      <w:pPr>
        <w:tabs>
          <w:tab w:val="center" w:pos="6276"/>
        </w:tabs>
        <w:spacing w:line="240" w:lineRule="auto"/>
        <w:ind w:left="5670"/>
        <w:rPr>
          <w:rtl/>
        </w:rPr>
      </w:pPr>
      <w:r>
        <w:rPr>
          <w:rFonts w:hint="cs"/>
          <w:rtl/>
        </w:rPr>
        <w:t>בכבוד רב,</w:t>
      </w:r>
    </w:p>
    <w:p w:rsidR="00D653E5">
      <w:pPr>
        <w:tabs>
          <w:tab w:val="center" w:pos="6276"/>
        </w:tabs>
        <w:spacing w:line="240" w:lineRule="auto"/>
        <w:ind w:left="5670"/>
        <w:rPr>
          <w:rtl/>
        </w:rPr>
      </w:pPr>
    </w:p>
    <w:p w:rsidR="00D653E5">
      <w:pPr>
        <w:tabs>
          <w:tab w:val="center" w:pos="6276"/>
        </w:tabs>
        <w:spacing w:line="240" w:lineRule="auto"/>
        <w:ind w:left="5670"/>
        <w:rPr>
          <w:rtl/>
        </w:rPr>
      </w:pPr>
      <w:r>
        <w:rPr>
          <w:rFonts w:hint="cs"/>
          <w:rtl/>
        </w:rPr>
        <w:t>מרים בן-פורת</w:t>
      </w:r>
    </w:p>
    <w:p w:rsidR="00D653E5">
      <w:pPr>
        <w:spacing w:line="240" w:lineRule="auto"/>
        <w:ind w:left="5103" w:firstLine="567"/>
        <w:rPr>
          <w:rtl/>
        </w:rPr>
      </w:pPr>
      <w:r>
        <w:rPr>
          <w:rFonts w:hint="cs"/>
          <w:rtl/>
        </w:rPr>
        <w:t xml:space="preserve">מבקר </w:t>
      </w:r>
      <w:r>
        <w:rPr>
          <w:rFonts w:hint="cs"/>
          <w:rtl/>
        </w:rPr>
        <w:t>המדינה</w:t>
      </w:r>
    </w:p>
    <w:p w:rsidR="00D653E5">
      <w:pPr>
        <w:spacing w:line="240" w:lineRule="auto"/>
        <w:rPr>
          <w:rtl/>
        </w:rPr>
      </w:pPr>
    </w:p>
    <w:p w:rsidR="00D653E5">
      <w:pPr>
        <w:pStyle w:val="Header"/>
        <w:tabs>
          <w:tab w:val="clear" w:pos="4153"/>
          <w:tab w:val="center" w:pos="6276"/>
          <w:tab w:val="clear" w:pos="8306"/>
        </w:tabs>
        <w:spacing w:line="240" w:lineRule="auto"/>
        <w:ind w:left="5670"/>
        <w:rPr>
          <w:rtl/>
        </w:rPr>
        <w:sectPr>
          <w:headerReference w:type="even" r:id="rId5"/>
          <w:headerReference w:type="default" r:id="rId6"/>
          <w:footerReference w:type="default" r:id="rId7"/>
          <w:headerReference w:type="first" r:id="rId8"/>
          <w:footerReference w:type="first" r:id="rId9"/>
          <w:pgSz w:w="11906" w:h="16838" w:code="9"/>
          <w:pgMar w:top="1701" w:right="1985" w:bottom="1588" w:left="1701" w:header="709" w:footer="709" w:gutter="0"/>
          <w:cols w:space="720"/>
          <w:titlePg/>
          <w:bidi/>
          <w:rtlGutter/>
          <w:docGrid w:linePitch="196"/>
        </w:sectPr>
      </w:pPr>
    </w:p>
    <w:p w:rsidR="00D653E5">
      <w:pPr>
        <w:spacing w:line="240" w:lineRule="auto"/>
        <w:jc w:val="center"/>
        <w:rPr>
          <w:rtl/>
        </w:rPr>
      </w:pPr>
      <w:r>
        <w:rPr>
          <w:noProof/>
          <w:lang w:eastAsia="en-US"/>
        </w:rPr>
        <w:drawing>
          <wp:inline distT="0" distB="0" distL="0" distR="0">
            <wp:extent cx="714375" cy="885825"/>
            <wp:effectExtent l="0" t="0" r="9525" b="9525"/>
            <wp:docPr id="19" name="תמונה 2" descr="sem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657344" name="Picture 2" descr="semel"/>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14375" cy="885825"/>
                    </a:xfrm>
                    <a:prstGeom prst="rect">
                      <a:avLst/>
                    </a:prstGeom>
                    <a:noFill/>
                    <a:ln>
                      <a:noFill/>
                    </a:ln>
                  </pic:spPr>
                </pic:pic>
              </a:graphicData>
            </a:graphic>
          </wp:inline>
        </w:drawing>
      </w:r>
    </w:p>
    <w:p w:rsidR="00D653E5">
      <w:pPr>
        <w:spacing w:line="240" w:lineRule="auto"/>
        <w:jc w:val="center"/>
        <w:rPr>
          <w:sz w:val="28"/>
          <w:szCs w:val="26"/>
          <w:rtl/>
        </w:rPr>
      </w:pPr>
      <w:r>
        <w:rPr>
          <w:rFonts w:hint="cs"/>
          <w:sz w:val="28"/>
          <w:szCs w:val="26"/>
          <w:rtl/>
        </w:rPr>
        <w:t>מבקר המדינה</w:t>
      </w:r>
    </w:p>
    <w:p w:rsidR="00D653E5">
      <w:pPr>
        <w:spacing w:line="240" w:lineRule="auto"/>
        <w:jc w:val="center"/>
        <w:rPr>
          <w:rtl/>
        </w:rPr>
      </w:pPr>
      <w:r>
        <w:rPr>
          <w:rFonts w:hint="cs"/>
          <w:rtl/>
        </w:rPr>
        <w:t>מרים בן-פורת</w:t>
      </w:r>
    </w:p>
    <w:p w:rsidR="00D653E5">
      <w:pPr>
        <w:spacing w:line="240" w:lineRule="auto"/>
        <w:jc w:val="center"/>
        <w:rPr>
          <w:rtl/>
        </w:rPr>
      </w:pPr>
    </w:p>
    <w:p w:rsidR="00D653E5">
      <w:pPr>
        <w:spacing w:line="240" w:lineRule="auto"/>
        <w:jc w:val="center"/>
        <w:rPr>
          <w:rtl/>
        </w:rPr>
      </w:pPr>
    </w:p>
    <w:p w:rsidR="00D653E5">
      <w:pPr>
        <w:spacing w:line="240" w:lineRule="auto"/>
        <w:jc w:val="center"/>
        <w:rPr>
          <w:rtl/>
        </w:rPr>
      </w:pPr>
      <w:r>
        <w:rPr>
          <w:rFonts w:hint="cs"/>
          <w:rtl/>
        </w:rPr>
        <w:t xml:space="preserve">חוק מימון מפלגות, </w:t>
      </w:r>
      <w:r>
        <w:rPr>
          <w:rFonts w:hint="cs"/>
          <w:rtl/>
        </w:rPr>
        <w:t>התשל"ג-1973</w:t>
      </w:r>
    </w:p>
    <w:p w:rsidR="00D653E5">
      <w:pPr>
        <w:spacing w:line="240" w:lineRule="auto"/>
        <w:jc w:val="center"/>
        <w:rPr>
          <w:rtl/>
        </w:rPr>
      </w:pPr>
    </w:p>
    <w:p w:rsidR="00D653E5">
      <w:pPr>
        <w:spacing w:line="240" w:lineRule="auto"/>
        <w:jc w:val="center"/>
        <w:rPr>
          <w:rtl/>
        </w:rPr>
      </w:pPr>
      <w:r>
        <w:rPr>
          <w:rFonts w:hint="cs"/>
          <w:rtl/>
        </w:rPr>
        <w:t>דין וחשבון</w:t>
      </w:r>
    </w:p>
    <w:p w:rsidR="00D653E5">
      <w:pPr>
        <w:spacing w:line="240" w:lineRule="auto"/>
        <w:jc w:val="center"/>
        <w:rPr>
          <w:rtl/>
        </w:rPr>
      </w:pPr>
      <w:r>
        <w:rPr>
          <w:rFonts w:hint="cs"/>
          <w:rtl/>
        </w:rPr>
        <w:t>מוגש ליושב ראש הכנסת</w:t>
      </w:r>
    </w:p>
    <w:p w:rsidR="00D653E5">
      <w:pPr>
        <w:spacing w:line="240" w:lineRule="auto"/>
        <w:jc w:val="center"/>
        <w:rPr>
          <w:rtl/>
        </w:rPr>
      </w:pPr>
    </w:p>
    <w:p w:rsidR="00D653E5">
      <w:pPr>
        <w:spacing w:line="240" w:lineRule="auto"/>
        <w:jc w:val="center"/>
        <w:rPr>
          <w:rtl/>
        </w:rPr>
      </w:pPr>
      <w:r>
        <w:rPr>
          <w:rFonts w:hint="cs"/>
          <w:rtl/>
        </w:rPr>
        <w:t>על תוצאות ביקורת החשבונות לתקופה 1.12.1988 עד 31.3.1990</w:t>
      </w:r>
    </w:p>
    <w:p w:rsidR="00D653E5">
      <w:pPr>
        <w:spacing w:line="240" w:lineRule="auto"/>
        <w:jc w:val="center"/>
        <w:rPr>
          <w:rtl/>
        </w:rPr>
      </w:pPr>
    </w:p>
    <w:p w:rsidR="00D653E5">
      <w:pPr>
        <w:spacing w:line="240" w:lineRule="auto"/>
        <w:jc w:val="center"/>
        <w:rPr>
          <w:rtl/>
        </w:rPr>
      </w:pPr>
      <w:r>
        <w:rPr>
          <w:rFonts w:hint="cs"/>
          <w:rtl/>
        </w:rPr>
        <w:t>של הסיעה</w:t>
      </w:r>
    </w:p>
    <w:p w:rsidR="00D653E5">
      <w:pPr>
        <w:spacing w:line="240" w:lineRule="auto"/>
        <w:jc w:val="center"/>
        <w:rPr>
          <w:rtl/>
        </w:rPr>
      </w:pPr>
    </w:p>
    <w:p w:rsidR="00D653E5">
      <w:pPr>
        <w:pStyle w:val="41"/>
        <w:spacing w:line="240" w:lineRule="auto"/>
        <w:jc w:val="center"/>
        <w:rPr>
          <w:rtl/>
        </w:rPr>
      </w:pPr>
      <w:r>
        <w:rPr>
          <w:rFonts w:hint="cs"/>
          <w:rtl/>
        </w:rPr>
        <w:t>התאחדות הספרדים שומרי תורה - ש"ס</w:t>
      </w:r>
    </w:p>
    <w:p w:rsidR="00D653E5">
      <w:pPr>
        <w:spacing w:line="240" w:lineRule="auto"/>
        <w:rPr>
          <w:rtl/>
        </w:rPr>
      </w:pPr>
    </w:p>
    <w:p w:rsidR="00D653E5">
      <w:pPr>
        <w:spacing w:line="240" w:lineRule="auto"/>
        <w:ind w:left="567" w:hanging="567"/>
        <w:rPr>
          <w:rtl/>
        </w:rPr>
      </w:pPr>
      <w:r>
        <w:rPr>
          <w:rFonts w:hint="cs"/>
          <w:rtl/>
        </w:rPr>
        <w:t>1.</w:t>
      </w:r>
      <w:r>
        <w:rPr>
          <w:rFonts w:hint="cs"/>
          <w:rtl/>
        </w:rPr>
        <w:tab/>
        <w:t xml:space="preserve">משרד מבקר המדינה בדק - על פי חוק מימון מפלגות, התשל"ג-1973 (להלן - חוק המימון) - את חשבונות הסיעה התאחדות </w:t>
      </w:r>
      <w:r>
        <w:rPr>
          <w:rFonts w:hint="cs"/>
          <w:rtl/>
        </w:rPr>
        <w:t>הספרדים שומרי תורה - ש"ס (להלן - הסיעה) לתקופה 1.12.1988-31.3.1990, לפי שיטות ביקורת מקובלות.</w:t>
      </w:r>
    </w:p>
    <w:p w:rsidR="00D653E5">
      <w:pPr>
        <w:spacing w:line="240" w:lineRule="auto"/>
        <w:rPr>
          <w:rtl/>
        </w:rPr>
      </w:pPr>
    </w:p>
    <w:p w:rsidR="00D653E5">
      <w:pPr>
        <w:spacing w:line="240" w:lineRule="auto"/>
        <w:ind w:left="567" w:hanging="567"/>
        <w:rPr>
          <w:rtl/>
        </w:rPr>
      </w:pPr>
      <w:r>
        <w:rPr>
          <w:rFonts w:hint="cs"/>
          <w:rtl/>
        </w:rPr>
        <w:t>2.</w:t>
      </w:r>
      <w:r>
        <w:rPr>
          <w:rFonts w:hint="cs"/>
          <w:rtl/>
        </w:rPr>
        <w:tab/>
        <w:t>על סמך הבדיקה האמורה, השלמות, תיקונים והסברים של הסיעה במהלך הביקורת וכן הצהרות נציגי הסיעה, שנתקבלו כראייה לפי סעיף 9(ג) לחוק המימון,</w:t>
      </w:r>
    </w:p>
    <w:p w:rsidR="00D653E5">
      <w:pPr>
        <w:spacing w:line="240" w:lineRule="auto"/>
        <w:rPr>
          <w:rtl/>
        </w:rPr>
      </w:pPr>
    </w:p>
    <w:p w:rsidR="00D653E5">
      <w:pPr>
        <w:spacing w:line="240" w:lineRule="auto"/>
        <w:ind w:left="567"/>
        <w:rPr>
          <w:rtl/>
        </w:rPr>
      </w:pPr>
      <w:r>
        <w:rPr>
          <w:rFonts w:hint="cs"/>
          <w:rtl/>
        </w:rPr>
        <w:t>אני קובעת בזה, בהתאם ל</w:t>
      </w:r>
      <w:r>
        <w:rPr>
          <w:rFonts w:hint="cs"/>
          <w:rtl/>
        </w:rPr>
        <w:t>סעיף 10(ד) לחוק המימון, כי -</w:t>
      </w:r>
    </w:p>
    <w:p w:rsidR="00D653E5">
      <w:pPr>
        <w:spacing w:line="240" w:lineRule="auto"/>
        <w:rPr>
          <w:rtl/>
        </w:rPr>
      </w:pPr>
    </w:p>
    <w:p w:rsidR="00D653E5">
      <w:pPr>
        <w:spacing w:line="240" w:lineRule="auto"/>
        <w:ind w:left="567"/>
        <w:rPr>
          <w:rtl/>
        </w:rPr>
      </w:pPr>
      <w:r>
        <w:rPr>
          <w:rFonts w:hint="cs"/>
          <w:rtl/>
        </w:rPr>
        <w:t>(א)</w:t>
      </w:r>
      <w:r>
        <w:rPr>
          <w:rFonts w:hint="cs"/>
          <w:rtl/>
        </w:rPr>
        <w:tab/>
        <w:t>הסיעה לא ניהלה את החשבונות שלה בהתאם להנחיות מבקר המדינה;</w:t>
      </w:r>
    </w:p>
    <w:p w:rsidR="00D653E5">
      <w:pPr>
        <w:spacing w:line="240" w:lineRule="auto"/>
        <w:rPr>
          <w:rtl/>
        </w:rPr>
      </w:pPr>
    </w:p>
    <w:p w:rsidR="00D653E5">
      <w:pPr>
        <w:spacing w:line="240" w:lineRule="auto"/>
        <w:ind w:left="1134" w:hanging="567"/>
        <w:rPr>
          <w:rtl/>
        </w:rPr>
      </w:pPr>
      <w:r>
        <w:rPr>
          <w:rFonts w:hint="cs"/>
          <w:rtl/>
        </w:rPr>
        <w:t>(ב)</w:t>
      </w:r>
      <w:r>
        <w:rPr>
          <w:rFonts w:hint="cs"/>
          <w:rtl/>
        </w:rPr>
        <w:tab/>
        <w:t>בחשבונות הסיעה הופקדו ונמשכו מהם סכומים בהיקף כולל של מאות אלפי ש"ח, בלא שהיה בסיעה תיעוד על מקורותיהם של התקבולים ועל יעודם של הכספים שנמשכו מהחשבונות.</w:t>
      </w:r>
    </w:p>
    <w:p w:rsidR="00D653E5">
      <w:pPr>
        <w:spacing w:line="240" w:lineRule="auto"/>
        <w:rPr>
          <w:rtl/>
        </w:rPr>
      </w:pPr>
    </w:p>
    <w:p w:rsidR="00D653E5">
      <w:pPr>
        <w:spacing w:line="240" w:lineRule="auto"/>
        <w:ind w:left="567"/>
        <w:rPr>
          <w:rtl/>
        </w:rPr>
      </w:pPr>
      <w:r>
        <w:rPr>
          <w:rFonts w:hint="cs"/>
          <w:rtl/>
        </w:rPr>
        <w:t>לפיכך</w:t>
      </w:r>
      <w:r>
        <w:rPr>
          <w:rFonts w:hint="cs"/>
          <w:rtl/>
        </w:rPr>
        <w:t xml:space="preserve"> לא ניתן לקבוע את היקף ההוצאות של הסיעה בתקופה 1.12.1988-31.3.1990, ואם הן היו בגבולות האמורים בסעיף 7(ב) לחוק המימון;</w:t>
      </w:r>
    </w:p>
    <w:p w:rsidR="00D653E5">
      <w:pPr>
        <w:spacing w:line="240" w:lineRule="auto"/>
        <w:rPr>
          <w:rtl/>
        </w:rPr>
      </w:pPr>
    </w:p>
    <w:p w:rsidR="00D653E5">
      <w:pPr>
        <w:spacing w:line="240" w:lineRule="auto"/>
        <w:ind w:left="567"/>
        <w:rPr>
          <w:rtl/>
        </w:rPr>
      </w:pPr>
      <w:r>
        <w:rPr>
          <w:rFonts w:hint="cs"/>
          <w:rtl/>
        </w:rPr>
        <w:t>לפיכך גם לא יכולתי לקבוע, במידת הוודאות הנדרשת, כי הסיעה עמדה באיסור לקבל תרומה מתאגיד, הקבוע בסעיף 8 לחוק המימון.</w:t>
      </w:r>
    </w:p>
    <w:p w:rsidR="00D653E5">
      <w:pPr>
        <w:spacing w:line="240" w:lineRule="auto"/>
        <w:rPr>
          <w:rtl/>
        </w:rPr>
      </w:pPr>
    </w:p>
    <w:p w:rsidR="00D653E5">
      <w:pPr>
        <w:spacing w:line="240" w:lineRule="auto"/>
        <w:ind w:left="567" w:hanging="567"/>
        <w:rPr>
          <w:rtl/>
        </w:rPr>
      </w:pPr>
      <w:r>
        <w:rPr>
          <w:rFonts w:hint="cs"/>
          <w:rtl/>
        </w:rPr>
        <w:t>3.</w:t>
      </w:r>
      <w:r>
        <w:rPr>
          <w:rFonts w:hint="cs"/>
          <w:rtl/>
        </w:rPr>
        <w:tab/>
        <w:t>נוכח האמור בפיסקא</w:t>
      </w:r>
      <w:r>
        <w:rPr>
          <w:rFonts w:hint="cs"/>
          <w:rtl/>
        </w:rPr>
        <w:t xml:space="preserve"> 2 לעיל, הדין וחשבון הניתן בזה לגבי תוצאות ביקורת החשבונות של הסיעה בתקופה האמורה - אינו חיובי.</w:t>
      </w:r>
    </w:p>
    <w:p w:rsidR="00D653E5">
      <w:pPr>
        <w:spacing w:line="240" w:lineRule="auto"/>
        <w:rPr>
          <w:rtl/>
        </w:rPr>
      </w:pPr>
    </w:p>
    <w:p w:rsidR="00D653E5">
      <w:pPr>
        <w:spacing w:line="240" w:lineRule="auto"/>
        <w:ind w:left="567"/>
        <w:rPr>
          <w:rtl/>
        </w:rPr>
      </w:pPr>
      <w:r>
        <w:rPr>
          <w:rFonts w:hint="cs"/>
          <w:rtl/>
        </w:rPr>
        <w:t>התוצאה לפי סעיף 10(ה)(1) לחוק המימון היא - שלילה של שלושה תשלומים חודשיים למימון ההוצאות השוטפות של הסיעה, שערכם כיום הוא 399,420 ש"ח.</w:t>
      </w:r>
    </w:p>
    <w:p w:rsidR="00D653E5">
      <w:pPr>
        <w:spacing w:line="240" w:lineRule="auto"/>
        <w:rPr>
          <w:rtl/>
        </w:rPr>
      </w:pPr>
    </w:p>
    <w:p w:rsidR="00D653E5">
      <w:pPr>
        <w:spacing w:line="240" w:lineRule="auto"/>
        <w:rPr>
          <w:rtl/>
        </w:rPr>
      </w:pPr>
    </w:p>
    <w:p w:rsidR="00D653E5">
      <w:pPr>
        <w:spacing w:line="240" w:lineRule="auto"/>
        <w:rPr>
          <w:rtl/>
        </w:rPr>
      </w:pPr>
    </w:p>
    <w:p w:rsidR="00D653E5">
      <w:pPr>
        <w:tabs>
          <w:tab w:val="left" w:pos="5988"/>
        </w:tabs>
        <w:spacing w:line="240" w:lineRule="auto"/>
        <w:ind w:left="567" w:hanging="567"/>
        <w:rPr>
          <w:rtl/>
        </w:rPr>
      </w:pPr>
      <w:r>
        <w:rPr>
          <w:rFonts w:hint="cs"/>
          <w:rtl/>
        </w:rPr>
        <w:t>ירושלים, ט' בטבת התשנ</w:t>
      </w:r>
      <w:r>
        <w:rPr>
          <w:rFonts w:hint="cs"/>
          <w:rtl/>
        </w:rPr>
        <w:t>"א</w:t>
      </w:r>
      <w:r>
        <w:rPr>
          <w:rFonts w:hint="cs"/>
          <w:rtl/>
        </w:rPr>
        <w:tab/>
        <w:t>מרים בן-פורת</w:t>
      </w:r>
    </w:p>
    <w:p w:rsidR="00D653E5">
      <w:pPr>
        <w:tabs>
          <w:tab w:val="left" w:pos="876"/>
          <w:tab w:val="left" w:pos="5988"/>
        </w:tabs>
        <w:spacing w:line="240" w:lineRule="auto"/>
        <w:ind w:left="567" w:hanging="567"/>
        <w:rPr>
          <w:rtl/>
        </w:rPr>
      </w:pPr>
      <w:r>
        <w:rPr>
          <w:rFonts w:hint="cs"/>
          <w:rtl/>
        </w:rPr>
        <w:tab/>
      </w:r>
      <w:r>
        <w:rPr>
          <w:rFonts w:hint="cs"/>
          <w:rtl/>
        </w:rPr>
        <w:tab/>
        <w:t>26 בדצמבר 1990</w:t>
      </w:r>
      <w:r>
        <w:rPr>
          <w:rFonts w:hint="cs"/>
          <w:rtl/>
        </w:rPr>
        <w:tab/>
        <w:t>מבקר המדינה</w:t>
      </w:r>
    </w:p>
    <w:p w:rsidR="00D653E5">
      <w:pPr>
        <w:tabs>
          <w:tab w:val="left" w:pos="876"/>
          <w:tab w:val="left" w:pos="5988"/>
        </w:tabs>
        <w:spacing w:line="240" w:lineRule="auto"/>
        <w:ind w:left="567" w:hanging="567"/>
        <w:rPr>
          <w:rtl/>
        </w:rPr>
        <w:sectPr>
          <w:footerReference w:type="default" r:id="rId10"/>
          <w:headerReference w:type="first" r:id="rId11"/>
          <w:footerReference w:type="first" r:id="rId12"/>
          <w:pgSz w:w="11906" w:h="16838" w:code="9"/>
          <w:pgMar w:top="1701" w:right="1985" w:bottom="1588" w:left="1701" w:header="709" w:footer="709" w:gutter="0"/>
          <w:cols w:space="720"/>
          <w:titlePg/>
          <w:bidi/>
          <w:rtlGutter/>
          <w:docGrid w:linePitch="196"/>
        </w:sectPr>
      </w:pPr>
    </w:p>
    <w:p w:rsidR="00D653E5">
      <w:pPr>
        <w:spacing w:line="240" w:lineRule="auto"/>
        <w:jc w:val="center"/>
        <w:rPr>
          <w:rtl/>
        </w:rPr>
      </w:pPr>
    </w:p>
    <w:p w:rsidR="00D653E5">
      <w:pPr>
        <w:spacing w:line="240" w:lineRule="auto"/>
        <w:jc w:val="center"/>
        <w:rPr>
          <w:rtl/>
        </w:rPr>
      </w:pPr>
      <w:r>
        <w:rPr>
          <w:noProof/>
          <w:lang w:eastAsia="en-US"/>
        </w:rPr>
        <w:drawing>
          <wp:inline distT="0" distB="0" distL="0" distR="0">
            <wp:extent cx="714375" cy="885825"/>
            <wp:effectExtent l="0" t="0" r="9525" b="9525"/>
            <wp:docPr id="18" name="תמונה 3" descr="sem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057415" name="Picture 3" descr="semel"/>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14375" cy="885825"/>
                    </a:xfrm>
                    <a:prstGeom prst="rect">
                      <a:avLst/>
                    </a:prstGeom>
                    <a:noFill/>
                    <a:ln>
                      <a:noFill/>
                    </a:ln>
                  </pic:spPr>
                </pic:pic>
              </a:graphicData>
            </a:graphic>
          </wp:inline>
        </w:drawing>
      </w:r>
    </w:p>
    <w:p w:rsidR="00D653E5">
      <w:pPr>
        <w:spacing w:line="240" w:lineRule="auto"/>
        <w:jc w:val="center"/>
        <w:rPr>
          <w:sz w:val="28"/>
          <w:szCs w:val="26"/>
          <w:rtl/>
        </w:rPr>
      </w:pPr>
      <w:r>
        <w:rPr>
          <w:rFonts w:hint="cs"/>
          <w:sz w:val="28"/>
          <w:szCs w:val="26"/>
          <w:rtl/>
        </w:rPr>
        <w:t>מבקר המדינה</w:t>
      </w:r>
    </w:p>
    <w:p w:rsidR="00D653E5">
      <w:pPr>
        <w:spacing w:line="240" w:lineRule="auto"/>
        <w:jc w:val="center"/>
        <w:rPr>
          <w:rtl/>
        </w:rPr>
      </w:pPr>
      <w:r>
        <w:rPr>
          <w:rFonts w:hint="cs"/>
          <w:rtl/>
        </w:rPr>
        <w:t>מרים בן-פורת</w:t>
      </w:r>
    </w:p>
    <w:p w:rsidR="00D653E5">
      <w:pPr>
        <w:spacing w:line="240" w:lineRule="auto"/>
        <w:jc w:val="center"/>
        <w:rPr>
          <w:rtl/>
        </w:rPr>
      </w:pPr>
    </w:p>
    <w:p w:rsidR="00D653E5">
      <w:pPr>
        <w:spacing w:line="240" w:lineRule="auto"/>
        <w:jc w:val="center"/>
        <w:rPr>
          <w:rtl/>
        </w:rPr>
      </w:pPr>
    </w:p>
    <w:p w:rsidR="00D653E5">
      <w:pPr>
        <w:spacing w:line="240" w:lineRule="auto"/>
        <w:jc w:val="center"/>
        <w:rPr>
          <w:rtl/>
        </w:rPr>
      </w:pPr>
      <w:r>
        <w:rPr>
          <w:rFonts w:hint="cs"/>
          <w:rtl/>
        </w:rPr>
        <w:t>חוק מימון מפלגות, התשל"ג-1973</w:t>
      </w:r>
    </w:p>
    <w:p w:rsidR="00D653E5">
      <w:pPr>
        <w:spacing w:line="240" w:lineRule="auto"/>
        <w:jc w:val="center"/>
        <w:rPr>
          <w:rtl/>
        </w:rPr>
      </w:pPr>
    </w:p>
    <w:p w:rsidR="00D653E5">
      <w:pPr>
        <w:spacing w:line="240" w:lineRule="auto"/>
        <w:jc w:val="center"/>
        <w:rPr>
          <w:rtl/>
        </w:rPr>
      </w:pPr>
      <w:r>
        <w:rPr>
          <w:rFonts w:hint="cs"/>
          <w:rtl/>
        </w:rPr>
        <w:t>דין וחשבון</w:t>
      </w:r>
    </w:p>
    <w:p w:rsidR="00D653E5">
      <w:pPr>
        <w:spacing w:line="240" w:lineRule="auto"/>
        <w:jc w:val="center"/>
        <w:rPr>
          <w:rtl/>
        </w:rPr>
      </w:pPr>
      <w:r>
        <w:rPr>
          <w:rFonts w:hint="cs"/>
          <w:rtl/>
        </w:rPr>
        <w:t>מוגש ליושב ראש הכנסת</w:t>
      </w:r>
    </w:p>
    <w:p w:rsidR="00D653E5">
      <w:pPr>
        <w:spacing w:line="240" w:lineRule="auto"/>
        <w:jc w:val="center"/>
        <w:rPr>
          <w:rtl/>
        </w:rPr>
      </w:pPr>
    </w:p>
    <w:p w:rsidR="00D653E5">
      <w:pPr>
        <w:spacing w:line="240" w:lineRule="auto"/>
        <w:jc w:val="center"/>
        <w:rPr>
          <w:rtl/>
        </w:rPr>
      </w:pPr>
      <w:r>
        <w:rPr>
          <w:rFonts w:hint="cs"/>
          <w:rtl/>
        </w:rPr>
        <w:t xml:space="preserve">על תוצאות ביקורת </w:t>
      </w:r>
      <w:r>
        <w:rPr>
          <w:rFonts w:hint="cs"/>
          <w:rtl/>
        </w:rPr>
        <w:t>החשבונות לתקופת הבחירות לכנסת השתים-עשרה</w:t>
      </w:r>
    </w:p>
    <w:p w:rsidR="00D653E5">
      <w:pPr>
        <w:spacing w:line="240" w:lineRule="auto"/>
        <w:jc w:val="center"/>
        <w:rPr>
          <w:rtl/>
        </w:rPr>
      </w:pPr>
      <w:r>
        <w:rPr>
          <w:rFonts w:hint="cs"/>
          <w:rtl/>
        </w:rPr>
        <w:t>של הסיעה</w:t>
      </w:r>
    </w:p>
    <w:p w:rsidR="00D653E5">
      <w:pPr>
        <w:pStyle w:val="41"/>
        <w:spacing w:line="240" w:lineRule="auto"/>
        <w:jc w:val="center"/>
        <w:rPr>
          <w:rtl/>
        </w:rPr>
      </w:pPr>
      <w:r>
        <w:rPr>
          <w:rFonts w:hint="cs"/>
          <w:rtl/>
        </w:rPr>
        <w:t>התאחדות הספרדים שומרי תורה - ש"ס</w:t>
      </w:r>
    </w:p>
    <w:p w:rsidR="00D653E5">
      <w:pPr>
        <w:spacing w:line="240" w:lineRule="auto"/>
        <w:rPr>
          <w:rtl/>
        </w:rPr>
      </w:pPr>
    </w:p>
    <w:p w:rsidR="00D653E5">
      <w:pPr>
        <w:spacing w:line="240" w:lineRule="auto"/>
        <w:ind w:left="567" w:hanging="567"/>
        <w:rPr>
          <w:rtl/>
        </w:rPr>
      </w:pPr>
      <w:r>
        <w:rPr>
          <w:rFonts w:hint="cs"/>
          <w:rtl/>
        </w:rPr>
        <w:t>1.</w:t>
      </w:r>
      <w:r>
        <w:rPr>
          <w:rFonts w:hint="cs"/>
          <w:rtl/>
        </w:rPr>
        <w:tab/>
        <w:t>על-פי חוק מימון מפלגות, התשל"ג-1973 (להלן - חוק המימון), מסרתי לך ב-6.6.1989 דין וחשבון על תוצאות ביקורת חשבונות הסיעה התאחדות הספרדים שומרי תורה - ש"ס (להלן - הסיעה) לת</w:t>
      </w:r>
      <w:r>
        <w:rPr>
          <w:rFonts w:hint="cs"/>
          <w:rtl/>
        </w:rPr>
        <w:t>קופת הבחירות לכנסת השתים-עשרה. על סמך השיקולים שפורטו במכתב הלוואי שלי אליך, מהיום, מתבטל הדין וחשבון האמור ותחתיו ניתן בזה דין וחשבון חדש.</w:t>
      </w:r>
    </w:p>
    <w:p w:rsidR="00D653E5">
      <w:pPr>
        <w:spacing w:line="240" w:lineRule="auto"/>
        <w:rPr>
          <w:rtl/>
        </w:rPr>
      </w:pPr>
    </w:p>
    <w:p w:rsidR="00D653E5">
      <w:pPr>
        <w:spacing w:line="240" w:lineRule="auto"/>
        <w:ind w:left="567" w:hanging="567"/>
        <w:rPr>
          <w:rtl/>
        </w:rPr>
      </w:pPr>
      <w:r>
        <w:rPr>
          <w:rFonts w:hint="cs"/>
          <w:rtl/>
        </w:rPr>
        <w:t>2.</w:t>
      </w:r>
      <w:r>
        <w:rPr>
          <w:rFonts w:hint="cs"/>
          <w:rtl/>
        </w:rPr>
        <w:tab/>
        <w:t>משרד מבקר המדינה בדק את חשבונות הסיעה לתקופת הבחירות לכנסת השתים-עשרה לפי שיטות ביקורת מקובלות. על סמך בדיקה, הש</w:t>
      </w:r>
      <w:r>
        <w:rPr>
          <w:rFonts w:hint="cs"/>
          <w:rtl/>
        </w:rPr>
        <w:t>למות, תיקונים והסברים של הסיעה במהלך הביקורת וכן הצהרות נציגי הסיעה, שנתקבלו כראייה לפי סעיף 9(ג) לחוק המימון, ועל סמך בדיקת השלמות למערכת החשבונות שנתקבלו, לבקשת משרדי, באוגוסט שנה זו,</w:t>
      </w:r>
    </w:p>
    <w:p w:rsidR="00D653E5">
      <w:pPr>
        <w:spacing w:line="240" w:lineRule="auto"/>
        <w:ind w:left="567" w:hanging="567"/>
        <w:rPr>
          <w:rtl/>
        </w:rPr>
      </w:pPr>
    </w:p>
    <w:p w:rsidR="00D653E5">
      <w:pPr>
        <w:spacing w:line="240" w:lineRule="auto"/>
        <w:ind w:left="1134" w:hanging="567"/>
        <w:rPr>
          <w:rtl/>
        </w:rPr>
      </w:pPr>
      <w:r>
        <w:rPr>
          <w:rFonts w:hint="cs"/>
          <w:rtl/>
        </w:rPr>
        <w:t xml:space="preserve">אני קובעת בזה בהתאם לסעיף 10(ב) לחוק המימון, כי - </w:t>
      </w:r>
    </w:p>
    <w:p w:rsidR="00D653E5">
      <w:pPr>
        <w:spacing w:line="240" w:lineRule="auto"/>
        <w:ind w:left="567" w:hanging="567"/>
        <w:rPr>
          <w:rtl/>
        </w:rPr>
      </w:pPr>
    </w:p>
    <w:p w:rsidR="00D653E5">
      <w:pPr>
        <w:spacing w:line="240" w:lineRule="auto"/>
        <w:ind w:left="1134" w:hanging="567"/>
        <w:rPr>
          <w:rtl/>
        </w:rPr>
      </w:pPr>
      <w:r>
        <w:rPr>
          <w:rFonts w:hint="cs"/>
          <w:rtl/>
        </w:rPr>
        <w:t>(א)</w:t>
      </w:r>
      <w:r>
        <w:rPr>
          <w:rFonts w:hint="cs"/>
          <w:rtl/>
        </w:rPr>
        <w:tab/>
        <w:t>הסיעה לא ניהל</w:t>
      </w:r>
      <w:r>
        <w:rPr>
          <w:rFonts w:hint="cs"/>
          <w:rtl/>
        </w:rPr>
        <w:t>ה את מערכת החשבונות שלה בהתאם להנחיות מבקר המדינה;</w:t>
      </w:r>
    </w:p>
    <w:p w:rsidR="00D653E5">
      <w:pPr>
        <w:spacing w:line="240" w:lineRule="auto"/>
        <w:ind w:left="567" w:hanging="567"/>
        <w:rPr>
          <w:rtl/>
        </w:rPr>
      </w:pPr>
    </w:p>
    <w:p w:rsidR="00D653E5">
      <w:pPr>
        <w:spacing w:line="240" w:lineRule="auto"/>
        <w:ind w:left="567"/>
        <w:rPr>
          <w:rtl/>
        </w:rPr>
      </w:pPr>
      <w:r>
        <w:rPr>
          <w:rFonts w:hint="cs"/>
          <w:rtl/>
        </w:rPr>
        <w:t xml:space="preserve">בחשבונות שהגישה הסיעה לתקופה 1.12.1988 - 31.3.1990 היא דיווחה, בין היתר, גם על הוצאות שהיא סיווגה אותן כמתייחסות לתקופת הבחירות לכנסת השתים-עשרה. לדרישת הביקורת המציאה הסיעה השלמות הנוגעות לרישומים אלה, </w:t>
      </w:r>
      <w:r>
        <w:rPr>
          <w:rFonts w:hint="cs"/>
          <w:rtl/>
        </w:rPr>
        <w:t>שהיא רשמה אותן ב"חשבון מעבר". בחשבון זה נרשם כיתרת חובה סכום של 920,000 ש"ח. לא נמצא תיעוד כלשהו שיבהיר את מהות הרישומים ואת טיבם של החובות. ביתרה האמורה כלולים סכומים המסתכמים ב-770,000 ש"ח ששולמו בנובמבר 1989 לחשב הסיעה. לביקורת לא נמסרו אסמכתאות והסברים</w:t>
      </w:r>
      <w:r>
        <w:rPr>
          <w:rFonts w:hint="cs"/>
          <w:rtl/>
        </w:rPr>
        <w:t xml:space="preserve"> שיבהירו את יעודם של סכומים אלה.</w:t>
      </w:r>
    </w:p>
    <w:p w:rsidR="00D653E5">
      <w:pPr>
        <w:spacing w:line="240" w:lineRule="auto"/>
        <w:ind w:left="567" w:hanging="567"/>
        <w:rPr>
          <w:rtl/>
        </w:rPr>
      </w:pPr>
    </w:p>
    <w:p w:rsidR="00D653E5">
      <w:pPr>
        <w:spacing w:line="240" w:lineRule="auto"/>
        <w:ind w:left="567"/>
        <w:rPr>
          <w:rtl/>
        </w:rPr>
      </w:pPr>
      <w:r>
        <w:rPr>
          <w:rFonts w:hint="cs"/>
          <w:rtl/>
        </w:rPr>
        <w:t>(ב)</w:t>
      </w:r>
      <w:r>
        <w:rPr>
          <w:rFonts w:hint="cs"/>
          <w:rtl/>
        </w:rPr>
        <w:tab/>
        <w:t>ההוצאות של הסיעה בתקופת הבחירות לכנסת השתים-עשרה היו בגבולות האמורים בסעיף 7(א) לחוק המימון;</w:t>
      </w:r>
    </w:p>
    <w:p w:rsidR="00D653E5">
      <w:pPr>
        <w:spacing w:line="240" w:lineRule="auto"/>
        <w:ind w:left="567" w:hanging="567"/>
        <w:rPr>
          <w:rtl/>
        </w:rPr>
      </w:pPr>
    </w:p>
    <w:p w:rsidR="00D653E5">
      <w:pPr>
        <w:spacing w:line="240" w:lineRule="auto"/>
        <w:ind w:left="567"/>
        <w:rPr>
          <w:rtl/>
        </w:rPr>
      </w:pPr>
      <w:r>
        <w:rPr>
          <w:rFonts w:hint="cs"/>
          <w:rtl/>
        </w:rPr>
        <w:t>(ג)</w:t>
      </w:r>
      <w:r>
        <w:rPr>
          <w:rFonts w:hint="cs"/>
          <w:rtl/>
        </w:rPr>
        <w:tab/>
        <w:t>בחשבונותיה של הסיעה לתקופת הבחירות נרשמו, בין היתר, שני תקבולים בסכום כולל של 208,000 ש"ח, שנתקבלו מהעמותה "המרכז לחינוך</w:t>
      </w:r>
      <w:r>
        <w:rPr>
          <w:rFonts w:hint="cs"/>
          <w:rtl/>
        </w:rPr>
        <w:t xml:space="preserve"> תורני למורשת יהדות המזרח", כמפורט להלן:</w:t>
      </w:r>
    </w:p>
    <w:p w:rsidR="00D653E5">
      <w:pPr>
        <w:spacing w:line="240" w:lineRule="auto"/>
        <w:ind w:left="567" w:hanging="567"/>
        <w:rPr>
          <w:rtl/>
        </w:rPr>
      </w:pPr>
    </w:p>
    <w:p w:rsidR="00D653E5">
      <w:pPr>
        <w:spacing w:line="240" w:lineRule="auto"/>
        <w:ind w:left="1134" w:hanging="567"/>
        <w:rPr>
          <w:rtl/>
        </w:rPr>
      </w:pPr>
      <w:r>
        <w:rPr>
          <w:rFonts w:hint="cs"/>
          <w:rtl/>
        </w:rPr>
        <w:t>90,000 ש"ח ביום 5.10.1988</w:t>
      </w:r>
    </w:p>
    <w:p w:rsidR="00D653E5">
      <w:pPr>
        <w:spacing w:line="240" w:lineRule="auto"/>
        <w:ind w:left="1134" w:hanging="567"/>
        <w:rPr>
          <w:rtl/>
        </w:rPr>
      </w:pPr>
      <w:r>
        <w:rPr>
          <w:rFonts w:hint="cs"/>
          <w:rtl/>
        </w:rPr>
        <w:t>118,000 ש"ח ביום 10.11.1988</w:t>
      </w:r>
    </w:p>
    <w:p w:rsidR="00D653E5">
      <w:pPr>
        <w:spacing w:line="240" w:lineRule="auto"/>
        <w:ind w:left="567"/>
        <w:rPr>
          <w:rtl/>
        </w:rPr>
      </w:pPr>
      <w:r>
        <w:rPr>
          <w:rtl/>
        </w:rPr>
        <w:br w:type="page"/>
      </w:r>
      <w:r>
        <w:rPr>
          <w:rFonts w:hint="cs"/>
          <w:rtl/>
        </w:rPr>
        <w:t>מבירורים שנערכו על-ידי הביקורת באשר למהות התקבולים האמורים עולה, שמדובר ב"הלוואות" שכונו על-ידי העמותה בשם "גמילות חסדים". התקבולים שנתקבלו כאמור מהעמותה הוחזרו בערכים נומינאליים, חלקם בדצמבר 1988 וחלקם במארס 1989. רק ב-16.5.1989 שילמה הסיעה ריבית והפרשי ה</w:t>
      </w:r>
      <w:r>
        <w:rPr>
          <w:rFonts w:hint="cs"/>
          <w:rtl/>
        </w:rPr>
        <w:t xml:space="preserve">צמדה על ה"הלוואות". אוסיף, כי לא נמצא כל תיעוד, כדרישת הנחיות מבקר המדינה, על קביעת התנאים לקבלת ה"הלוואות", מועד החזרתן ושיעור הריבית וההצמדה. </w:t>
      </w:r>
    </w:p>
    <w:p w:rsidR="00D653E5">
      <w:pPr>
        <w:spacing w:line="240" w:lineRule="auto"/>
        <w:ind w:left="567" w:hanging="567"/>
        <w:rPr>
          <w:rtl/>
        </w:rPr>
      </w:pPr>
    </w:p>
    <w:p w:rsidR="00D653E5">
      <w:pPr>
        <w:spacing w:line="240" w:lineRule="auto"/>
        <w:ind w:left="567"/>
        <w:rPr>
          <w:rtl/>
        </w:rPr>
      </w:pPr>
      <w:r>
        <w:rPr>
          <w:rFonts w:hint="cs"/>
          <w:rtl/>
        </w:rPr>
        <w:t xml:space="preserve">בנסיבות אלה לא יכולתי לקבוע, במידת הוודאות הנדרשת, כי הסיעה עמדה באיסור לקבל תרומה מתאגיד, הקבוע בסעיף 8 לחוק </w:t>
      </w:r>
      <w:r>
        <w:rPr>
          <w:rFonts w:hint="cs"/>
          <w:rtl/>
        </w:rPr>
        <w:t>המימון.</w:t>
      </w:r>
    </w:p>
    <w:p w:rsidR="00D653E5">
      <w:pPr>
        <w:spacing w:line="240" w:lineRule="auto"/>
        <w:ind w:left="567" w:hanging="567"/>
        <w:rPr>
          <w:rtl/>
        </w:rPr>
      </w:pPr>
    </w:p>
    <w:p w:rsidR="00D653E5">
      <w:pPr>
        <w:spacing w:line="240" w:lineRule="auto"/>
        <w:ind w:left="567"/>
        <w:rPr>
          <w:rtl/>
        </w:rPr>
      </w:pPr>
      <w:r>
        <w:rPr>
          <w:rFonts w:hint="cs"/>
          <w:rtl/>
        </w:rPr>
        <w:t>יש להדגיש, שהעמותה שהעבירה את הכספים, כאמור, הינה עמותה הנהנית מתמיכה מתקציב המדינה.</w:t>
      </w:r>
    </w:p>
    <w:p w:rsidR="00D653E5">
      <w:pPr>
        <w:spacing w:line="240" w:lineRule="auto"/>
        <w:ind w:left="567" w:hanging="567"/>
        <w:rPr>
          <w:rtl/>
        </w:rPr>
      </w:pPr>
    </w:p>
    <w:p w:rsidR="00D653E5">
      <w:pPr>
        <w:spacing w:line="240" w:lineRule="auto"/>
        <w:ind w:left="567" w:hanging="567"/>
        <w:rPr>
          <w:rtl/>
        </w:rPr>
      </w:pPr>
      <w:r>
        <w:rPr>
          <w:rFonts w:hint="cs"/>
          <w:rtl/>
        </w:rPr>
        <w:t>3.</w:t>
      </w:r>
      <w:r>
        <w:rPr>
          <w:rFonts w:hint="cs"/>
          <w:rtl/>
        </w:rPr>
        <w:tab/>
        <w:t>נוכח האמור בפיסקאות 2(א) ו-2(ג) לעיל, הדין וחשבון הניתן בזה לגבי תוצאות ביקורת חשבונותיה של הסיעה לתקופת הבחירות אינו חיובי. אין לי יסוד להשתמש בסמכותי לפי סע</w:t>
      </w:r>
      <w:r>
        <w:rPr>
          <w:rFonts w:hint="cs"/>
          <w:rtl/>
        </w:rPr>
        <w:t>יף 10(ה)(3) לחוק המימון ולהמליץ על סנקציה נמוכה מזו הנקובה בסעיף 10(ה)(1). התוצאה היא, שעל הסיעה להחזיר לאוצר המדינה - בנוסף על שלילת השלמת מימון הוצאות הבחירות בשיעור של 12% שהושתה עליה - 3% מהכספים שהגיעו לה למימון הוצאות הבחירות לכנסת השתים-עשרה (ערכו ש</w:t>
      </w:r>
      <w:r>
        <w:rPr>
          <w:rFonts w:hint="cs"/>
          <w:rtl/>
        </w:rPr>
        <w:t>ל שיעור זה כיום הוא 79,884 ש"ח).</w:t>
      </w:r>
    </w:p>
    <w:p w:rsidR="00D653E5">
      <w:pPr>
        <w:spacing w:line="240" w:lineRule="auto"/>
        <w:ind w:left="567" w:hanging="567"/>
        <w:rPr>
          <w:rtl/>
        </w:rPr>
      </w:pPr>
    </w:p>
    <w:p w:rsidR="00D653E5">
      <w:pPr>
        <w:spacing w:line="240" w:lineRule="auto"/>
        <w:ind w:left="567"/>
        <w:rPr>
          <w:rtl/>
        </w:rPr>
      </w:pPr>
      <w:r>
        <w:rPr>
          <w:rFonts w:hint="cs"/>
          <w:rtl/>
        </w:rPr>
        <w:t>סך כל הסנקציה יהיה, איפוא, בשיעור המירבי של 15% לפי סעיף 10(ה)(1) לחוק המימון.</w:t>
      </w:r>
    </w:p>
    <w:p w:rsidR="00D653E5">
      <w:pPr>
        <w:spacing w:line="240" w:lineRule="auto"/>
        <w:ind w:left="567" w:hanging="567"/>
        <w:rPr>
          <w:rtl/>
        </w:rPr>
      </w:pPr>
    </w:p>
    <w:p w:rsidR="00D653E5">
      <w:pPr>
        <w:spacing w:line="240" w:lineRule="auto"/>
        <w:rPr>
          <w:rtl/>
        </w:rPr>
      </w:pPr>
    </w:p>
    <w:p w:rsidR="00D653E5">
      <w:pPr>
        <w:spacing w:line="240" w:lineRule="auto"/>
        <w:rPr>
          <w:rtl/>
        </w:rPr>
      </w:pPr>
    </w:p>
    <w:p w:rsidR="00D653E5">
      <w:pPr>
        <w:spacing w:line="240" w:lineRule="auto"/>
        <w:rPr>
          <w:rtl/>
        </w:rPr>
      </w:pPr>
    </w:p>
    <w:p w:rsidR="00D653E5">
      <w:pPr>
        <w:spacing w:line="240" w:lineRule="auto"/>
        <w:rPr>
          <w:rtl/>
        </w:rPr>
      </w:pPr>
    </w:p>
    <w:p w:rsidR="00D653E5">
      <w:pPr>
        <w:tabs>
          <w:tab w:val="left" w:pos="5988"/>
        </w:tabs>
        <w:spacing w:line="240" w:lineRule="auto"/>
        <w:ind w:left="567" w:hanging="567"/>
        <w:rPr>
          <w:rtl/>
        </w:rPr>
      </w:pPr>
      <w:r>
        <w:rPr>
          <w:rFonts w:hint="cs"/>
          <w:rtl/>
        </w:rPr>
        <w:t>ירושלים, ט' בטבת התשנ"א</w:t>
      </w:r>
      <w:r>
        <w:rPr>
          <w:rFonts w:hint="cs"/>
          <w:rtl/>
        </w:rPr>
        <w:tab/>
        <w:t>מרים בן-פורת</w:t>
      </w:r>
    </w:p>
    <w:p w:rsidR="00D653E5">
      <w:pPr>
        <w:tabs>
          <w:tab w:val="left" w:pos="876"/>
          <w:tab w:val="left" w:pos="5988"/>
        </w:tabs>
        <w:spacing w:line="240" w:lineRule="auto"/>
        <w:ind w:left="567" w:hanging="567"/>
        <w:rPr>
          <w:rtl/>
        </w:rPr>
      </w:pPr>
      <w:r>
        <w:rPr>
          <w:rFonts w:hint="cs"/>
          <w:rtl/>
        </w:rPr>
        <w:tab/>
      </w:r>
      <w:r>
        <w:rPr>
          <w:rFonts w:hint="cs"/>
          <w:rtl/>
        </w:rPr>
        <w:tab/>
        <w:t>26 בדצמבר 1990</w:t>
      </w:r>
      <w:r>
        <w:rPr>
          <w:rFonts w:hint="cs"/>
          <w:rtl/>
        </w:rPr>
        <w:tab/>
        <w:t>מבקר המדינה</w:t>
      </w:r>
    </w:p>
    <w:p w:rsidR="00D653E5">
      <w:pPr>
        <w:tabs>
          <w:tab w:val="left" w:pos="876"/>
          <w:tab w:val="left" w:pos="5988"/>
        </w:tabs>
        <w:spacing w:line="240" w:lineRule="auto"/>
        <w:ind w:left="567" w:hanging="567"/>
        <w:rPr>
          <w:rtl/>
        </w:rPr>
      </w:pPr>
    </w:p>
    <w:p w:rsidR="00D653E5">
      <w:pPr>
        <w:tabs>
          <w:tab w:val="left" w:pos="876"/>
          <w:tab w:val="left" w:pos="5988"/>
        </w:tabs>
        <w:spacing w:line="240" w:lineRule="auto"/>
        <w:ind w:left="567" w:hanging="567"/>
        <w:rPr>
          <w:rtl/>
        </w:rPr>
        <w:sectPr>
          <w:footerReference w:type="default" r:id="rId13"/>
          <w:headerReference w:type="first" r:id="rId14"/>
          <w:footerReference w:type="first" r:id="rId15"/>
          <w:pgSz w:w="11906" w:h="16838" w:code="9"/>
          <w:pgMar w:top="1701" w:right="1985" w:bottom="1588" w:left="1701" w:header="709" w:footer="709" w:gutter="0"/>
          <w:pgNumType w:start="1"/>
          <w:cols w:space="720"/>
          <w:titlePg/>
          <w:bidi/>
          <w:rtlGutter/>
          <w:docGrid w:linePitch="196"/>
        </w:sectPr>
      </w:pPr>
    </w:p>
    <w:p w:rsidR="00D653E5">
      <w:pPr>
        <w:spacing w:line="240" w:lineRule="auto"/>
        <w:jc w:val="center"/>
        <w:rPr>
          <w:rtl/>
        </w:rPr>
      </w:pPr>
      <w:r>
        <w:rPr>
          <w:noProof/>
          <w:lang w:eastAsia="en-US"/>
        </w:rPr>
        <w:drawing>
          <wp:inline distT="0" distB="0" distL="0" distR="0">
            <wp:extent cx="714375" cy="885825"/>
            <wp:effectExtent l="0" t="0" r="9525" b="9525"/>
            <wp:docPr id="17" name="תמונה 4" descr="sem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209561" name="Picture 4" descr="semel"/>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14375" cy="885825"/>
                    </a:xfrm>
                    <a:prstGeom prst="rect">
                      <a:avLst/>
                    </a:prstGeom>
                    <a:noFill/>
                    <a:ln>
                      <a:noFill/>
                    </a:ln>
                  </pic:spPr>
                </pic:pic>
              </a:graphicData>
            </a:graphic>
          </wp:inline>
        </w:drawing>
      </w:r>
    </w:p>
    <w:p w:rsidR="00D653E5">
      <w:pPr>
        <w:spacing w:line="240" w:lineRule="auto"/>
        <w:jc w:val="center"/>
        <w:rPr>
          <w:sz w:val="28"/>
          <w:szCs w:val="26"/>
          <w:rtl/>
        </w:rPr>
      </w:pPr>
      <w:r>
        <w:rPr>
          <w:rFonts w:hint="cs"/>
          <w:sz w:val="28"/>
          <w:szCs w:val="26"/>
          <w:rtl/>
        </w:rPr>
        <w:t>מבקר המדינה</w:t>
      </w:r>
    </w:p>
    <w:p w:rsidR="00D653E5">
      <w:pPr>
        <w:spacing w:line="240" w:lineRule="auto"/>
        <w:jc w:val="center"/>
        <w:rPr>
          <w:rtl/>
        </w:rPr>
      </w:pPr>
      <w:r>
        <w:rPr>
          <w:rFonts w:hint="cs"/>
          <w:rtl/>
        </w:rPr>
        <w:t>מרים בן-פורת</w:t>
      </w:r>
    </w:p>
    <w:p w:rsidR="00D653E5">
      <w:pPr>
        <w:spacing w:line="240" w:lineRule="auto"/>
        <w:jc w:val="center"/>
        <w:rPr>
          <w:rtl/>
        </w:rPr>
      </w:pPr>
    </w:p>
    <w:p w:rsidR="00D653E5">
      <w:pPr>
        <w:spacing w:line="240" w:lineRule="auto"/>
        <w:jc w:val="center"/>
        <w:rPr>
          <w:rtl/>
        </w:rPr>
      </w:pPr>
      <w:r>
        <w:rPr>
          <w:rFonts w:hint="cs"/>
          <w:rtl/>
        </w:rPr>
        <w:t>חוק מימון מפלגות, התשל"ג-1973</w:t>
      </w:r>
    </w:p>
    <w:p w:rsidR="00D653E5">
      <w:pPr>
        <w:spacing w:line="240" w:lineRule="auto"/>
        <w:jc w:val="center"/>
        <w:rPr>
          <w:rtl/>
        </w:rPr>
      </w:pPr>
    </w:p>
    <w:p w:rsidR="00D653E5">
      <w:pPr>
        <w:spacing w:line="240" w:lineRule="auto"/>
        <w:jc w:val="center"/>
        <w:rPr>
          <w:rtl/>
        </w:rPr>
      </w:pPr>
      <w:r>
        <w:rPr>
          <w:rFonts w:hint="cs"/>
          <w:rtl/>
        </w:rPr>
        <w:t>דין וחשבון</w:t>
      </w:r>
    </w:p>
    <w:p w:rsidR="00D653E5">
      <w:pPr>
        <w:spacing w:line="240" w:lineRule="auto"/>
        <w:jc w:val="center"/>
        <w:rPr>
          <w:rtl/>
        </w:rPr>
      </w:pPr>
      <w:r>
        <w:rPr>
          <w:rFonts w:hint="cs"/>
          <w:rtl/>
        </w:rPr>
        <w:t>מוגש ליושב ראש הכנסת</w:t>
      </w:r>
    </w:p>
    <w:p w:rsidR="00D653E5">
      <w:pPr>
        <w:spacing w:line="240" w:lineRule="auto"/>
        <w:jc w:val="center"/>
        <w:rPr>
          <w:rtl/>
        </w:rPr>
      </w:pPr>
    </w:p>
    <w:p w:rsidR="00D653E5">
      <w:pPr>
        <w:spacing w:line="240" w:lineRule="auto"/>
        <w:jc w:val="center"/>
        <w:rPr>
          <w:rtl/>
        </w:rPr>
      </w:pPr>
      <w:r>
        <w:rPr>
          <w:rFonts w:hint="cs"/>
          <w:rtl/>
        </w:rPr>
        <w:t>על תוצאות ביקורת החשבונות לתקופה 1.4.1988 עד 30.11.1988</w:t>
      </w:r>
    </w:p>
    <w:p w:rsidR="00D653E5">
      <w:pPr>
        <w:spacing w:line="240" w:lineRule="auto"/>
        <w:jc w:val="center"/>
        <w:rPr>
          <w:rtl/>
        </w:rPr>
      </w:pPr>
    </w:p>
    <w:p w:rsidR="00D653E5">
      <w:pPr>
        <w:spacing w:line="240" w:lineRule="auto"/>
        <w:jc w:val="center"/>
        <w:rPr>
          <w:rtl/>
        </w:rPr>
      </w:pPr>
      <w:r>
        <w:rPr>
          <w:rFonts w:hint="cs"/>
          <w:rtl/>
        </w:rPr>
        <w:t>של הסיעה</w:t>
      </w:r>
    </w:p>
    <w:p w:rsidR="00D653E5">
      <w:pPr>
        <w:pStyle w:val="41"/>
        <w:spacing w:line="240" w:lineRule="auto"/>
        <w:jc w:val="center"/>
        <w:rPr>
          <w:rtl/>
        </w:rPr>
      </w:pPr>
      <w:r>
        <w:rPr>
          <w:rFonts w:hint="cs"/>
          <w:rtl/>
        </w:rPr>
        <w:t>התאחדות הספרדים שומרי תורה - ש"ס</w:t>
      </w:r>
    </w:p>
    <w:p w:rsidR="00D653E5">
      <w:pPr>
        <w:spacing w:line="240" w:lineRule="auto"/>
        <w:rPr>
          <w:rtl/>
        </w:rPr>
      </w:pPr>
    </w:p>
    <w:p w:rsidR="00D653E5">
      <w:pPr>
        <w:spacing w:line="240" w:lineRule="auto"/>
        <w:ind w:left="567" w:hanging="567"/>
        <w:rPr>
          <w:rtl/>
        </w:rPr>
      </w:pPr>
      <w:r>
        <w:rPr>
          <w:rFonts w:hint="cs"/>
          <w:rtl/>
        </w:rPr>
        <w:t>1.</w:t>
      </w:r>
      <w:r>
        <w:rPr>
          <w:rFonts w:hint="cs"/>
          <w:rtl/>
        </w:rPr>
        <w:tab/>
        <w:t>על-פי חוק מימון מפלגות,</w:t>
      </w:r>
      <w:r>
        <w:rPr>
          <w:rFonts w:hint="cs"/>
          <w:rtl/>
        </w:rPr>
        <w:t xml:space="preserve"> התשל"ג-1973 (להלן - חוק המימון) - מסרתי לך ב-6.6.1989 דין וחשבון על תוצאות ביקורת חשבונות הסיעה התאחדות הספרדים שומרי תורה - ש"ס (להלן - הסיעה) לתקופה 1.4.1988 עד 30.11.1988. על סמך השיקולים שפורטו במכתב הלוואי שלי אליך, מהיום, מתבטל הדין וחשבון האמור ותח</w:t>
      </w:r>
      <w:r>
        <w:rPr>
          <w:rFonts w:hint="cs"/>
          <w:rtl/>
        </w:rPr>
        <w:t>תיו ניתן בזה דין וחשבון חדש.</w:t>
      </w:r>
    </w:p>
    <w:p w:rsidR="00D653E5">
      <w:pPr>
        <w:spacing w:line="240" w:lineRule="auto"/>
        <w:ind w:left="567" w:hanging="567"/>
        <w:rPr>
          <w:rtl/>
        </w:rPr>
      </w:pPr>
    </w:p>
    <w:p w:rsidR="00D653E5">
      <w:pPr>
        <w:spacing w:line="240" w:lineRule="auto"/>
        <w:ind w:left="567" w:hanging="567"/>
        <w:rPr>
          <w:rtl/>
        </w:rPr>
      </w:pPr>
      <w:r>
        <w:rPr>
          <w:rFonts w:hint="cs"/>
          <w:rtl/>
        </w:rPr>
        <w:t>2.</w:t>
      </w:r>
      <w:r>
        <w:rPr>
          <w:rFonts w:hint="cs"/>
          <w:rtl/>
        </w:rPr>
        <w:tab/>
        <w:t xml:space="preserve">משרד מבקר המדינה בדק את חשבונות הסיעה לתקופה הנדונה לפי שיטות ביקורת מקובלות. על סמך בדיקה זו, השלמות, תיקונים והסברים של הסיעה במהלך הביקורת וכן הצהרות נציגי הסיעה, שנתקבלו כראייה לפי סעיף 9(ג) לחוק המימון, ועל סמך בדיקת </w:t>
      </w:r>
      <w:r>
        <w:rPr>
          <w:rFonts w:hint="cs"/>
          <w:rtl/>
        </w:rPr>
        <w:t>השלמות למערכת החשבונות לתקופת הבחירות לכנסת השתים-עשרה שנתקבלו, לבקשת משרדי, באוגוסט שנה זו,</w:t>
      </w:r>
    </w:p>
    <w:p w:rsidR="00D653E5">
      <w:pPr>
        <w:spacing w:line="240" w:lineRule="auto"/>
        <w:ind w:left="567" w:hanging="567"/>
        <w:rPr>
          <w:rtl/>
        </w:rPr>
      </w:pPr>
    </w:p>
    <w:p w:rsidR="00D653E5">
      <w:pPr>
        <w:spacing w:line="240" w:lineRule="auto"/>
        <w:ind w:left="1134" w:hanging="567"/>
        <w:rPr>
          <w:rtl/>
        </w:rPr>
      </w:pPr>
      <w:r>
        <w:rPr>
          <w:rFonts w:hint="cs"/>
          <w:rtl/>
        </w:rPr>
        <w:t xml:space="preserve">אני קובעת בזה בהתאם לסעיף 10(ד) לחוק המימון, כי - </w:t>
      </w:r>
    </w:p>
    <w:p w:rsidR="00D653E5">
      <w:pPr>
        <w:spacing w:line="240" w:lineRule="auto"/>
        <w:ind w:left="567" w:hanging="567"/>
        <w:rPr>
          <w:rtl/>
        </w:rPr>
      </w:pPr>
    </w:p>
    <w:p w:rsidR="00D653E5">
      <w:pPr>
        <w:spacing w:line="240" w:lineRule="auto"/>
        <w:ind w:left="1134" w:hanging="567"/>
        <w:rPr>
          <w:rtl/>
        </w:rPr>
      </w:pPr>
      <w:r>
        <w:rPr>
          <w:rFonts w:hint="cs"/>
          <w:rtl/>
        </w:rPr>
        <w:t>(א)</w:t>
      </w:r>
      <w:r>
        <w:rPr>
          <w:rFonts w:hint="cs"/>
          <w:rtl/>
        </w:rPr>
        <w:tab/>
        <w:t>הסיעה לא ניהלה את מערכת החשבונות שלה בהתאם להנחיות מבקר המדינה;</w:t>
      </w:r>
    </w:p>
    <w:p w:rsidR="00D653E5">
      <w:pPr>
        <w:spacing w:line="240" w:lineRule="auto"/>
        <w:ind w:left="567" w:hanging="567"/>
        <w:rPr>
          <w:rtl/>
        </w:rPr>
      </w:pPr>
    </w:p>
    <w:p w:rsidR="00D653E5">
      <w:pPr>
        <w:spacing w:line="240" w:lineRule="auto"/>
        <w:ind w:left="1134" w:hanging="567"/>
        <w:rPr>
          <w:rtl/>
        </w:rPr>
      </w:pPr>
      <w:r>
        <w:rPr>
          <w:rFonts w:hint="cs"/>
          <w:rtl/>
        </w:rPr>
        <w:t>(ב)</w:t>
      </w:r>
      <w:r>
        <w:rPr>
          <w:rFonts w:hint="cs"/>
          <w:rtl/>
        </w:rPr>
        <w:tab/>
        <w:t xml:space="preserve">בנובמבר 1988 ניתנו לחשב הסיעה המחאות </w:t>
      </w:r>
      <w:r>
        <w:rPr>
          <w:rFonts w:hint="cs"/>
          <w:rtl/>
        </w:rPr>
        <w:t>בסך כולל של 770,000 ש"ח. סכומים אלה לא השתקפו במערכת החשבונות של הסיעה לתקופה הנדונה. הסיעה לא נתנה הסברים ותיעוד לגבי יעודם של תשלומים אלה. לפיכך גם לא ניתן לקבוע את מלוא היקף ההוצאות השוטפות של הסיעה בתקופה הניסקרת ואם היו בגבולות האמורים בסעיף 7(ב) לחוק</w:t>
      </w:r>
      <w:r>
        <w:rPr>
          <w:rFonts w:hint="cs"/>
          <w:rtl/>
        </w:rPr>
        <w:t xml:space="preserve"> המימון;</w:t>
      </w:r>
    </w:p>
    <w:p w:rsidR="00D653E5">
      <w:pPr>
        <w:spacing w:line="240" w:lineRule="auto"/>
        <w:ind w:left="567" w:hanging="567"/>
        <w:rPr>
          <w:rtl/>
        </w:rPr>
      </w:pPr>
    </w:p>
    <w:p w:rsidR="00D653E5">
      <w:pPr>
        <w:spacing w:line="240" w:lineRule="auto"/>
        <w:ind w:left="1134" w:hanging="567"/>
        <w:rPr>
          <w:rtl/>
        </w:rPr>
      </w:pPr>
      <w:r>
        <w:rPr>
          <w:rFonts w:hint="cs"/>
          <w:rtl/>
        </w:rPr>
        <w:t>(ג)</w:t>
      </w:r>
      <w:r>
        <w:rPr>
          <w:rFonts w:hint="cs"/>
          <w:rtl/>
        </w:rPr>
        <w:tab/>
        <w:t>בחשבונותיה של הסיעה לתקופה הנדונה נרשמו, בין היתר, שלושה תקבולים בסכום כולל של 496,325 ש"ח שנתקבלו משתי עמותות, כמפורט להלן:</w:t>
      </w:r>
    </w:p>
    <w:p w:rsidR="00D653E5">
      <w:pPr>
        <w:spacing w:line="240" w:lineRule="auto"/>
        <w:ind w:left="567" w:hanging="567"/>
        <w:rPr>
          <w:rtl/>
        </w:rPr>
      </w:pPr>
    </w:p>
    <w:p w:rsidR="00D653E5">
      <w:pPr>
        <w:spacing w:line="240" w:lineRule="auto"/>
        <w:ind w:left="1701" w:hanging="567"/>
        <w:rPr>
          <w:rtl/>
        </w:rPr>
      </w:pPr>
      <w:r>
        <w:rPr>
          <w:rFonts w:hint="cs"/>
          <w:rtl/>
        </w:rPr>
        <w:t>72,000 ש"ח ביום 24.6.1988</w:t>
      </w:r>
      <w:r>
        <w:rPr>
          <w:rFonts w:hint="cs"/>
          <w:rtl/>
        </w:rPr>
        <w:tab/>
        <w:t>-</w:t>
      </w:r>
      <w:r>
        <w:rPr>
          <w:rFonts w:hint="cs"/>
          <w:rtl/>
        </w:rPr>
        <w:tab/>
        <w:t>מהעמותה "המרכז לחינוך</w:t>
      </w:r>
    </w:p>
    <w:p w:rsidR="00D653E5">
      <w:pPr>
        <w:spacing w:line="240" w:lineRule="auto"/>
        <w:ind w:left="3969" w:firstLine="567"/>
        <w:rPr>
          <w:rtl/>
        </w:rPr>
      </w:pPr>
      <w:r>
        <w:rPr>
          <w:rFonts w:hint="cs"/>
          <w:rtl/>
        </w:rPr>
        <w:t>תורני למורשת יהדות</w:t>
      </w:r>
    </w:p>
    <w:p w:rsidR="00D653E5">
      <w:pPr>
        <w:spacing w:line="240" w:lineRule="auto"/>
        <w:ind w:left="3969" w:firstLine="567"/>
        <w:rPr>
          <w:rtl/>
        </w:rPr>
      </w:pPr>
      <w:r>
        <w:rPr>
          <w:rFonts w:hint="cs"/>
          <w:rtl/>
        </w:rPr>
        <w:t>המזרח";</w:t>
      </w:r>
    </w:p>
    <w:p w:rsidR="00D653E5">
      <w:pPr>
        <w:spacing w:line="240" w:lineRule="auto"/>
        <w:rPr>
          <w:rtl/>
        </w:rPr>
      </w:pPr>
    </w:p>
    <w:p w:rsidR="00D653E5">
      <w:pPr>
        <w:spacing w:line="240" w:lineRule="auto"/>
        <w:ind w:left="1134"/>
        <w:rPr>
          <w:rtl/>
        </w:rPr>
      </w:pPr>
      <w:r>
        <w:rPr>
          <w:rFonts w:hint="cs"/>
          <w:rtl/>
        </w:rPr>
        <w:t>250,000 ש"ח ביום 21.10.1988</w:t>
      </w:r>
      <w:r>
        <w:rPr>
          <w:rFonts w:hint="cs"/>
          <w:rtl/>
        </w:rPr>
        <w:tab/>
        <w:t>-</w:t>
      </w:r>
      <w:r>
        <w:rPr>
          <w:rFonts w:hint="cs"/>
          <w:rtl/>
        </w:rPr>
        <w:tab/>
        <w:t xml:space="preserve">מהעמותה </w:t>
      </w:r>
      <w:r>
        <w:rPr>
          <w:rFonts w:hint="cs"/>
          <w:rtl/>
        </w:rPr>
        <w:t>"המרכז לחינוך</w:t>
      </w:r>
    </w:p>
    <w:p w:rsidR="00D653E5">
      <w:pPr>
        <w:spacing w:line="240" w:lineRule="auto"/>
        <w:ind w:left="4536"/>
        <w:rPr>
          <w:rtl/>
        </w:rPr>
      </w:pPr>
      <w:r>
        <w:rPr>
          <w:rFonts w:hint="cs"/>
          <w:rtl/>
        </w:rPr>
        <w:t>תורני למורשת יהדות</w:t>
      </w:r>
    </w:p>
    <w:p w:rsidR="00D653E5">
      <w:pPr>
        <w:spacing w:line="240" w:lineRule="auto"/>
        <w:ind w:left="4536"/>
        <w:rPr>
          <w:rtl/>
        </w:rPr>
      </w:pPr>
      <w:r>
        <w:rPr>
          <w:rFonts w:hint="cs"/>
          <w:rtl/>
        </w:rPr>
        <w:t>המזרח";</w:t>
      </w:r>
    </w:p>
    <w:p w:rsidR="00D653E5">
      <w:pPr>
        <w:spacing w:line="240" w:lineRule="auto"/>
        <w:rPr>
          <w:rtl/>
        </w:rPr>
      </w:pPr>
    </w:p>
    <w:p w:rsidR="00D653E5">
      <w:pPr>
        <w:spacing w:line="240" w:lineRule="auto"/>
        <w:ind w:left="1134"/>
        <w:rPr>
          <w:rtl/>
        </w:rPr>
      </w:pPr>
      <w:r>
        <w:rPr>
          <w:rFonts w:hint="cs"/>
          <w:rtl/>
        </w:rPr>
        <w:t>174,325 ש"ח ביום 28.10.1988</w:t>
      </w:r>
      <w:r>
        <w:rPr>
          <w:rFonts w:hint="cs"/>
          <w:rtl/>
        </w:rPr>
        <w:tab/>
        <w:t>-</w:t>
      </w:r>
      <w:r>
        <w:rPr>
          <w:rFonts w:hint="cs"/>
          <w:rtl/>
        </w:rPr>
        <w:tab/>
        <w:t>מהעמותה "רשת החינוך</w:t>
      </w:r>
    </w:p>
    <w:p w:rsidR="00D653E5">
      <w:pPr>
        <w:spacing w:line="240" w:lineRule="auto"/>
        <w:ind w:left="4536"/>
        <w:rPr>
          <w:rtl/>
        </w:rPr>
      </w:pPr>
      <w:r>
        <w:rPr>
          <w:rFonts w:hint="cs"/>
          <w:rtl/>
        </w:rPr>
        <w:t>התורני".</w:t>
      </w:r>
    </w:p>
    <w:p w:rsidR="00D653E5">
      <w:pPr>
        <w:spacing w:line="240" w:lineRule="auto"/>
        <w:ind w:left="567"/>
        <w:rPr>
          <w:rtl/>
        </w:rPr>
      </w:pPr>
      <w:r>
        <w:rPr>
          <w:rtl/>
        </w:rPr>
        <w:br w:type="page"/>
      </w:r>
      <w:r>
        <w:rPr>
          <w:rFonts w:hint="cs"/>
          <w:rtl/>
        </w:rPr>
        <w:t xml:space="preserve">מבירורים שנערכו על ידי הביקורת באשר למהות התקבולים האמורים עולה, שהמדובר ב"הלוואות" שכונו על-ידי העמותות "גמילות חסדים". התקבולים שנתקבלו כאמור מהעמותות </w:t>
      </w:r>
      <w:r>
        <w:rPr>
          <w:rFonts w:hint="cs"/>
          <w:rtl/>
        </w:rPr>
        <w:t>הוחזרו בערכים נומינאליים, חלקם בדצמבר 1988 וחלקם במארס 1989. רק ב-16.5.1989 שילמה הסיעה ריבית והפרשי הצמדה על חלק הארי של ה"הלוואות". על הסכום של 174,325 ש"ח לא שולמו ריבית והפרשי הצמדה כלל. אוסיף, כי לא נמצא כל תיעוד, כדרישת הנחיות מבקר המדינה, על קביעת ה</w:t>
      </w:r>
      <w:r>
        <w:rPr>
          <w:rFonts w:hint="cs"/>
          <w:rtl/>
        </w:rPr>
        <w:t>תנאים לקבלת ה"הלוואות", מועד החזרתן ושיעור הריבית וההצמדה.</w:t>
      </w:r>
    </w:p>
    <w:p w:rsidR="00D653E5">
      <w:pPr>
        <w:spacing w:line="240" w:lineRule="auto"/>
        <w:ind w:left="567" w:hanging="567"/>
        <w:rPr>
          <w:rtl/>
        </w:rPr>
      </w:pPr>
    </w:p>
    <w:p w:rsidR="00D653E5">
      <w:pPr>
        <w:spacing w:line="240" w:lineRule="auto"/>
        <w:ind w:left="567"/>
        <w:rPr>
          <w:rtl/>
        </w:rPr>
      </w:pPr>
      <w:r>
        <w:rPr>
          <w:rFonts w:hint="cs"/>
          <w:rtl/>
        </w:rPr>
        <w:t>יש להדגיש, שהעמותות שהעבירו את הכספים, כאמור, הינן עמותות הנהנות מתמיכה מתקציב המדינה.</w:t>
      </w:r>
    </w:p>
    <w:p w:rsidR="00D653E5">
      <w:pPr>
        <w:spacing w:line="240" w:lineRule="auto"/>
        <w:ind w:left="567" w:hanging="567"/>
        <w:rPr>
          <w:rtl/>
        </w:rPr>
      </w:pPr>
    </w:p>
    <w:p w:rsidR="00D653E5">
      <w:pPr>
        <w:spacing w:line="240" w:lineRule="auto"/>
        <w:ind w:left="567"/>
        <w:rPr>
          <w:rtl/>
        </w:rPr>
      </w:pPr>
      <w:r>
        <w:rPr>
          <w:rFonts w:hint="cs"/>
          <w:rtl/>
        </w:rPr>
        <w:t>בנסיבות אלה לא יכולתי לקבוע, במידת הוודאות הנדרשת, כי הסיעה עמדה באיסור לקבל תרומה מתאגיד, הקבוע בסעיף 8 לחו</w:t>
      </w:r>
      <w:r>
        <w:rPr>
          <w:rFonts w:hint="cs"/>
          <w:rtl/>
        </w:rPr>
        <w:t>ק המימון.</w:t>
      </w:r>
    </w:p>
    <w:p w:rsidR="00D653E5">
      <w:pPr>
        <w:spacing w:line="240" w:lineRule="auto"/>
        <w:ind w:left="567" w:hanging="567"/>
        <w:rPr>
          <w:rtl/>
        </w:rPr>
      </w:pPr>
    </w:p>
    <w:p w:rsidR="00D653E5">
      <w:pPr>
        <w:spacing w:line="240" w:lineRule="auto"/>
        <w:ind w:left="567" w:hanging="567"/>
        <w:rPr>
          <w:rtl/>
        </w:rPr>
      </w:pPr>
      <w:r>
        <w:rPr>
          <w:rFonts w:hint="cs"/>
          <w:rtl/>
        </w:rPr>
        <w:t>3.</w:t>
      </w:r>
      <w:r>
        <w:rPr>
          <w:rFonts w:hint="cs"/>
          <w:rtl/>
        </w:rPr>
        <w:tab/>
        <w:t>נוכח האמור בפיסקא 2 לעיל, הדין וחשבון הניתן בזה לגבי תוצאות ביקורת חשבונותיה של הסיעה - אינו חיובי.</w:t>
      </w:r>
    </w:p>
    <w:p w:rsidR="00D653E5">
      <w:pPr>
        <w:spacing w:line="240" w:lineRule="auto"/>
        <w:ind w:left="567" w:hanging="567"/>
        <w:rPr>
          <w:rtl/>
        </w:rPr>
      </w:pPr>
    </w:p>
    <w:p w:rsidR="00D653E5">
      <w:pPr>
        <w:spacing w:line="240" w:lineRule="auto"/>
        <w:ind w:left="567"/>
        <w:rPr>
          <w:rtl/>
        </w:rPr>
      </w:pPr>
      <w:r>
        <w:rPr>
          <w:rFonts w:hint="cs"/>
          <w:rtl/>
        </w:rPr>
        <w:t>אין לי יסוד להשתמש בסמכותי לפי סעיף 10(ה)(3) לחוק המימון ולהמליץ על סנקציה נמוכה מזו הנקובה בסעיף 10(ה)(1). התוצאה היא - שלילה של שני תשלומים</w:t>
      </w:r>
      <w:r>
        <w:rPr>
          <w:rFonts w:hint="cs"/>
          <w:rtl/>
        </w:rPr>
        <w:t xml:space="preserve"> חודשיים למימון ההוצאות השוטפות של הסיעה (שערכם כיום הוא 266,280 ש"ח), וזאת בנוסף על שלילה של תשלום חודשי אחד שהושתה עליה בדין וחשבון מיום 6.6.1989 - המתבטל בזה.</w:t>
      </w:r>
    </w:p>
    <w:p w:rsidR="00D653E5">
      <w:pPr>
        <w:spacing w:line="240" w:lineRule="auto"/>
        <w:rPr>
          <w:rtl/>
        </w:rPr>
      </w:pPr>
    </w:p>
    <w:p w:rsidR="00D653E5">
      <w:pPr>
        <w:spacing w:line="240" w:lineRule="auto"/>
        <w:rPr>
          <w:rtl/>
        </w:rPr>
      </w:pPr>
    </w:p>
    <w:p w:rsidR="00D653E5">
      <w:pPr>
        <w:spacing w:line="240" w:lineRule="auto"/>
        <w:rPr>
          <w:rtl/>
        </w:rPr>
      </w:pPr>
    </w:p>
    <w:p w:rsidR="00D653E5">
      <w:pPr>
        <w:tabs>
          <w:tab w:val="left" w:pos="5988"/>
        </w:tabs>
        <w:spacing w:line="240" w:lineRule="auto"/>
        <w:ind w:left="567" w:hanging="567"/>
        <w:rPr>
          <w:rtl/>
        </w:rPr>
      </w:pPr>
      <w:r>
        <w:rPr>
          <w:rFonts w:hint="cs"/>
          <w:rtl/>
        </w:rPr>
        <w:t>ירושלים, ט' בטבת התשנ"א</w:t>
      </w:r>
      <w:r>
        <w:rPr>
          <w:rFonts w:hint="cs"/>
          <w:rtl/>
        </w:rPr>
        <w:tab/>
        <w:t>מרים בן-פורת</w:t>
      </w:r>
    </w:p>
    <w:p w:rsidR="00D653E5">
      <w:pPr>
        <w:tabs>
          <w:tab w:val="left" w:pos="876"/>
          <w:tab w:val="left" w:pos="5988"/>
        </w:tabs>
        <w:spacing w:line="240" w:lineRule="auto"/>
        <w:ind w:left="567" w:hanging="567"/>
        <w:rPr>
          <w:rtl/>
        </w:rPr>
      </w:pPr>
      <w:r>
        <w:rPr>
          <w:rFonts w:hint="cs"/>
          <w:rtl/>
        </w:rPr>
        <w:tab/>
      </w:r>
      <w:r>
        <w:rPr>
          <w:rFonts w:hint="cs"/>
          <w:rtl/>
        </w:rPr>
        <w:tab/>
        <w:t>26 בדצמבר 1990</w:t>
      </w:r>
      <w:r>
        <w:rPr>
          <w:rFonts w:hint="cs"/>
          <w:rtl/>
        </w:rPr>
        <w:tab/>
        <w:t>מבקר המדינה</w:t>
      </w:r>
    </w:p>
    <w:p w:rsidR="00D653E5">
      <w:pPr>
        <w:tabs>
          <w:tab w:val="left" w:pos="876"/>
          <w:tab w:val="left" w:pos="5988"/>
        </w:tabs>
        <w:spacing w:line="240" w:lineRule="auto"/>
        <w:ind w:left="567" w:hanging="567"/>
        <w:rPr>
          <w:rtl/>
        </w:rPr>
      </w:pPr>
    </w:p>
    <w:p w:rsidR="00D653E5">
      <w:pPr>
        <w:tabs>
          <w:tab w:val="left" w:pos="876"/>
          <w:tab w:val="left" w:pos="5988"/>
        </w:tabs>
        <w:spacing w:line="240" w:lineRule="auto"/>
        <w:ind w:left="567" w:hanging="567"/>
        <w:rPr>
          <w:rtl/>
        </w:rPr>
        <w:sectPr>
          <w:footerReference w:type="default" r:id="rId16"/>
          <w:headerReference w:type="first" r:id="rId17"/>
          <w:footerReference w:type="first" r:id="rId18"/>
          <w:pgSz w:w="11906" w:h="16838" w:code="9"/>
          <w:pgMar w:top="1701" w:right="1985" w:bottom="1588" w:left="1701" w:header="709" w:footer="709" w:gutter="0"/>
          <w:pgNumType w:start="1"/>
          <w:cols w:space="720"/>
          <w:titlePg/>
          <w:bidi/>
          <w:rtlGutter/>
          <w:docGrid w:linePitch="196"/>
        </w:sectPr>
      </w:pPr>
    </w:p>
    <w:p w:rsidR="00D653E5">
      <w:pPr>
        <w:spacing w:line="240" w:lineRule="auto"/>
        <w:jc w:val="center"/>
        <w:rPr>
          <w:rtl/>
        </w:rPr>
      </w:pPr>
      <w:r>
        <w:rPr>
          <w:noProof/>
          <w:lang w:eastAsia="en-US"/>
        </w:rPr>
        <w:drawing>
          <wp:inline distT="0" distB="0" distL="0" distR="0">
            <wp:extent cx="714375" cy="885825"/>
            <wp:effectExtent l="0" t="0" r="9525" b="9525"/>
            <wp:docPr id="16" name="תמונה 5" descr="sem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607209" name="Picture 5" descr="semel"/>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14375" cy="885825"/>
                    </a:xfrm>
                    <a:prstGeom prst="rect">
                      <a:avLst/>
                    </a:prstGeom>
                    <a:noFill/>
                    <a:ln>
                      <a:noFill/>
                    </a:ln>
                  </pic:spPr>
                </pic:pic>
              </a:graphicData>
            </a:graphic>
          </wp:inline>
        </w:drawing>
      </w:r>
    </w:p>
    <w:p w:rsidR="00D653E5">
      <w:pPr>
        <w:spacing w:line="240" w:lineRule="auto"/>
        <w:jc w:val="center"/>
        <w:rPr>
          <w:sz w:val="28"/>
          <w:szCs w:val="26"/>
          <w:rtl/>
        </w:rPr>
      </w:pPr>
      <w:r>
        <w:rPr>
          <w:rFonts w:hint="cs"/>
          <w:sz w:val="28"/>
          <w:szCs w:val="26"/>
          <w:rtl/>
        </w:rPr>
        <w:t>מבקר המדינה</w:t>
      </w:r>
    </w:p>
    <w:p w:rsidR="00D653E5">
      <w:pPr>
        <w:spacing w:line="240" w:lineRule="auto"/>
        <w:jc w:val="center"/>
        <w:rPr>
          <w:rtl/>
        </w:rPr>
      </w:pPr>
      <w:r>
        <w:rPr>
          <w:rFonts w:hint="cs"/>
          <w:rtl/>
        </w:rPr>
        <w:t>מרים בן-פורת</w:t>
      </w:r>
    </w:p>
    <w:p w:rsidR="00D653E5">
      <w:pPr>
        <w:spacing w:line="240" w:lineRule="auto"/>
        <w:jc w:val="center"/>
        <w:rPr>
          <w:rtl/>
        </w:rPr>
      </w:pPr>
    </w:p>
    <w:p w:rsidR="00D653E5">
      <w:pPr>
        <w:spacing w:line="240" w:lineRule="auto"/>
        <w:jc w:val="center"/>
        <w:rPr>
          <w:rtl/>
        </w:rPr>
      </w:pPr>
    </w:p>
    <w:p w:rsidR="00D653E5">
      <w:pPr>
        <w:spacing w:line="240" w:lineRule="auto"/>
        <w:jc w:val="center"/>
        <w:rPr>
          <w:rtl/>
        </w:rPr>
      </w:pPr>
      <w:r>
        <w:rPr>
          <w:rFonts w:hint="cs"/>
          <w:rtl/>
        </w:rPr>
        <w:t>חוק הרשויות המקומיות (מימון בחירות) (הוראות שעה), התשמ"ח-1988</w:t>
      </w:r>
    </w:p>
    <w:p w:rsidR="00D653E5">
      <w:pPr>
        <w:spacing w:line="240" w:lineRule="auto"/>
        <w:jc w:val="center"/>
        <w:rPr>
          <w:rtl/>
        </w:rPr>
      </w:pPr>
    </w:p>
    <w:p w:rsidR="00D653E5">
      <w:pPr>
        <w:spacing w:line="240" w:lineRule="auto"/>
        <w:jc w:val="center"/>
        <w:rPr>
          <w:rtl/>
        </w:rPr>
      </w:pPr>
      <w:r>
        <w:rPr>
          <w:rFonts w:hint="cs"/>
          <w:rtl/>
        </w:rPr>
        <w:t>דין וחשבון</w:t>
      </w:r>
    </w:p>
    <w:p w:rsidR="00D653E5">
      <w:pPr>
        <w:spacing w:line="240" w:lineRule="auto"/>
        <w:jc w:val="center"/>
        <w:rPr>
          <w:rtl/>
        </w:rPr>
      </w:pPr>
      <w:r>
        <w:rPr>
          <w:rFonts w:hint="cs"/>
          <w:rtl/>
        </w:rPr>
        <w:t>בדבר חשבונות סיעת האם</w:t>
      </w:r>
    </w:p>
    <w:p w:rsidR="00D653E5">
      <w:pPr>
        <w:pStyle w:val="41"/>
        <w:spacing w:line="240" w:lineRule="auto"/>
        <w:jc w:val="center"/>
        <w:rPr>
          <w:rtl/>
        </w:rPr>
      </w:pPr>
      <w:r>
        <w:rPr>
          <w:rFonts w:hint="cs"/>
          <w:rtl/>
        </w:rPr>
        <w:t>התאחדות הספרדים שומרי תורה - ש"ס</w:t>
      </w:r>
    </w:p>
    <w:p w:rsidR="00D653E5">
      <w:pPr>
        <w:spacing w:line="240" w:lineRule="auto"/>
        <w:jc w:val="center"/>
        <w:rPr>
          <w:rtl/>
        </w:rPr>
      </w:pPr>
    </w:p>
    <w:p w:rsidR="00D653E5">
      <w:pPr>
        <w:spacing w:line="240" w:lineRule="auto"/>
        <w:jc w:val="center"/>
        <w:rPr>
          <w:rtl/>
        </w:rPr>
      </w:pPr>
      <w:r>
        <w:rPr>
          <w:rFonts w:hint="cs"/>
          <w:rtl/>
        </w:rPr>
        <w:t xml:space="preserve">לתקופת הבחירות </w:t>
      </w:r>
      <w:r>
        <w:rPr>
          <w:rFonts w:hint="cs"/>
          <w:rtl/>
        </w:rPr>
        <w:t>לרשויות המקומיות שהתקיימו בפברואר ובמארס 1989</w:t>
      </w:r>
    </w:p>
    <w:p w:rsidR="00D653E5">
      <w:pPr>
        <w:spacing w:line="240" w:lineRule="auto"/>
        <w:jc w:val="center"/>
        <w:rPr>
          <w:rtl/>
        </w:rPr>
      </w:pPr>
    </w:p>
    <w:p w:rsidR="00D653E5">
      <w:pPr>
        <w:spacing w:line="240" w:lineRule="auto"/>
        <w:ind w:left="567" w:hanging="567"/>
        <w:rPr>
          <w:rtl/>
        </w:rPr>
      </w:pPr>
      <w:r>
        <w:rPr>
          <w:rFonts w:hint="cs"/>
          <w:rtl/>
        </w:rPr>
        <w:t>1.</w:t>
      </w:r>
      <w:r>
        <w:rPr>
          <w:rFonts w:hint="cs"/>
          <w:rtl/>
        </w:rPr>
        <w:tab/>
        <w:t>בהתאם לסעיף 18(ג) לחוק הרשויות המקומיות (מימון בחירות) (הוראות שעה), התשמ"ח-1988 (להלן - החוק), הנחתי ב-14.9.1989 על שולחן הכנסת דין וחשבון בדבר חשבונותיה של סיעת האם התאחדות הספרדים שומרי תורה - ש"ס לתקופת</w:t>
      </w:r>
      <w:r>
        <w:rPr>
          <w:rFonts w:hint="cs"/>
          <w:rtl/>
        </w:rPr>
        <w:t xml:space="preserve"> הבחירות לרשויות המקומיות, שהתקיימו בפברואר ובמארס 1989. על סמך חוות הדעת של רואה החשבון של הסיעה ובדיקות ובירורים משלימים של עובדי משרדי, היה הדין וחשבון, שמסרתי על תוצאות ביקורת חשבונות הסיעה לתקופת הבחירות לרשויות המקומיות - חיובי.</w:t>
      </w:r>
    </w:p>
    <w:p w:rsidR="00D653E5">
      <w:pPr>
        <w:spacing w:line="240" w:lineRule="auto"/>
        <w:ind w:left="567" w:hanging="567"/>
        <w:rPr>
          <w:rtl/>
        </w:rPr>
      </w:pPr>
    </w:p>
    <w:p w:rsidR="00D653E5">
      <w:pPr>
        <w:spacing w:line="240" w:lineRule="auto"/>
        <w:ind w:left="567" w:hanging="567"/>
        <w:rPr>
          <w:rtl/>
        </w:rPr>
      </w:pPr>
      <w:r>
        <w:rPr>
          <w:rFonts w:hint="cs"/>
          <w:rtl/>
        </w:rPr>
        <w:t>2.</w:t>
      </w:r>
      <w:r>
        <w:rPr>
          <w:rFonts w:hint="cs"/>
          <w:rtl/>
        </w:rPr>
        <w:tab/>
        <w:t>על סמך השיקולים ש</w:t>
      </w:r>
      <w:r>
        <w:rPr>
          <w:rFonts w:hint="cs"/>
          <w:rtl/>
        </w:rPr>
        <w:t>פורטו במכתב הלוואי שלי אליך, מהיום, מתבטל הדין וחשבון האמור ותחתיו ניתן בזה דין וחשבון חדש - לא חיובי.</w:t>
      </w:r>
    </w:p>
    <w:p w:rsidR="00D653E5">
      <w:pPr>
        <w:spacing w:line="240" w:lineRule="auto"/>
        <w:ind w:left="567" w:hanging="567"/>
        <w:rPr>
          <w:rtl/>
        </w:rPr>
      </w:pPr>
    </w:p>
    <w:p w:rsidR="00D653E5">
      <w:pPr>
        <w:spacing w:line="240" w:lineRule="auto"/>
        <w:ind w:left="567" w:hanging="567"/>
        <w:rPr>
          <w:rtl/>
        </w:rPr>
      </w:pPr>
      <w:r>
        <w:rPr>
          <w:rFonts w:hint="cs"/>
          <w:rtl/>
        </w:rPr>
        <w:t>3.</w:t>
      </w:r>
      <w:r>
        <w:rPr>
          <w:rFonts w:hint="cs"/>
          <w:rtl/>
        </w:rPr>
        <w:tab/>
        <w:t>(א)</w:t>
      </w:r>
      <w:r>
        <w:rPr>
          <w:rFonts w:hint="cs"/>
          <w:rtl/>
        </w:rPr>
        <w:tab/>
        <w:t>בעת בדיקת מערכת החשבונות השוטפים של הסיעה לתקופה 1.12.1988-31.3.1990, נתבקשה הסיעה להמציא השלמות למערכת החשבונות לתקופת הבחירות לרשויות המקומיות.</w:t>
      </w:r>
      <w:r>
        <w:rPr>
          <w:rFonts w:hint="cs"/>
          <w:rtl/>
        </w:rPr>
        <w:t xml:space="preserve"> מבדיקת החשבונות הנוספים שנמסרו למשרדי עולה, כי - </w:t>
      </w:r>
    </w:p>
    <w:p w:rsidR="00D653E5">
      <w:pPr>
        <w:spacing w:line="240" w:lineRule="auto"/>
        <w:ind w:left="567" w:hanging="567"/>
        <w:rPr>
          <w:rtl/>
        </w:rPr>
      </w:pPr>
    </w:p>
    <w:p w:rsidR="00D653E5">
      <w:pPr>
        <w:spacing w:line="240" w:lineRule="auto"/>
        <w:ind w:left="1134"/>
        <w:rPr>
          <w:rtl/>
        </w:rPr>
      </w:pPr>
      <w:r>
        <w:rPr>
          <w:rFonts w:hint="cs"/>
          <w:rtl/>
        </w:rPr>
        <w:t>(1)</w:t>
      </w:r>
      <w:r>
        <w:rPr>
          <w:rFonts w:hint="cs"/>
          <w:rtl/>
        </w:rPr>
        <w:tab/>
        <w:t>הסיעה לא שיקפה בחשבונותיה לתקופת הבחירות לרשויות המקומיות את מלוא הוצאותיה, וממילא לא ניהלה את מערכת החשבונות שלה לפי הנחיות מבקר המדינה;</w:t>
      </w:r>
    </w:p>
    <w:p w:rsidR="00D653E5">
      <w:pPr>
        <w:spacing w:line="240" w:lineRule="auto"/>
        <w:ind w:left="1134" w:hanging="1134"/>
        <w:rPr>
          <w:rtl/>
        </w:rPr>
      </w:pPr>
    </w:p>
    <w:p w:rsidR="00D653E5">
      <w:pPr>
        <w:spacing w:line="240" w:lineRule="auto"/>
        <w:ind w:left="1134"/>
        <w:rPr>
          <w:rtl/>
        </w:rPr>
      </w:pPr>
      <w:r>
        <w:rPr>
          <w:rFonts w:hint="cs"/>
          <w:rtl/>
        </w:rPr>
        <w:t>(2)</w:t>
      </w:r>
      <w:r>
        <w:rPr>
          <w:rFonts w:hint="cs"/>
          <w:rtl/>
        </w:rPr>
        <w:tab/>
        <w:t xml:space="preserve">לא ניתן לקבוע את היקף הוצאות הבחירות של הסיעה בתקופת </w:t>
      </w:r>
      <w:r>
        <w:rPr>
          <w:rFonts w:hint="cs"/>
          <w:rtl/>
        </w:rPr>
        <w:t>הבחירות לרשויות המקומיות. יחד עם זאת הפער בין הוצאות הבחירות של הסיעה בתקופת הבחירות לרשויות המקומיות לבין תיקרת ההוצאות המותרת היה גדול כל כך, שהאפשרות שהסיעה עברה על תיקרה זו, דחוקה ביותר;</w:t>
      </w:r>
    </w:p>
    <w:p w:rsidR="00D653E5">
      <w:pPr>
        <w:spacing w:line="240" w:lineRule="auto"/>
        <w:ind w:left="1134" w:hanging="1134"/>
        <w:rPr>
          <w:rtl/>
        </w:rPr>
      </w:pPr>
    </w:p>
    <w:p w:rsidR="00D653E5">
      <w:pPr>
        <w:spacing w:line="240" w:lineRule="auto"/>
        <w:ind w:left="1134"/>
        <w:rPr>
          <w:rtl/>
        </w:rPr>
      </w:pPr>
      <w:r>
        <w:rPr>
          <w:rFonts w:hint="cs"/>
          <w:rtl/>
        </w:rPr>
        <w:t>(3)</w:t>
      </w:r>
      <w:r>
        <w:rPr>
          <w:rFonts w:hint="cs"/>
          <w:rtl/>
        </w:rPr>
        <w:tab/>
        <w:t>ההכנסות של הסיעה בתקופת הבחירות עמדו בדרישות סעיף 12 לחוק, ה</w:t>
      </w:r>
      <w:r>
        <w:rPr>
          <w:rFonts w:hint="cs"/>
          <w:rtl/>
        </w:rPr>
        <w:t>אוסר לקבל תרומה מתאגיד בארץ.</w:t>
      </w:r>
    </w:p>
    <w:p w:rsidR="00D653E5">
      <w:pPr>
        <w:spacing w:line="240" w:lineRule="auto"/>
        <w:ind w:left="567" w:hanging="567"/>
        <w:rPr>
          <w:rtl/>
        </w:rPr>
      </w:pPr>
    </w:p>
    <w:p w:rsidR="00D653E5">
      <w:pPr>
        <w:spacing w:line="240" w:lineRule="auto"/>
        <w:ind w:left="567"/>
        <w:rPr>
          <w:rtl/>
        </w:rPr>
      </w:pPr>
      <w:r>
        <w:rPr>
          <w:rFonts w:hint="cs"/>
          <w:rtl/>
        </w:rPr>
        <w:t>(ב)</w:t>
      </w:r>
      <w:r>
        <w:rPr>
          <w:rFonts w:hint="cs"/>
          <w:rtl/>
        </w:rPr>
        <w:tab/>
        <w:t>אי-לכך, הדין וחשבון לגבי הסיעה - אינו חיובי.</w:t>
      </w:r>
    </w:p>
    <w:p w:rsidR="00D653E5">
      <w:pPr>
        <w:spacing w:line="240" w:lineRule="auto"/>
        <w:ind w:left="567" w:hanging="567"/>
        <w:rPr>
          <w:rtl/>
        </w:rPr>
      </w:pPr>
    </w:p>
    <w:p w:rsidR="00D653E5">
      <w:pPr>
        <w:spacing w:line="240" w:lineRule="auto"/>
        <w:ind w:left="567"/>
        <w:rPr>
          <w:rtl/>
        </w:rPr>
      </w:pPr>
      <w:r>
        <w:rPr>
          <w:rFonts w:hint="cs"/>
          <w:rtl/>
        </w:rPr>
        <w:t>התוצאה היא, שעל הסיעה להחזיר לאוצר המדינה 15% מהכספים שקיבלה למימון הוצאות הבחירות לרשויות המקומיות.</w:t>
      </w:r>
    </w:p>
    <w:p w:rsidR="00D653E5">
      <w:pPr>
        <w:spacing w:line="240" w:lineRule="auto"/>
        <w:ind w:left="567" w:hanging="567"/>
        <w:rPr>
          <w:rtl/>
        </w:rPr>
      </w:pPr>
    </w:p>
    <w:p w:rsidR="00D653E5">
      <w:pPr>
        <w:spacing w:line="240" w:lineRule="auto"/>
        <w:ind w:left="567" w:hanging="567"/>
        <w:rPr>
          <w:rtl/>
        </w:rPr>
      </w:pPr>
    </w:p>
    <w:p w:rsidR="00D653E5">
      <w:pPr>
        <w:tabs>
          <w:tab w:val="left" w:pos="5988"/>
        </w:tabs>
        <w:spacing w:line="240" w:lineRule="auto"/>
        <w:ind w:left="567" w:hanging="567"/>
        <w:rPr>
          <w:rtl/>
        </w:rPr>
      </w:pPr>
      <w:r>
        <w:rPr>
          <w:rFonts w:hint="cs"/>
          <w:rtl/>
        </w:rPr>
        <w:t>ירושלים, ט' בטבת התשנ"א</w:t>
      </w:r>
      <w:r>
        <w:rPr>
          <w:rFonts w:hint="cs"/>
          <w:rtl/>
        </w:rPr>
        <w:tab/>
        <w:t>מרים בן-פורת</w:t>
      </w:r>
    </w:p>
    <w:p w:rsidR="00D653E5">
      <w:pPr>
        <w:tabs>
          <w:tab w:val="left" w:pos="876"/>
          <w:tab w:val="left" w:pos="5988"/>
        </w:tabs>
        <w:spacing w:line="240" w:lineRule="auto"/>
        <w:ind w:left="567" w:hanging="567"/>
        <w:rPr>
          <w:rtl/>
        </w:rPr>
      </w:pPr>
      <w:r>
        <w:rPr>
          <w:rFonts w:hint="cs"/>
          <w:rtl/>
        </w:rPr>
        <w:tab/>
      </w:r>
      <w:r>
        <w:rPr>
          <w:rFonts w:hint="cs"/>
          <w:rtl/>
        </w:rPr>
        <w:tab/>
        <w:t>26 בדצמבר 1990</w:t>
      </w:r>
      <w:r>
        <w:rPr>
          <w:rFonts w:hint="cs"/>
          <w:rtl/>
        </w:rPr>
        <w:tab/>
        <w:t>מבקר המדינה</w:t>
      </w:r>
    </w:p>
    <w:sectPr>
      <w:headerReference w:type="default" r:id="rId19"/>
      <w:footerReference w:type="default" r:id="rId20"/>
      <w:headerReference w:type="first" r:id="rId21"/>
      <w:footerReference w:type="first" r:id="rId22"/>
      <w:pgSz w:w="11906" w:h="16838" w:code="9"/>
      <w:pgMar w:top="1701" w:right="1985" w:bottom="1588" w:left="1701" w:header="709" w:footer="709" w:gutter="0"/>
      <w:pgNumType w:start="2"/>
      <w:cols w:space="720"/>
      <w:titlePg/>
      <w:bidi/>
      <w:rtlGutter/>
      <w:docGrid w:linePitch="1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53E5">
    <w:pPr>
      <w:pStyle w:val="Footer"/>
      <w:rPr>
        <w:rtl/>
      </w:rPr>
    </w:pPr>
  </w:p>
  <w:p w:rsidR="00D653E5">
    <w:pPr>
      <w:pStyle w:val="Footer"/>
      <w:rPr>
        <w:rtl/>
      </w:rPr>
    </w:pPr>
    <w:r>
      <w:rPr>
        <w:noProof/>
        <w:rtl/>
        <w:lang w:eastAsia="en-US"/>
      </w:rPr>
      <mc:AlternateContent>
        <mc:Choice Requires="wps">
          <w:drawing>
            <wp:anchor distT="0" distB="0" distL="114300" distR="114300" simplePos="0" relativeHeight="251658240" behindDoc="0" locked="0" layoutInCell="1" allowOverlap="1" hidden="1">
              <wp:simplePos x="0" y="0"/>
              <wp:positionH relativeFrom="page">
                <wp:posOffset>1567180</wp:posOffset>
              </wp:positionH>
              <wp:positionV relativeFrom="paragraph">
                <wp:posOffset>86360</wp:posOffset>
              </wp:positionV>
              <wp:extent cx="4420870" cy="407035"/>
              <wp:effectExtent l="0" t="0" r="0" b="0"/>
              <wp:wrapNone/>
              <wp:docPr id="15" name="Warning2" hidden="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20870" cy="407035"/>
                      </a:xfrm>
                      <a:prstGeom prst="rect">
                        <a:avLst/>
                      </a:prstGeom>
                      <a:solidFill>
                        <a:srgbClr val="FFFFFF"/>
                      </a:solidFill>
                      <a:ln w="9525">
                        <a:solidFill>
                          <a:srgbClr val="0000FF"/>
                        </a:solidFill>
                        <a:miter lim="800000"/>
                        <a:headEnd/>
                        <a:tailEnd/>
                      </a:ln>
                    </wps:spPr>
                    <wps:txbx>
                      <w:txbxContent>
                        <w:p w:rsidR="00D653E5">
                          <w:pPr>
                            <w:spacing w:line="288" w:lineRule="auto"/>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rsidR="00D653E5">
                          <w:pPr>
                            <w:spacing w:line="288" w:lineRule="auto"/>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wps:txbx>
                    <wps:bodyPr rot="0" vert="horz" wrap="square" lIns="91440" tIns="75565" rIns="91440" bIns="61214"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arning2" o:spid="_x0000_s2049" type="#_x0000_t202" style="width:348.1pt;height:32.05pt;margin-top:6.8pt;margin-left:123.4pt;mso-height-percent:0;mso-height-relative:page;mso-position-horizontal-relative:page;mso-width-percent:0;mso-width-relative:page;mso-wrap-distance-bottom:0;mso-wrap-distance-left:9pt;mso-wrap-distance-right:9pt;mso-wrap-distance-top:0;mso-wrap-style:square;position:absolute;visibility:hidden;v-text-anchor:top;z-index:251659264" strokecolor="blue">
              <v:textbox inset=",5.95pt,,4.82pt">
                <w:txbxContent>
                  <w:p w:rsidR="00D653E5">
                    <w:pPr>
                      <w:spacing w:line="288" w:lineRule="auto"/>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rsidR="00D653E5">
                    <w:pPr>
                      <w:spacing w:line="288" w:lineRule="auto"/>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mc:Fallback>
      </mc:AlternateContent>
    </w:r>
  </w:p>
  <w:p w:rsidR="00D653E5">
    <w:pPr>
      <w:pStyle w:val="Footer"/>
      <w:rPr>
        <w:rtl/>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53E5">
    <w:pPr>
      <w:pStyle w:val="Footer"/>
      <w:rPr>
        <w:rtl/>
      </w:rPr>
    </w:pPr>
  </w:p>
  <w:p w:rsidR="00D653E5">
    <w:pPr>
      <w:pStyle w:val="Footer"/>
      <w:rPr>
        <w:rtl/>
      </w:rPr>
    </w:pPr>
    <w:r>
      <w:rPr>
        <w:noProof/>
        <w:rtl/>
        <w:lang w:eastAsia="en-US"/>
      </w:rPr>
      <mc:AlternateContent>
        <mc:Choice Requires="wps">
          <w:drawing>
            <wp:anchor distT="0" distB="0" distL="114300" distR="114300" simplePos="0" relativeHeight="251674624" behindDoc="0" locked="0" layoutInCell="1" allowOverlap="1" hidden="1">
              <wp:simplePos x="0" y="0"/>
              <wp:positionH relativeFrom="page">
                <wp:posOffset>1550670</wp:posOffset>
              </wp:positionH>
              <wp:positionV relativeFrom="paragraph">
                <wp:posOffset>111760</wp:posOffset>
              </wp:positionV>
              <wp:extent cx="4420870" cy="407670"/>
              <wp:effectExtent l="0" t="0" r="0" b="0"/>
              <wp:wrapNone/>
              <wp:docPr id="1" name="Warning1" hidden="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20870" cy="407670"/>
                      </a:xfrm>
                      <a:prstGeom prst="rect">
                        <a:avLst/>
                      </a:prstGeom>
                      <a:solidFill>
                        <a:srgbClr val="FFFFFF"/>
                      </a:solidFill>
                      <a:ln w="9525">
                        <a:solidFill>
                          <a:srgbClr val="0000FF"/>
                        </a:solidFill>
                        <a:miter lim="800000"/>
                        <a:headEnd/>
                        <a:tailEnd/>
                      </a:ln>
                    </wps:spPr>
                    <wps:txbx>
                      <w:txbxContent>
                        <w:p w:rsidR="00D653E5">
                          <w:pPr>
                            <w:spacing w:line="288" w:lineRule="auto"/>
                            <w:ind w:firstLine="8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rsidR="00D653E5">
                          <w:pPr>
                            <w:spacing w:line="288" w:lineRule="auto"/>
                            <w:ind w:firstLine="34"/>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wps:txbx>
                    <wps:bodyPr rot="0" vert="horz" wrap="square" lIns="91440" tIns="75565" rIns="91440" bIns="61214"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63" type="#_x0000_t202" style="width:348.1pt;height:32.1pt;margin-top:8.8pt;margin-left:122.1pt;mso-height-percent:0;mso-height-relative:page;mso-position-horizontal-relative:page;mso-width-percent:0;mso-width-relative:page;mso-wrap-distance-bottom:0;mso-wrap-distance-left:9pt;mso-wrap-distance-right:9pt;mso-wrap-distance-top:0;mso-wrap-style:square;position:absolute;visibility:hidden;v-text-anchor:top;z-index:251675648" strokecolor="blue">
              <v:textbox inset=",5.95pt,,4.82pt">
                <w:txbxContent>
                  <w:p w:rsidR="00D653E5">
                    <w:pPr>
                      <w:spacing w:line="288" w:lineRule="auto"/>
                      <w:ind w:firstLine="8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rsidR="00D653E5">
                    <w:pPr>
                      <w:spacing w:line="288" w:lineRule="auto"/>
                      <w:ind w:firstLine="34"/>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mc:Fallback>
      </mc:AlternateContent>
    </w:r>
  </w:p>
  <w:p w:rsidR="00D653E5">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53E5">
    <w:pPr>
      <w:pStyle w:val="Footer"/>
      <w:rPr>
        <w:rtl/>
      </w:rPr>
    </w:pPr>
  </w:p>
  <w:p w:rsidR="00D653E5">
    <w:pPr>
      <w:pStyle w:val="Footer"/>
      <w:rPr>
        <w:rtl/>
      </w:rPr>
    </w:pPr>
    <w:r>
      <w:rPr>
        <w:noProof/>
        <w:rtl/>
        <w:lang w:eastAsia="en-US"/>
      </w:rPr>
      <mc:AlternateContent>
        <mc:Choice Requires="wps">
          <w:drawing>
            <wp:anchor distT="0" distB="0" distL="114300" distR="114300" simplePos="0" relativeHeight="251662336" behindDoc="0" locked="0" layoutInCell="1" allowOverlap="1" hidden="1">
              <wp:simplePos x="0" y="0"/>
              <wp:positionH relativeFrom="page">
                <wp:posOffset>1550670</wp:posOffset>
              </wp:positionH>
              <wp:positionV relativeFrom="paragraph">
                <wp:posOffset>111760</wp:posOffset>
              </wp:positionV>
              <wp:extent cx="4420870" cy="407670"/>
              <wp:effectExtent l="0" t="0" r="0" b="0"/>
              <wp:wrapNone/>
              <wp:docPr id="13" name="Warning1" hidden="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20870" cy="407670"/>
                      </a:xfrm>
                      <a:prstGeom prst="rect">
                        <a:avLst/>
                      </a:prstGeom>
                      <a:solidFill>
                        <a:srgbClr val="FFFFFF"/>
                      </a:solidFill>
                      <a:ln w="9525">
                        <a:solidFill>
                          <a:srgbClr val="0000FF"/>
                        </a:solidFill>
                        <a:miter lim="800000"/>
                        <a:headEnd/>
                        <a:tailEnd/>
                      </a:ln>
                    </wps:spPr>
                    <wps:txbx>
                      <w:txbxContent>
                        <w:p w:rsidR="00D653E5">
                          <w:pPr>
                            <w:spacing w:line="288" w:lineRule="auto"/>
                            <w:ind w:firstLine="8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rsidR="00D653E5">
                          <w:pPr>
                            <w:spacing w:line="288" w:lineRule="auto"/>
                            <w:ind w:firstLine="34"/>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wps:txbx>
                    <wps:bodyPr rot="0" vert="horz" wrap="square" lIns="91440" tIns="75565" rIns="91440" bIns="61214"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arning1" o:spid="_x0000_s2051" type="#_x0000_t202" style="width:348.1pt;height:32.1pt;margin-top:8.8pt;margin-left:122.1pt;mso-height-percent:0;mso-height-relative:page;mso-position-horizontal-relative:page;mso-width-percent:0;mso-width-relative:page;mso-wrap-distance-bottom:0;mso-wrap-distance-left:9pt;mso-wrap-distance-right:9pt;mso-wrap-distance-top:0;mso-wrap-style:square;position:absolute;visibility:hidden;v-text-anchor:top;z-index:251663360" strokecolor="blue">
              <v:textbox inset=",5.95pt,,4.82pt">
                <w:txbxContent>
                  <w:p w:rsidR="00D653E5">
                    <w:pPr>
                      <w:spacing w:line="288" w:lineRule="auto"/>
                      <w:ind w:firstLine="8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rsidR="00D653E5">
                    <w:pPr>
                      <w:spacing w:line="288" w:lineRule="auto"/>
                      <w:ind w:firstLine="34"/>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mc:Fallback>
      </mc:AlternateContent>
    </w:r>
  </w:p>
  <w:p w:rsidR="00D653E5">
    <w:pPr>
      <w:pStyle w:val="Footer"/>
      <w:rPr>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53E5">
    <w:pPr>
      <w:pStyle w:val="Footer"/>
      <w:rPr>
        <w:rtl/>
      </w:rPr>
    </w:pPr>
  </w:p>
  <w:p w:rsidR="00D653E5">
    <w:pPr>
      <w:pStyle w:val="Footer"/>
      <w:rPr>
        <w:rtl/>
      </w:rPr>
    </w:pPr>
    <w:r>
      <w:rPr>
        <w:noProof/>
        <w:rtl/>
        <w:lang w:eastAsia="en-US"/>
      </w:rPr>
      <mc:AlternateContent>
        <mc:Choice Requires="wps">
          <w:drawing>
            <wp:anchor distT="0" distB="0" distL="114300" distR="114300" simplePos="0" relativeHeight="251664384" behindDoc="0" locked="0" layoutInCell="1" allowOverlap="1" hidden="1">
              <wp:simplePos x="0" y="0"/>
              <wp:positionH relativeFrom="page">
                <wp:posOffset>1567180</wp:posOffset>
              </wp:positionH>
              <wp:positionV relativeFrom="paragraph">
                <wp:posOffset>86360</wp:posOffset>
              </wp:positionV>
              <wp:extent cx="4420870" cy="407035"/>
              <wp:effectExtent l="0" t="0" r="0" b="0"/>
              <wp:wrapNone/>
              <wp:docPr id="12" name="Warning2" hidden="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20870" cy="407035"/>
                      </a:xfrm>
                      <a:prstGeom prst="rect">
                        <a:avLst/>
                      </a:prstGeom>
                      <a:solidFill>
                        <a:srgbClr val="FFFFFF"/>
                      </a:solidFill>
                      <a:ln w="9525">
                        <a:solidFill>
                          <a:srgbClr val="0000FF"/>
                        </a:solidFill>
                        <a:miter lim="800000"/>
                        <a:headEnd/>
                        <a:tailEnd/>
                      </a:ln>
                    </wps:spPr>
                    <wps:txbx>
                      <w:txbxContent>
                        <w:p w:rsidR="00D653E5">
                          <w:pPr>
                            <w:spacing w:line="288" w:lineRule="auto"/>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rsidR="00D653E5">
                          <w:pPr>
                            <w:spacing w:line="288" w:lineRule="auto"/>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wps:txbx>
                    <wps:bodyPr rot="0" vert="horz" wrap="square" lIns="91440" tIns="75565" rIns="91440" bIns="61214"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2" type="#_x0000_t202" style="width:348.1pt;height:32.05pt;margin-top:6.8pt;margin-left:123.4pt;mso-height-percent:0;mso-height-relative:page;mso-position-horizontal-relative:page;mso-width-percent:0;mso-width-relative:page;mso-wrap-distance-bottom:0;mso-wrap-distance-left:9pt;mso-wrap-distance-right:9pt;mso-wrap-distance-top:0;mso-wrap-style:square;position:absolute;visibility:hidden;v-text-anchor:top;z-index:251665408" strokecolor="blue">
              <v:textbox inset=",5.95pt,,4.82pt">
                <w:txbxContent>
                  <w:p w:rsidR="00D653E5">
                    <w:pPr>
                      <w:spacing w:line="288" w:lineRule="auto"/>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rsidR="00D653E5">
                    <w:pPr>
                      <w:spacing w:line="288" w:lineRule="auto"/>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mc:Fallback>
      </mc:AlternateContent>
    </w:r>
  </w:p>
  <w:p w:rsidR="00D653E5">
    <w:pPr>
      <w:pStyle w:val="Footer"/>
      <w:rPr>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53E5">
    <w:pPr>
      <w:pStyle w:val="Footer"/>
      <w:rPr>
        <w:rtl/>
      </w:rPr>
    </w:pPr>
  </w:p>
  <w:p w:rsidR="00D653E5">
    <w:pPr>
      <w:pStyle w:val="Footer"/>
      <w:rPr>
        <w:rtl/>
      </w:rPr>
    </w:pPr>
    <w:r>
      <w:rPr>
        <w:noProof/>
        <w:rtl/>
        <w:lang w:eastAsia="en-US"/>
      </w:rPr>
      <mc:AlternateContent>
        <mc:Choice Requires="wps">
          <w:drawing>
            <wp:anchor distT="0" distB="0" distL="114300" distR="114300" simplePos="0" relativeHeight="251668480" behindDoc="0" locked="0" layoutInCell="1" allowOverlap="1" hidden="1">
              <wp:simplePos x="0" y="0"/>
              <wp:positionH relativeFrom="page">
                <wp:posOffset>1550670</wp:posOffset>
              </wp:positionH>
              <wp:positionV relativeFrom="paragraph">
                <wp:posOffset>111760</wp:posOffset>
              </wp:positionV>
              <wp:extent cx="4420870" cy="407670"/>
              <wp:effectExtent l="0" t="0" r="0" b="0"/>
              <wp:wrapNone/>
              <wp:docPr id="10" name="Warning1" hidden="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20870" cy="407670"/>
                      </a:xfrm>
                      <a:prstGeom prst="rect">
                        <a:avLst/>
                      </a:prstGeom>
                      <a:solidFill>
                        <a:srgbClr val="FFFFFF"/>
                      </a:solidFill>
                      <a:ln w="9525">
                        <a:solidFill>
                          <a:srgbClr val="0000FF"/>
                        </a:solidFill>
                        <a:miter lim="800000"/>
                        <a:headEnd/>
                        <a:tailEnd/>
                      </a:ln>
                    </wps:spPr>
                    <wps:txbx>
                      <w:txbxContent>
                        <w:p w:rsidR="00D653E5">
                          <w:pPr>
                            <w:spacing w:line="288" w:lineRule="auto"/>
                            <w:ind w:firstLine="80"/>
                            <w:jc w:val="center"/>
                            <w:rPr>
                              <w:rFonts w:cs="Narkisim"/>
                              <w:color w:val="0000FF"/>
                              <w:szCs w:val="18"/>
                              <w:rtl/>
                            </w:rPr>
                          </w:pPr>
                          <w:r>
                            <w:rPr>
                              <w:rFonts w:cs="Narkisim"/>
                              <w:color w:val="0000FF"/>
                              <w:szCs w:val="18"/>
                              <w:rtl/>
                            </w:rPr>
                            <w:t>מסמך זה מכיל ממצאי ביקורת של מבקר</w:t>
                          </w:r>
                          <w:r>
                            <w:rPr>
                              <w:rFonts w:cs="Narkisim"/>
                              <w:color w:val="0000FF"/>
                              <w:szCs w:val="18"/>
                              <w:rtl/>
                            </w:rPr>
                            <w:t xml:space="preserve">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rsidR="00D653E5">
                          <w:pPr>
                            <w:spacing w:line="288" w:lineRule="auto"/>
                            <w:ind w:firstLine="34"/>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wps:txbx>
                    <wps:bodyPr rot="0" vert="horz" wrap="square" lIns="91440" tIns="75565" rIns="91440" bIns="61214"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4" type="#_x0000_t202" style="width:348.1pt;height:32.1pt;margin-top:8.8pt;margin-left:122.1pt;mso-height-percent:0;mso-height-relative:page;mso-position-horizontal-relative:page;mso-width-percent:0;mso-width-relative:page;mso-wrap-distance-bottom:0;mso-wrap-distance-left:9pt;mso-wrap-distance-right:9pt;mso-wrap-distance-top:0;mso-wrap-style:square;position:absolute;visibility:hidden;v-text-anchor:top;z-index:251669504" strokecolor="blue">
              <v:textbox inset=",5.95pt,,4.82pt">
                <w:txbxContent>
                  <w:p w:rsidR="00D653E5">
                    <w:pPr>
                      <w:spacing w:line="288" w:lineRule="auto"/>
                      <w:ind w:firstLine="80"/>
                      <w:jc w:val="center"/>
                      <w:rPr>
                        <w:rFonts w:cs="Narkisim"/>
                        <w:color w:val="0000FF"/>
                        <w:szCs w:val="18"/>
                        <w:rtl/>
                      </w:rPr>
                    </w:pPr>
                    <w:r>
                      <w:rPr>
                        <w:rFonts w:cs="Narkisim"/>
                        <w:color w:val="0000FF"/>
                        <w:szCs w:val="18"/>
                        <w:rtl/>
                      </w:rPr>
                      <w:t>מסמך זה מכיל ממצאי ביקורת של מבקר</w:t>
                    </w:r>
                    <w:r>
                      <w:rPr>
                        <w:rFonts w:cs="Narkisim"/>
                        <w:color w:val="0000FF"/>
                        <w:szCs w:val="18"/>
                        <w:rtl/>
                      </w:rPr>
                      <w:t xml:space="preserve">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rsidR="00D653E5">
                    <w:pPr>
                      <w:spacing w:line="288" w:lineRule="auto"/>
                      <w:ind w:firstLine="34"/>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mc:Fallback>
      </mc:AlternateContent>
    </w:r>
  </w:p>
  <w:p w:rsidR="00D653E5">
    <w:pPr>
      <w:pStyle w:val="Footer"/>
      <w:rPr>
        <w:rt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53E5">
    <w:pPr>
      <w:pStyle w:val="Footer"/>
      <w:rPr>
        <w:rtl/>
      </w:rPr>
    </w:pPr>
  </w:p>
  <w:p w:rsidR="00D653E5">
    <w:pPr>
      <w:pStyle w:val="Footer"/>
      <w:rPr>
        <w:rtl/>
      </w:rPr>
    </w:pPr>
    <w:r>
      <w:rPr>
        <w:noProof/>
        <w:rtl/>
        <w:lang w:eastAsia="en-US"/>
      </w:rPr>
      <mc:AlternateContent>
        <mc:Choice Requires="wps">
          <w:drawing>
            <wp:anchor distT="0" distB="0" distL="114300" distR="114300" simplePos="0" relativeHeight="251676672" behindDoc="0" locked="0" layoutInCell="1" allowOverlap="1" hidden="1">
              <wp:simplePos x="0" y="0"/>
              <wp:positionH relativeFrom="page">
                <wp:posOffset>1567180</wp:posOffset>
              </wp:positionH>
              <wp:positionV relativeFrom="paragraph">
                <wp:posOffset>86360</wp:posOffset>
              </wp:positionV>
              <wp:extent cx="4420870" cy="407035"/>
              <wp:effectExtent l="0" t="0" r="0" b="0"/>
              <wp:wrapNone/>
              <wp:docPr id="9" name="Warning2" hidden="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20870" cy="407035"/>
                      </a:xfrm>
                      <a:prstGeom prst="rect">
                        <a:avLst/>
                      </a:prstGeom>
                      <a:solidFill>
                        <a:srgbClr val="FFFFFF"/>
                      </a:solidFill>
                      <a:ln w="9525">
                        <a:solidFill>
                          <a:srgbClr val="0000FF"/>
                        </a:solidFill>
                        <a:miter lim="800000"/>
                        <a:headEnd/>
                        <a:tailEnd/>
                      </a:ln>
                    </wps:spPr>
                    <wps:txbx>
                      <w:txbxContent>
                        <w:p w:rsidR="00D653E5">
                          <w:pPr>
                            <w:spacing w:line="288" w:lineRule="auto"/>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rsidR="00D653E5">
                          <w:pPr>
                            <w:spacing w:line="288" w:lineRule="auto"/>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wps:txbx>
                    <wps:bodyPr rot="0" vert="horz" wrap="square" lIns="91440" tIns="75565" rIns="91440" bIns="61214"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5" type="#_x0000_t202" style="width:348.1pt;height:32.05pt;margin-top:6.8pt;margin-left:123.4pt;mso-height-percent:0;mso-height-relative:page;mso-position-horizontal-relative:page;mso-width-percent:0;mso-width-relative:page;mso-wrap-distance-bottom:0;mso-wrap-distance-left:9pt;mso-wrap-distance-right:9pt;mso-wrap-distance-top:0;mso-wrap-style:square;position:absolute;visibility:hidden;v-text-anchor:top;z-index:251677696" strokecolor="blue">
              <v:textbox inset=",5.95pt,,4.82pt">
                <w:txbxContent>
                  <w:p w:rsidR="00D653E5">
                    <w:pPr>
                      <w:spacing w:line="288" w:lineRule="auto"/>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rsidR="00D653E5">
                    <w:pPr>
                      <w:spacing w:line="288" w:lineRule="auto"/>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mc:Fallback>
      </mc:AlternateContent>
    </w:r>
  </w:p>
  <w:p w:rsidR="00D653E5">
    <w:pPr>
      <w:pStyle w:val="Footer"/>
      <w:rPr>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53E5">
    <w:pPr>
      <w:pStyle w:val="Footer"/>
      <w:rPr>
        <w:rtl/>
      </w:rPr>
    </w:pPr>
  </w:p>
  <w:p w:rsidR="00D653E5">
    <w:pPr>
      <w:pStyle w:val="Footer"/>
      <w:rPr>
        <w:rtl/>
      </w:rPr>
    </w:pPr>
    <w:r>
      <w:rPr>
        <w:noProof/>
        <w:rtl/>
        <w:lang w:eastAsia="en-US"/>
      </w:rPr>
      <mc:AlternateContent>
        <mc:Choice Requires="wps">
          <w:drawing>
            <wp:anchor distT="0" distB="0" distL="114300" distR="114300" simplePos="0" relativeHeight="251680768" behindDoc="0" locked="0" layoutInCell="1" allowOverlap="1" hidden="1">
              <wp:simplePos x="0" y="0"/>
              <wp:positionH relativeFrom="page">
                <wp:posOffset>1550670</wp:posOffset>
              </wp:positionH>
              <wp:positionV relativeFrom="paragraph">
                <wp:posOffset>111760</wp:posOffset>
              </wp:positionV>
              <wp:extent cx="4420870" cy="407670"/>
              <wp:effectExtent l="0" t="0" r="0" b="0"/>
              <wp:wrapNone/>
              <wp:docPr id="7" name="Warning1" hidden="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20870" cy="407670"/>
                      </a:xfrm>
                      <a:prstGeom prst="rect">
                        <a:avLst/>
                      </a:prstGeom>
                      <a:solidFill>
                        <a:srgbClr val="FFFFFF"/>
                      </a:solidFill>
                      <a:ln w="9525">
                        <a:solidFill>
                          <a:srgbClr val="0000FF"/>
                        </a:solidFill>
                        <a:miter lim="800000"/>
                        <a:headEnd/>
                        <a:tailEnd/>
                      </a:ln>
                    </wps:spPr>
                    <wps:txbx>
                      <w:txbxContent>
                        <w:p w:rsidR="00D653E5">
                          <w:pPr>
                            <w:spacing w:line="288" w:lineRule="auto"/>
                            <w:ind w:firstLine="8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rsidR="00D653E5">
                          <w:pPr>
                            <w:spacing w:line="288" w:lineRule="auto"/>
                            <w:ind w:firstLine="34"/>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wps:txbx>
                    <wps:bodyPr rot="0" vert="horz" wrap="square" lIns="91440" tIns="75565" rIns="91440" bIns="61214"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7" type="#_x0000_t202" style="width:348.1pt;height:32.1pt;margin-top:8.8pt;margin-left:122.1pt;mso-height-percent:0;mso-height-relative:page;mso-position-horizontal-relative:page;mso-width-percent:0;mso-width-relative:page;mso-wrap-distance-bottom:0;mso-wrap-distance-left:9pt;mso-wrap-distance-right:9pt;mso-wrap-distance-top:0;mso-wrap-style:square;position:absolute;visibility:hidden;v-text-anchor:top;z-index:251681792" strokecolor="blue">
              <v:textbox inset=",5.95pt,,4.82pt">
                <w:txbxContent>
                  <w:p w:rsidR="00D653E5">
                    <w:pPr>
                      <w:spacing w:line="288" w:lineRule="auto"/>
                      <w:ind w:firstLine="8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rsidR="00D653E5">
                    <w:pPr>
                      <w:spacing w:line="288" w:lineRule="auto"/>
                      <w:ind w:firstLine="34"/>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mc:Fallback>
      </mc:AlternateContent>
    </w:r>
  </w:p>
  <w:p w:rsidR="00D653E5">
    <w:pPr>
      <w:pStyle w:val="Footer"/>
      <w:rPr>
        <w:rtl/>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53E5">
    <w:pPr>
      <w:pStyle w:val="Footer"/>
      <w:rPr>
        <w:rtl/>
      </w:rPr>
    </w:pPr>
  </w:p>
  <w:p w:rsidR="00D653E5">
    <w:pPr>
      <w:pStyle w:val="Footer"/>
      <w:rPr>
        <w:rtl/>
      </w:rPr>
    </w:pPr>
    <w:r>
      <w:rPr>
        <w:noProof/>
        <w:rtl/>
        <w:lang w:eastAsia="en-US"/>
      </w:rPr>
      <mc:AlternateContent>
        <mc:Choice Requires="wps">
          <w:drawing>
            <wp:anchor distT="0" distB="0" distL="114300" distR="114300" simplePos="0" relativeHeight="251682816" behindDoc="0" locked="0" layoutInCell="1" allowOverlap="1" hidden="1">
              <wp:simplePos x="0" y="0"/>
              <wp:positionH relativeFrom="page">
                <wp:posOffset>1567180</wp:posOffset>
              </wp:positionH>
              <wp:positionV relativeFrom="paragraph">
                <wp:posOffset>86360</wp:posOffset>
              </wp:positionV>
              <wp:extent cx="4420870" cy="407035"/>
              <wp:effectExtent l="0" t="0" r="0" b="0"/>
              <wp:wrapNone/>
              <wp:docPr id="6" name="Warning2" hidden="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20870" cy="407035"/>
                      </a:xfrm>
                      <a:prstGeom prst="rect">
                        <a:avLst/>
                      </a:prstGeom>
                      <a:solidFill>
                        <a:srgbClr val="FFFFFF"/>
                      </a:solidFill>
                      <a:ln w="9525">
                        <a:solidFill>
                          <a:srgbClr val="0000FF"/>
                        </a:solidFill>
                        <a:miter lim="800000"/>
                        <a:headEnd/>
                        <a:tailEnd/>
                      </a:ln>
                    </wps:spPr>
                    <wps:txbx>
                      <w:txbxContent>
                        <w:p w:rsidR="00D653E5">
                          <w:pPr>
                            <w:spacing w:line="288" w:lineRule="auto"/>
                            <w:jc w:val="center"/>
                            <w:rPr>
                              <w:rFonts w:cs="Narkisim"/>
                              <w:color w:val="0000FF"/>
                              <w:szCs w:val="18"/>
                              <w:rtl/>
                            </w:rPr>
                          </w:pPr>
                          <w:r>
                            <w:rPr>
                              <w:rFonts w:cs="Narkisim"/>
                              <w:color w:val="0000FF"/>
                              <w:szCs w:val="18"/>
                              <w:rtl/>
                            </w:rPr>
                            <w:t xml:space="preserve">מסמך זה מכיל ממצאי </w:t>
                          </w:r>
                          <w:r>
                            <w:rPr>
                              <w:rFonts w:cs="Narkisim"/>
                              <w:color w:val="0000FF"/>
                              <w:szCs w:val="18"/>
                              <w:rtl/>
                            </w:rPr>
                            <w:t>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rsidR="00D653E5">
                          <w:pPr>
                            <w:spacing w:line="288" w:lineRule="auto"/>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wps:txbx>
                    <wps:bodyPr rot="0" vert="horz" wrap="square" lIns="91440" tIns="75565" rIns="91440" bIns="61214"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348.1pt;height:32.05pt;margin-top:6.8pt;margin-left:123.4pt;mso-height-percent:0;mso-height-relative:page;mso-position-horizontal-relative:page;mso-width-percent:0;mso-width-relative:page;mso-wrap-distance-bottom:0;mso-wrap-distance-left:9pt;mso-wrap-distance-right:9pt;mso-wrap-distance-top:0;mso-wrap-style:square;position:absolute;visibility:hidden;v-text-anchor:top;z-index:251683840" strokecolor="blue">
              <v:textbox inset=",5.95pt,,4.82pt">
                <w:txbxContent>
                  <w:p w:rsidR="00D653E5">
                    <w:pPr>
                      <w:spacing w:line="288" w:lineRule="auto"/>
                      <w:jc w:val="center"/>
                      <w:rPr>
                        <w:rFonts w:cs="Narkisim"/>
                        <w:color w:val="0000FF"/>
                        <w:szCs w:val="18"/>
                        <w:rtl/>
                      </w:rPr>
                    </w:pPr>
                    <w:r>
                      <w:rPr>
                        <w:rFonts w:cs="Narkisim"/>
                        <w:color w:val="0000FF"/>
                        <w:szCs w:val="18"/>
                        <w:rtl/>
                      </w:rPr>
                      <w:t xml:space="preserve">מסמך זה מכיל ממצאי </w:t>
                    </w:r>
                    <w:r>
                      <w:rPr>
                        <w:rFonts w:cs="Narkisim"/>
                        <w:color w:val="0000FF"/>
                        <w:szCs w:val="18"/>
                        <w:rtl/>
                      </w:rPr>
                      <w:t>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rsidR="00D653E5">
                    <w:pPr>
                      <w:spacing w:line="288" w:lineRule="auto"/>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mc:Fallback>
      </mc:AlternateContent>
    </w:r>
  </w:p>
  <w:p w:rsidR="00D653E5">
    <w:pPr>
      <w:pStyle w:val="Footer"/>
      <w:rPr>
        <w:rtl/>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53E5">
    <w:pPr>
      <w:pStyle w:val="Footer"/>
      <w:rPr>
        <w:rtl/>
      </w:rPr>
    </w:pPr>
  </w:p>
  <w:p w:rsidR="00D653E5">
    <w:pPr>
      <w:pStyle w:val="Footer"/>
      <w:rPr>
        <w:rtl/>
      </w:rPr>
    </w:pPr>
    <w:r>
      <w:rPr>
        <w:noProof/>
        <w:rtl/>
        <w:lang w:eastAsia="en-US"/>
      </w:rPr>
      <mc:AlternateContent>
        <mc:Choice Requires="wps">
          <w:drawing>
            <wp:anchor distT="0" distB="0" distL="114300" distR="114300" simplePos="0" relativeHeight="251686912" behindDoc="0" locked="0" layoutInCell="1" allowOverlap="1" hidden="1">
              <wp:simplePos x="0" y="0"/>
              <wp:positionH relativeFrom="page">
                <wp:posOffset>1550670</wp:posOffset>
              </wp:positionH>
              <wp:positionV relativeFrom="paragraph">
                <wp:posOffset>111760</wp:posOffset>
              </wp:positionV>
              <wp:extent cx="4420870" cy="407670"/>
              <wp:effectExtent l="0" t="0" r="0" b="0"/>
              <wp:wrapNone/>
              <wp:docPr id="4" name="Warning1" hidden="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20870" cy="407670"/>
                      </a:xfrm>
                      <a:prstGeom prst="rect">
                        <a:avLst/>
                      </a:prstGeom>
                      <a:solidFill>
                        <a:srgbClr val="FFFFFF"/>
                      </a:solidFill>
                      <a:ln w="9525">
                        <a:solidFill>
                          <a:srgbClr val="0000FF"/>
                        </a:solidFill>
                        <a:miter lim="800000"/>
                        <a:headEnd/>
                        <a:tailEnd/>
                      </a:ln>
                    </wps:spPr>
                    <wps:txbx>
                      <w:txbxContent>
                        <w:p w:rsidR="00D653E5">
                          <w:pPr>
                            <w:spacing w:line="288" w:lineRule="auto"/>
                            <w:ind w:firstLine="8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rsidR="00D653E5">
                          <w:pPr>
                            <w:spacing w:line="288" w:lineRule="auto"/>
                            <w:ind w:firstLine="34"/>
                            <w:jc w:val="center"/>
                            <w:rPr>
                              <w:rFonts w:cs="Narkisim"/>
                              <w:color w:val="0000FF"/>
                              <w:szCs w:val="18"/>
                              <w:rtl/>
                            </w:rPr>
                          </w:pPr>
                          <w:r>
                            <w:rPr>
                              <w:rFonts w:cs="Narkisim"/>
                              <w:color w:val="0000FF"/>
                              <w:szCs w:val="18"/>
                              <w:rtl/>
                            </w:rPr>
                            <w:t>אסור על פי סעיף 28(א)(3) לח</w:t>
                          </w:r>
                          <w:r>
                            <w:rPr>
                              <w:rFonts w:cs="Narkisim"/>
                              <w:color w:val="0000FF"/>
                              <w:szCs w:val="18"/>
                              <w:rtl/>
                            </w:rPr>
                            <w:t>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wps:txbx>
                    <wps:bodyPr rot="0" vert="horz" wrap="square" lIns="91440" tIns="75565" rIns="91440" bIns="61214"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60" type="#_x0000_t202" style="width:348.1pt;height:32.1pt;margin-top:8.8pt;margin-left:122.1pt;mso-height-percent:0;mso-height-relative:page;mso-position-horizontal-relative:page;mso-width-percent:0;mso-width-relative:page;mso-wrap-distance-bottom:0;mso-wrap-distance-left:9pt;mso-wrap-distance-right:9pt;mso-wrap-distance-top:0;mso-wrap-style:square;position:absolute;visibility:hidden;v-text-anchor:top;z-index:251687936" strokecolor="blue">
              <v:textbox inset=",5.95pt,,4.82pt">
                <w:txbxContent>
                  <w:p w:rsidR="00D653E5">
                    <w:pPr>
                      <w:spacing w:line="288" w:lineRule="auto"/>
                      <w:ind w:firstLine="8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rsidR="00D653E5">
                    <w:pPr>
                      <w:spacing w:line="288" w:lineRule="auto"/>
                      <w:ind w:firstLine="34"/>
                      <w:jc w:val="center"/>
                      <w:rPr>
                        <w:rFonts w:cs="Narkisim"/>
                        <w:color w:val="0000FF"/>
                        <w:szCs w:val="18"/>
                        <w:rtl/>
                      </w:rPr>
                    </w:pPr>
                    <w:r>
                      <w:rPr>
                        <w:rFonts w:cs="Narkisim"/>
                        <w:color w:val="0000FF"/>
                        <w:szCs w:val="18"/>
                        <w:rtl/>
                      </w:rPr>
                      <w:t>אסור על פי סעיף 28(א)(3) לח</w:t>
                    </w:r>
                    <w:r>
                      <w:rPr>
                        <w:rFonts w:cs="Narkisim"/>
                        <w:color w:val="0000FF"/>
                        <w:szCs w:val="18"/>
                        <w:rtl/>
                      </w:rPr>
                      <w:t>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mc:Fallback>
      </mc:AlternateContent>
    </w:r>
  </w:p>
  <w:p w:rsidR="00D653E5">
    <w:pPr>
      <w:pStyle w:val="Footer"/>
      <w:rPr>
        <w:rtl/>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53E5">
    <w:pPr>
      <w:pStyle w:val="Footer"/>
      <w:rPr>
        <w:rtl/>
      </w:rPr>
    </w:pPr>
  </w:p>
  <w:p w:rsidR="00D653E5">
    <w:pPr>
      <w:pStyle w:val="Footer"/>
      <w:rPr>
        <w:rtl/>
      </w:rPr>
    </w:pPr>
    <w:r>
      <w:rPr>
        <w:noProof/>
        <w:rtl/>
        <w:lang w:eastAsia="en-US"/>
      </w:rPr>
      <mc:AlternateContent>
        <mc:Choice Requires="wps">
          <w:drawing>
            <wp:anchor distT="0" distB="0" distL="114300" distR="114300" simplePos="0" relativeHeight="251670528" behindDoc="0" locked="0" layoutInCell="1" allowOverlap="1" hidden="1">
              <wp:simplePos x="0" y="0"/>
              <wp:positionH relativeFrom="page">
                <wp:posOffset>1567180</wp:posOffset>
              </wp:positionH>
              <wp:positionV relativeFrom="paragraph">
                <wp:posOffset>86360</wp:posOffset>
              </wp:positionV>
              <wp:extent cx="4420870" cy="407035"/>
              <wp:effectExtent l="0" t="0" r="0" b="0"/>
              <wp:wrapNone/>
              <wp:docPr id="3" name="Warning2" hidden="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20870" cy="407035"/>
                      </a:xfrm>
                      <a:prstGeom prst="rect">
                        <a:avLst/>
                      </a:prstGeom>
                      <a:solidFill>
                        <a:srgbClr val="FFFFFF"/>
                      </a:solidFill>
                      <a:ln w="9525">
                        <a:solidFill>
                          <a:srgbClr val="0000FF"/>
                        </a:solidFill>
                        <a:miter lim="800000"/>
                        <a:headEnd/>
                        <a:tailEnd/>
                      </a:ln>
                    </wps:spPr>
                    <wps:txbx>
                      <w:txbxContent>
                        <w:p w:rsidR="00D653E5">
                          <w:pPr>
                            <w:spacing w:line="288" w:lineRule="auto"/>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rsidR="00D653E5">
                          <w:pPr>
                            <w:spacing w:line="288" w:lineRule="auto"/>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wps:txbx>
                    <wps:bodyPr rot="0" vert="horz" wrap="square" lIns="91440" tIns="75565" rIns="91440" bIns="61214"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348.1pt;height:32.05pt;margin-top:6.8pt;margin-left:123.4pt;mso-height-percent:0;mso-height-relative:page;mso-position-horizontal-relative:page;mso-width-percent:0;mso-width-relative:page;mso-wrap-distance-bottom:0;mso-wrap-distance-left:9pt;mso-wrap-distance-right:9pt;mso-wrap-distance-top:0;mso-wrap-style:square;position:absolute;visibility:hidden;v-text-anchor:top;z-index:251671552" strokecolor="blue">
              <v:textbox inset=",5.95pt,,4.82pt">
                <w:txbxContent>
                  <w:p w:rsidR="00D653E5">
                    <w:pPr>
                      <w:spacing w:line="288" w:lineRule="auto"/>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rsidR="00D653E5">
                    <w:pPr>
                      <w:spacing w:line="288" w:lineRule="auto"/>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mc:Fallback>
      </mc:AlternateContent>
    </w:r>
  </w:p>
  <w:p w:rsidR="00D653E5">
    <w:pPr>
      <w:pStyle w:val="Footer"/>
      <w:rPr>
        <w:rt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53E5">
    <w:pPr>
      <w:pStyle w:val="Head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fldChar w:fldCharType="end"/>
    </w:r>
  </w:p>
  <w:p w:rsidR="00D653E5">
    <w:pPr>
      <w:pStyle w:val="Header"/>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53E5">
    <w:pPr>
      <w:pStyle w:val="Header"/>
      <w:framePr w:wrap="around" w:vAnchor="text" w:hAnchor="margin" w:xAlign="center" w:y="1"/>
      <w:rPr>
        <w:rStyle w:val="PageNumber"/>
        <w:rtl/>
      </w:rPr>
    </w:pPr>
    <w:r>
      <w:rPr>
        <w:rStyle w:val="PageNumber"/>
        <w:rFonts w:hint="cs"/>
        <w:rtl/>
      </w:rPr>
      <w:t xml:space="preserve">- </w:t>
    </w: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2</w:t>
    </w:r>
    <w:r>
      <w:rPr>
        <w:rStyle w:val="PageNumber"/>
        <w:rtl/>
      </w:rPr>
      <w:fldChar w:fldCharType="end"/>
    </w:r>
    <w:r>
      <w:rPr>
        <w:rStyle w:val="PageNumber"/>
        <w:rFonts w:hint="cs"/>
        <w:rtl/>
      </w:rPr>
      <w:t xml:space="preserve"> -</w:t>
    </w:r>
  </w:p>
  <w:p w:rsidR="00D653E5">
    <w:pPr>
      <w:pStyle w:val="Header"/>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53E5">
    <w:pPr>
      <w:pStyle w:val="Header"/>
      <w:rPr>
        <w:rFonts w:cs="Miriam"/>
        <w:color w:val="0000FF"/>
        <w:rtl/>
      </w:rPr>
    </w:pPr>
    <w:r>
      <w:rPr>
        <w:noProof/>
        <w:rtl/>
        <w:lang w:eastAsia="en-US"/>
      </w:rPr>
      <mc:AlternateContent>
        <mc:Choice Requires="wps">
          <w:drawing>
            <wp:anchor distT="0" distB="0" distL="114300" distR="114300" simplePos="0" relativeHeight="251660288" behindDoc="0" locked="0" layoutInCell="1" allowOverlap="1" hidden="1">
              <wp:simplePos x="0" y="0"/>
              <wp:positionH relativeFrom="column">
                <wp:posOffset>4189095</wp:posOffset>
              </wp:positionH>
              <wp:positionV relativeFrom="paragraph">
                <wp:posOffset>117475</wp:posOffset>
              </wp:positionV>
              <wp:extent cx="1498600" cy="247650"/>
              <wp:effectExtent l="0" t="0" r="0" b="0"/>
              <wp:wrapNone/>
              <wp:docPr id="14" name="HeadOne" hidden="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98600" cy="2476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53E5">
                          <w:pPr>
                            <w:rPr>
                              <w:rtl/>
                            </w:rPr>
                          </w:pPr>
                          <w:r>
                            <w:rPr>
                              <w:rFonts w:cs="Miriam" w:hint="cs"/>
                              <w:color w:val="0000FF"/>
                              <w:sz w:val="27"/>
                              <w:szCs w:val="27"/>
                              <w:rtl/>
                            </w:rPr>
                            <w:t>משרד מבקר המדינה</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HeadOne" o:spid="_x0000_s2050" type="#_x0000_t202" style="width:118pt;height:19.5pt;margin-top:9.25pt;margin-left:329.85pt;mso-height-percent:0;mso-height-relative:page;mso-width-percent:0;mso-width-relative:page;mso-wrap-distance-bottom:0;mso-wrap-distance-left:9pt;mso-wrap-distance-right:9pt;mso-wrap-distance-top:0;mso-wrap-style:square;position:absolute;visibility:hidden;v-text-anchor:top;z-index:251661312" stroked="f">
              <v:textbox>
                <w:txbxContent>
                  <w:p w:rsidR="00D653E5">
                    <w:pPr>
                      <w:rPr>
                        <w:rtl/>
                      </w:rPr>
                    </w:pPr>
                    <w:r>
                      <w:rPr>
                        <w:rFonts w:cs="Miriam" w:hint="cs"/>
                        <w:color w:val="0000FF"/>
                        <w:sz w:val="27"/>
                        <w:szCs w:val="27"/>
                        <w:rtl/>
                      </w:rPr>
                      <w:t>משרד מבקר המדינה</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53E5">
    <w:pPr>
      <w:pStyle w:val="Header"/>
      <w:rPr>
        <w:rFonts w:cs="Miriam"/>
        <w:color w:val="0000FF"/>
        <w:rtl/>
      </w:rPr>
    </w:pPr>
    <w:r>
      <w:rPr>
        <w:noProof/>
        <w:rtl/>
        <w:lang w:eastAsia="en-US"/>
      </w:rPr>
      <mc:AlternateContent>
        <mc:Choice Requires="wps">
          <w:drawing>
            <wp:anchor distT="0" distB="0" distL="114300" distR="114300" simplePos="0" relativeHeight="251666432" behindDoc="0" locked="0" layoutInCell="1" allowOverlap="1" hidden="1">
              <wp:simplePos x="0" y="0"/>
              <wp:positionH relativeFrom="column">
                <wp:posOffset>4189095</wp:posOffset>
              </wp:positionH>
              <wp:positionV relativeFrom="paragraph">
                <wp:posOffset>117475</wp:posOffset>
              </wp:positionV>
              <wp:extent cx="1498600" cy="247650"/>
              <wp:effectExtent l="0" t="0" r="0" b="0"/>
              <wp:wrapNone/>
              <wp:docPr id="11" name="HeadOne" hidden="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98600" cy="2476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53E5">
                          <w:pPr>
                            <w:rPr>
                              <w:rtl/>
                            </w:rPr>
                          </w:pPr>
                          <w:r>
                            <w:rPr>
                              <w:rFonts w:cs="Miriam" w:hint="cs"/>
                              <w:color w:val="0000FF"/>
                              <w:sz w:val="27"/>
                              <w:szCs w:val="27"/>
                              <w:rtl/>
                            </w:rPr>
                            <w:t>משרד מבקר המדינה</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3" type="#_x0000_t202" style="width:118pt;height:19.5pt;margin-top:9.25pt;margin-left:329.85pt;mso-height-percent:0;mso-height-relative:page;mso-width-percent:0;mso-width-relative:page;mso-wrap-distance-bottom:0;mso-wrap-distance-left:9pt;mso-wrap-distance-right:9pt;mso-wrap-distance-top:0;mso-wrap-style:square;position:absolute;visibility:hidden;v-text-anchor:top;z-index:251667456" stroked="f">
              <v:textbox>
                <w:txbxContent>
                  <w:p w:rsidR="00D653E5">
                    <w:pPr>
                      <w:rPr>
                        <w:rtl/>
                      </w:rPr>
                    </w:pPr>
                    <w:r>
                      <w:rPr>
                        <w:rFonts w:cs="Miriam" w:hint="cs"/>
                        <w:color w:val="0000FF"/>
                        <w:sz w:val="27"/>
                        <w:szCs w:val="27"/>
                        <w:rtl/>
                      </w:rPr>
                      <w:t>משרד מבקר המדינה</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53E5">
    <w:pPr>
      <w:pStyle w:val="Header"/>
      <w:rPr>
        <w:rFonts w:cs="Miriam"/>
        <w:color w:val="0000FF"/>
        <w:rtl/>
      </w:rPr>
    </w:pPr>
    <w:r>
      <w:rPr>
        <w:noProof/>
        <w:rtl/>
        <w:lang w:eastAsia="en-US"/>
      </w:rPr>
      <mc:AlternateContent>
        <mc:Choice Requires="wps">
          <w:drawing>
            <wp:anchor distT="0" distB="0" distL="114300" distR="114300" simplePos="0" relativeHeight="251678720" behindDoc="0" locked="0" layoutInCell="1" allowOverlap="1" hidden="1">
              <wp:simplePos x="0" y="0"/>
              <wp:positionH relativeFrom="column">
                <wp:posOffset>4189095</wp:posOffset>
              </wp:positionH>
              <wp:positionV relativeFrom="paragraph">
                <wp:posOffset>117475</wp:posOffset>
              </wp:positionV>
              <wp:extent cx="1498600" cy="247650"/>
              <wp:effectExtent l="0" t="0" r="0" b="0"/>
              <wp:wrapNone/>
              <wp:docPr id="8" name="HeadOne" hidden="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98600" cy="2476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53E5">
                          <w:pPr>
                            <w:rPr>
                              <w:rtl/>
                            </w:rPr>
                          </w:pPr>
                          <w:r>
                            <w:rPr>
                              <w:rFonts w:cs="Miriam" w:hint="cs"/>
                              <w:color w:val="0000FF"/>
                              <w:sz w:val="27"/>
                              <w:szCs w:val="27"/>
                              <w:rtl/>
                            </w:rPr>
                            <w:t>משרד מבקר המדינה</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6" type="#_x0000_t202" style="width:118pt;height:19.5pt;margin-top:9.25pt;margin-left:329.85pt;mso-height-percent:0;mso-height-relative:page;mso-width-percent:0;mso-width-relative:page;mso-wrap-distance-bottom:0;mso-wrap-distance-left:9pt;mso-wrap-distance-right:9pt;mso-wrap-distance-top:0;mso-wrap-style:square;position:absolute;visibility:hidden;v-text-anchor:top;z-index:251679744" stroked="f">
              <v:textbox>
                <w:txbxContent>
                  <w:p w:rsidR="00D653E5">
                    <w:pPr>
                      <w:rPr>
                        <w:rtl/>
                      </w:rPr>
                    </w:pPr>
                    <w:r>
                      <w:rPr>
                        <w:rFonts w:cs="Miriam" w:hint="cs"/>
                        <w:color w:val="0000FF"/>
                        <w:sz w:val="27"/>
                        <w:szCs w:val="27"/>
                        <w:rtl/>
                      </w:rPr>
                      <w:t>משרד מבקר המדינה</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53E5">
    <w:pPr>
      <w:pStyle w:val="Header"/>
      <w:rPr>
        <w:rFonts w:cs="Miriam"/>
        <w:color w:val="0000FF"/>
        <w:rtl/>
      </w:rPr>
    </w:pPr>
    <w:r>
      <w:rPr>
        <w:noProof/>
        <w:rtl/>
        <w:lang w:eastAsia="en-US"/>
      </w:rPr>
      <mc:AlternateContent>
        <mc:Choice Requires="wps">
          <w:drawing>
            <wp:anchor distT="0" distB="0" distL="114300" distR="114300" simplePos="0" relativeHeight="251684864" behindDoc="0" locked="0" layoutInCell="1" allowOverlap="1" hidden="1">
              <wp:simplePos x="0" y="0"/>
              <wp:positionH relativeFrom="column">
                <wp:posOffset>4189095</wp:posOffset>
              </wp:positionH>
              <wp:positionV relativeFrom="paragraph">
                <wp:posOffset>117475</wp:posOffset>
              </wp:positionV>
              <wp:extent cx="1498600" cy="247650"/>
              <wp:effectExtent l="0" t="0" r="0" b="0"/>
              <wp:wrapNone/>
              <wp:docPr id="5" name="HeadOne" hidden="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98600" cy="2476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53E5">
                          <w:pPr>
                            <w:rPr>
                              <w:rtl/>
                            </w:rPr>
                          </w:pPr>
                          <w:r>
                            <w:rPr>
                              <w:rFonts w:cs="Miriam" w:hint="cs"/>
                              <w:color w:val="0000FF"/>
                              <w:sz w:val="27"/>
                              <w:szCs w:val="27"/>
                              <w:rtl/>
                            </w:rPr>
                            <w:t>משרד מבקר המדינה</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9" type="#_x0000_t202" style="width:118pt;height:19.5pt;margin-top:9.25pt;margin-left:329.85pt;mso-height-percent:0;mso-height-relative:page;mso-width-percent:0;mso-width-relative:page;mso-wrap-distance-bottom:0;mso-wrap-distance-left:9pt;mso-wrap-distance-right:9pt;mso-wrap-distance-top:0;mso-wrap-style:square;position:absolute;visibility:hidden;v-text-anchor:top;z-index:251685888" stroked="f">
              <v:textbox>
                <w:txbxContent>
                  <w:p w:rsidR="00D653E5">
                    <w:pPr>
                      <w:rPr>
                        <w:rtl/>
                      </w:rPr>
                    </w:pPr>
                    <w:r>
                      <w:rPr>
                        <w:rFonts w:cs="Miriam" w:hint="cs"/>
                        <w:color w:val="0000FF"/>
                        <w:sz w:val="27"/>
                        <w:szCs w:val="27"/>
                        <w:rtl/>
                      </w:rPr>
                      <w:t>משרד מבקר המדינה</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53E5">
    <w:pPr>
      <w:pStyle w:val="Header"/>
      <w:framePr w:wrap="around" w:vAnchor="text" w:hAnchor="margin" w:xAlign="center" w:y="1"/>
      <w:rPr>
        <w:rStyle w:val="PageNumber"/>
        <w:rtl/>
      </w:rPr>
    </w:pPr>
    <w:r>
      <w:rPr>
        <w:rStyle w:val="PageNumber"/>
        <w:rFonts w:hint="cs"/>
        <w:rtl/>
      </w:rPr>
      <w:t xml:space="preserve">- </w:t>
    </w:r>
    <w:r>
      <w:rPr>
        <w:rStyle w:val="PageNumber"/>
        <w:rtl/>
      </w:rPr>
      <w:fldChar w:fldCharType="begin"/>
    </w:r>
    <w:r>
      <w:rPr>
        <w:rStyle w:val="PageNumber"/>
      </w:rPr>
      <w:instrText xml:space="preserve">PAGE </w:instrText>
    </w:r>
    <w:r>
      <w:rPr>
        <w:rStyle w:val="PageNumber"/>
      </w:rPr>
      <w:instrText xml:space="preserve"> </w:instrText>
    </w:r>
    <w:r>
      <w:rPr>
        <w:rStyle w:val="PageNumber"/>
        <w:rtl/>
      </w:rPr>
      <w:fldChar w:fldCharType="separate"/>
    </w:r>
    <w:r>
      <w:rPr>
        <w:rStyle w:val="PageNumber"/>
        <w:rtl/>
      </w:rPr>
      <w:t>3</w:t>
    </w:r>
    <w:r>
      <w:rPr>
        <w:rStyle w:val="PageNumber"/>
        <w:rtl/>
      </w:rPr>
      <w:fldChar w:fldCharType="end"/>
    </w:r>
    <w:r>
      <w:rPr>
        <w:rStyle w:val="PageNumber"/>
        <w:rFonts w:hint="cs"/>
        <w:rtl/>
      </w:rPr>
      <w:t xml:space="preserve"> -</w:t>
    </w:r>
  </w:p>
  <w:p w:rsidR="00D653E5">
    <w:pPr>
      <w:pStyle w:val="Header"/>
      <w:rPr>
        <w:rt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53E5">
    <w:pPr>
      <w:pStyle w:val="Header"/>
      <w:rPr>
        <w:rFonts w:cs="Miriam"/>
        <w:color w:val="0000FF"/>
        <w:rtl/>
      </w:rPr>
    </w:pPr>
    <w:r>
      <w:rPr>
        <w:noProof/>
        <w:rtl/>
        <w:lang w:eastAsia="en-US"/>
      </w:rPr>
      <mc:AlternateContent>
        <mc:Choice Requires="wps">
          <w:drawing>
            <wp:anchor distT="0" distB="0" distL="114300" distR="114300" simplePos="0" relativeHeight="251672576" behindDoc="0" locked="0" layoutInCell="1" allowOverlap="1" hidden="1">
              <wp:simplePos x="0" y="0"/>
              <wp:positionH relativeFrom="column">
                <wp:posOffset>4189095</wp:posOffset>
              </wp:positionH>
              <wp:positionV relativeFrom="paragraph">
                <wp:posOffset>117475</wp:posOffset>
              </wp:positionV>
              <wp:extent cx="1498600" cy="247650"/>
              <wp:effectExtent l="0" t="0" r="0" b="0"/>
              <wp:wrapNone/>
              <wp:docPr id="2" name="HeadOne" hidden="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98600" cy="2476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53E5">
                          <w:pPr>
                            <w:rPr>
                              <w:rtl/>
                            </w:rPr>
                          </w:pPr>
                          <w:r>
                            <w:rPr>
                              <w:rFonts w:cs="Miriam" w:hint="cs"/>
                              <w:color w:val="0000FF"/>
                              <w:sz w:val="27"/>
                              <w:szCs w:val="27"/>
                              <w:rtl/>
                            </w:rPr>
                            <w:t>משרד מבקר המדינה</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62" type="#_x0000_t202" style="width:118pt;height:19.5pt;margin-top:9.25pt;margin-left:329.85pt;mso-height-percent:0;mso-height-relative:page;mso-width-percent:0;mso-width-relative:page;mso-wrap-distance-bottom:0;mso-wrap-distance-left:9pt;mso-wrap-distance-right:9pt;mso-wrap-distance-top:0;mso-wrap-style:square;position:absolute;visibility:hidden;v-text-anchor:top;z-index:251673600" stroked="f">
              <v:textbox>
                <w:txbxContent>
                  <w:p w:rsidR="00D653E5">
                    <w:pPr>
                      <w:rPr>
                        <w:rtl/>
                      </w:rPr>
                    </w:pPr>
                    <w:r>
                      <w:rPr>
                        <w:rFonts w:cs="Miriam" w:hint="cs"/>
                        <w:color w:val="0000FF"/>
                        <w:sz w:val="27"/>
                        <w:szCs w:val="27"/>
                        <w:rtl/>
                      </w:rPr>
                      <w:t>משרד מבקר המדינה</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3443390D"/>
    <w:multiLevelType w:val="singleLevel"/>
    <w:tmpl w:val="A07AD338"/>
    <w:lvl w:ilvl="0">
      <w:start w:val="1"/>
      <w:numFmt w:val="upperRoman"/>
      <w:lvlText w:val="%1."/>
      <w:lvlJc w:val="center"/>
      <w:pPr>
        <w:tabs>
          <w:tab w:val="num" w:pos="648"/>
        </w:tabs>
        <w:ind w:left="648" w:right="648" w:hanging="360"/>
      </w:pPr>
    </w:lvl>
  </w:abstractNum>
  <w:abstractNum w:abstractNumId="2">
    <w:nsid w:val="397A3339"/>
    <w:multiLevelType w:val="hybridMultilevel"/>
    <w:tmpl w:val="AF109DE2"/>
    <w:lvl w:ilvl="0">
      <w:start w:val="1"/>
      <w:numFmt w:val="decimal"/>
      <w:lvlText w:val="%1."/>
      <w:lvlJc w:val="left"/>
      <w:pPr>
        <w:tabs>
          <w:tab w:val="num" w:pos="732"/>
        </w:tabs>
        <w:ind w:left="732" w:right="732" w:hanging="360"/>
      </w:pPr>
    </w:lvl>
    <w:lvl w:ilvl="1" w:tentative="1">
      <w:start w:val="1"/>
      <w:numFmt w:val="lowerLetter"/>
      <w:lvlText w:val="%2."/>
      <w:lvlJc w:val="left"/>
      <w:pPr>
        <w:tabs>
          <w:tab w:val="num" w:pos="1452"/>
        </w:tabs>
        <w:ind w:left="1452" w:right="1452" w:hanging="360"/>
      </w:pPr>
    </w:lvl>
    <w:lvl w:ilvl="2" w:tentative="1">
      <w:start w:val="1"/>
      <w:numFmt w:val="lowerRoman"/>
      <w:lvlText w:val="%3."/>
      <w:lvlJc w:val="right"/>
      <w:pPr>
        <w:tabs>
          <w:tab w:val="num" w:pos="2172"/>
        </w:tabs>
        <w:ind w:left="2172" w:right="2172" w:hanging="180"/>
      </w:pPr>
    </w:lvl>
    <w:lvl w:ilvl="3" w:tentative="1">
      <w:start w:val="1"/>
      <w:numFmt w:val="decimal"/>
      <w:lvlText w:val="%4."/>
      <w:lvlJc w:val="left"/>
      <w:pPr>
        <w:tabs>
          <w:tab w:val="num" w:pos="2892"/>
        </w:tabs>
        <w:ind w:left="2892" w:right="2892" w:hanging="360"/>
      </w:pPr>
    </w:lvl>
    <w:lvl w:ilvl="4" w:tentative="1">
      <w:start w:val="1"/>
      <w:numFmt w:val="lowerLetter"/>
      <w:lvlText w:val="%5."/>
      <w:lvlJc w:val="left"/>
      <w:pPr>
        <w:tabs>
          <w:tab w:val="num" w:pos="3612"/>
        </w:tabs>
        <w:ind w:left="3612" w:right="3612" w:hanging="360"/>
      </w:pPr>
    </w:lvl>
    <w:lvl w:ilvl="5" w:tentative="1">
      <w:start w:val="1"/>
      <w:numFmt w:val="lowerRoman"/>
      <w:lvlText w:val="%6."/>
      <w:lvlJc w:val="right"/>
      <w:pPr>
        <w:tabs>
          <w:tab w:val="num" w:pos="4332"/>
        </w:tabs>
        <w:ind w:left="4332" w:right="4332" w:hanging="180"/>
      </w:pPr>
    </w:lvl>
    <w:lvl w:ilvl="6" w:tentative="1">
      <w:start w:val="1"/>
      <w:numFmt w:val="decimal"/>
      <w:lvlText w:val="%7."/>
      <w:lvlJc w:val="left"/>
      <w:pPr>
        <w:tabs>
          <w:tab w:val="num" w:pos="5052"/>
        </w:tabs>
        <w:ind w:left="5052" w:right="5052" w:hanging="360"/>
      </w:pPr>
    </w:lvl>
    <w:lvl w:ilvl="7" w:tentative="1">
      <w:start w:val="1"/>
      <w:numFmt w:val="lowerLetter"/>
      <w:lvlText w:val="%8."/>
      <w:lvlJc w:val="left"/>
      <w:pPr>
        <w:tabs>
          <w:tab w:val="num" w:pos="5772"/>
        </w:tabs>
        <w:ind w:left="5772" w:right="5772" w:hanging="360"/>
      </w:pPr>
    </w:lvl>
    <w:lvl w:ilvl="8" w:tentative="1">
      <w:start w:val="1"/>
      <w:numFmt w:val="lowerRoman"/>
      <w:lvlText w:val="%9."/>
      <w:lvlJc w:val="right"/>
      <w:pPr>
        <w:tabs>
          <w:tab w:val="num" w:pos="6492"/>
        </w:tabs>
        <w:ind w:left="6492" w:right="6492" w:hanging="180"/>
      </w:pPr>
    </w:lvl>
  </w:abstractNum>
  <w:abstractNum w:abstractNumId="3">
    <w:nsid w:val="3EBF7946"/>
    <w:multiLevelType w:val="hybridMultilevel"/>
    <w:tmpl w:val="AFF84222"/>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4">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5">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6">
    <w:nsid w:val="6A1C7FB5"/>
    <w:multiLevelType w:val="singleLevel"/>
    <w:tmpl w:val="CB646ABA"/>
    <w:lvl w:ilvl="0">
      <w:start w:val="1"/>
      <w:numFmt w:val="hebrew1"/>
      <w:lvlText w:val="%1."/>
      <w:lvlJc w:val="center"/>
      <w:pPr>
        <w:tabs>
          <w:tab w:val="num" w:pos="797"/>
        </w:tabs>
        <w:ind w:left="797" w:right="797" w:hanging="360"/>
      </w:pPr>
    </w:lvl>
  </w:abstractNum>
  <w:abstractNum w:abstractNumId="7">
    <w:nsid w:val="79853964"/>
    <w:multiLevelType w:val="hybridMultilevel"/>
    <w:tmpl w:val="BBD68FD6"/>
    <w:lvl w:ilvl="0">
      <w:start w:val="1"/>
      <w:numFmt w:val="decimal"/>
      <w:lvlText w:val="%1."/>
      <w:lvlJc w:val="left"/>
      <w:pPr>
        <w:tabs>
          <w:tab w:val="num" w:pos="732"/>
        </w:tabs>
        <w:ind w:left="732" w:right="732" w:hanging="360"/>
      </w:pPr>
    </w:lvl>
    <w:lvl w:ilvl="1" w:tentative="1">
      <w:start w:val="1"/>
      <w:numFmt w:val="lowerLetter"/>
      <w:lvlText w:val="%2."/>
      <w:lvlJc w:val="left"/>
      <w:pPr>
        <w:tabs>
          <w:tab w:val="num" w:pos="1452"/>
        </w:tabs>
        <w:ind w:left="1452" w:right="1452" w:hanging="360"/>
      </w:pPr>
    </w:lvl>
    <w:lvl w:ilvl="2" w:tentative="1">
      <w:start w:val="1"/>
      <w:numFmt w:val="lowerRoman"/>
      <w:lvlText w:val="%3."/>
      <w:lvlJc w:val="right"/>
      <w:pPr>
        <w:tabs>
          <w:tab w:val="num" w:pos="2172"/>
        </w:tabs>
        <w:ind w:left="2172" w:right="2172" w:hanging="180"/>
      </w:pPr>
    </w:lvl>
    <w:lvl w:ilvl="3" w:tentative="1">
      <w:start w:val="1"/>
      <w:numFmt w:val="decimal"/>
      <w:lvlText w:val="%4."/>
      <w:lvlJc w:val="left"/>
      <w:pPr>
        <w:tabs>
          <w:tab w:val="num" w:pos="2892"/>
        </w:tabs>
        <w:ind w:left="2892" w:right="2892" w:hanging="360"/>
      </w:pPr>
    </w:lvl>
    <w:lvl w:ilvl="4" w:tentative="1">
      <w:start w:val="1"/>
      <w:numFmt w:val="lowerLetter"/>
      <w:lvlText w:val="%5."/>
      <w:lvlJc w:val="left"/>
      <w:pPr>
        <w:tabs>
          <w:tab w:val="num" w:pos="3612"/>
        </w:tabs>
        <w:ind w:left="3612" w:right="3612" w:hanging="360"/>
      </w:pPr>
    </w:lvl>
    <w:lvl w:ilvl="5" w:tentative="1">
      <w:start w:val="1"/>
      <w:numFmt w:val="lowerRoman"/>
      <w:lvlText w:val="%6."/>
      <w:lvlJc w:val="right"/>
      <w:pPr>
        <w:tabs>
          <w:tab w:val="num" w:pos="4332"/>
        </w:tabs>
        <w:ind w:left="4332" w:right="4332" w:hanging="180"/>
      </w:pPr>
    </w:lvl>
    <w:lvl w:ilvl="6" w:tentative="1">
      <w:start w:val="1"/>
      <w:numFmt w:val="decimal"/>
      <w:lvlText w:val="%7."/>
      <w:lvlJc w:val="left"/>
      <w:pPr>
        <w:tabs>
          <w:tab w:val="num" w:pos="5052"/>
        </w:tabs>
        <w:ind w:left="5052" w:right="5052" w:hanging="360"/>
      </w:pPr>
    </w:lvl>
    <w:lvl w:ilvl="7" w:tentative="1">
      <w:start w:val="1"/>
      <w:numFmt w:val="lowerLetter"/>
      <w:lvlText w:val="%8."/>
      <w:lvlJc w:val="left"/>
      <w:pPr>
        <w:tabs>
          <w:tab w:val="num" w:pos="5772"/>
        </w:tabs>
        <w:ind w:left="5772" w:right="5772" w:hanging="360"/>
      </w:pPr>
    </w:lvl>
    <w:lvl w:ilvl="8" w:tentative="1">
      <w:start w:val="1"/>
      <w:numFmt w:val="lowerRoman"/>
      <w:lvlText w:val="%9."/>
      <w:lvlJc w:val="right"/>
      <w:pPr>
        <w:tabs>
          <w:tab w:val="num" w:pos="6492"/>
        </w:tabs>
        <w:ind w:left="6492" w:right="6492" w:hanging="180"/>
      </w:pPr>
    </w:lvl>
  </w:abstractNum>
  <w:num w:numId="1">
    <w:abstractNumId w:val="4"/>
  </w:num>
  <w:num w:numId="2">
    <w:abstractNumId w:val="4"/>
  </w:num>
  <w:num w:numId="3">
    <w:abstractNumId w:val="4"/>
  </w:num>
  <w:num w:numId="4">
    <w:abstractNumId w:val="1"/>
  </w:num>
  <w:num w:numId="5">
    <w:abstractNumId w:val="6"/>
  </w:num>
  <w:num w:numId="6">
    <w:abstractNumId w:val="6"/>
  </w:num>
  <w:num w:numId="7">
    <w:abstractNumId w:val="4"/>
  </w:num>
  <w:num w:numId="8">
    <w:abstractNumId w:val="4"/>
  </w:num>
  <w:num w:numId="9">
    <w:abstractNumId w:val="6"/>
  </w:num>
  <w:num w:numId="10">
    <w:abstractNumId w:val="4"/>
  </w:num>
  <w:num w:numId="11">
    <w:abstractNumId w:val="6"/>
  </w:num>
  <w:num w:numId="12">
    <w:abstractNumId w:val="5"/>
  </w:num>
  <w:num w:numId="13">
    <w:abstractNumId w:val="0"/>
  </w:num>
  <w:num w:numId="14">
    <w:abstractNumId w:val="3"/>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drawingGridHorizontalSpacing w:val="72"/>
  <w:drawingGridVerticalSpacing w:val="98"/>
  <w:displayHorizontalDrawingGridEvery w:val="2"/>
  <w:displayVerticalDrawingGridEvery w:val="2"/>
  <w:noPunctuationKerning/>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3E5"/>
    <w:rsid w:val="00D653E5"/>
    <w:rsid w:val="00FD4386"/>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bidi/>
      <w:spacing w:line="312" w:lineRule="auto"/>
      <w:jc w:val="both"/>
    </w:pPr>
    <w:rPr>
      <w:rFonts w:cs="David"/>
      <w:sz w:val="24"/>
      <w:szCs w:val="24"/>
      <w:lang w:eastAsia="he-IL"/>
    </w:rPr>
  </w:style>
  <w:style w:type="paragraph" w:styleId="Heading1">
    <w:name w:val="heading 1"/>
    <w:basedOn w:val="Normal"/>
    <w:next w:val="Normal"/>
    <w:uiPriority w:val="9"/>
    <w:qFormat/>
    <w:pPr>
      <w:keepNext/>
      <w:spacing w:before="240" w:after="60"/>
      <w:jc w:val="center"/>
      <w:outlineLvl w:val="0"/>
    </w:pPr>
    <w:rPr>
      <w:rFonts w:cs="Times New Roman"/>
      <w:b/>
      <w:bCs/>
      <w:kern w:val="32"/>
      <w:sz w:val="32"/>
      <w:szCs w:val="32"/>
      <w:u w:val="single"/>
    </w:rPr>
  </w:style>
  <w:style w:type="paragraph" w:styleId="Heading2">
    <w:name w:val="heading 2"/>
    <w:basedOn w:val="Normal"/>
    <w:next w:val="Normal"/>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pPr>
      <w:keepNext/>
      <w:tabs>
        <w:tab w:val="left" w:pos="5772"/>
        <w:tab w:val="left" w:pos="6636"/>
      </w:tabs>
      <w:outlineLvl w:val="2"/>
    </w:pPr>
    <w:rPr>
      <w:u w:val="single"/>
    </w:rPr>
  </w:style>
  <w:style w:type="paragraph" w:styleId="Heading4">
    <w:name w:val="heading 4"/>
    <w:basedOn w:val="Normal"/>
    <w:next w:val="Normal"/>
    <w:uiPriority w:val="9"/>
    <w:qFormat/>
    <w:pPr>
      <w:keepNext/>
      <w:outlineLvl w:val="3"/>
    </w:pPr>
    <w:rPr>
      <w:b/>
      <w:bCs/>
    </w:rPr>
  </w:style>
  <w:style w:type="paragraph" w:styleId="Heading5">
    <w:name w:val="heading 5"/>
    <w:basedOn w:val="Normal"/>
    <w:next w:val="Normal"/>
    <w:uiPriority w:val="9"/>
    <w:qFormat/>
    <w:pPr>
      <w:keepNext/>
      <w:jc w:val="center"/>
      <w:outlineLvl w:val="4"/>
    </w:pPr>
    <w:rPr>
      <w:b/>
      <w:bCs/>
    </w:rPr>
  </w:style>
  <w:style w:type="paragraph" w:styleId="Heading6">
    <w:name w:val="heading 6"/>
    <w:basedOn w:val="Normal"/>
    <w:next w:val="Normal"/>
    <w:uiPriority w:val="9"/>
    <w:qFormat/>
    <w:pPr>
      <w:keepNext/>
      <w:spacing w:line="240" w:lineRule="auto"/>
      <w:ind w:left="567"/>
      <w:outlineLvl w:val="5"/>
    </w:pPr>
    <w:rPr>
      <w:b/>
      <w:bCs/>
    </w:rPr>
  </w:style>
  <w:style w:type="paragraph" w:styleId="Heading7">
    <w:name w:val="heading 7"/>
    <w:basedOn w:val="Normal"/>
    <w:next w:val="Normal"/>
    <w:uiPriority w:val="9"/>
    <w:qFormat/>
    <w:pPr>
      <w:keepNext/>
      <w:spacing w:line="240" w:lineRule="auto"/>
      <w:ind w:left="1701"/>
      <w:outlineLvl w:val="6"/>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u w:val="single"/>
    </w:rPr>
  </w:style>
  <w:style w:type="paragraph" w:customStyle="1" w:styleId="11">
    <w:name w:val="כותרת 11"/>
    <w:basedOn w:val="Normal"/>
    <w:next w:val="Normal"/>
    <w:pPr>
      <w:spacing w:before="240" w:after="480" w:line="288" w:lineRule="auto"/>
      <w:jc w:val="center"/>
    </w:pPr>
    <w:rPr>
      <w:b/>
      <w:bCs/>
      <w:sz w:val="32"/>
      <w:szCs w:val="36"/>
      <w:u w:val="single"/>
    </w:rPr>
  </w:style>
  <w:style w:type="paragraph" w:customStyle="1" w:styleId="21">
    <w:name w:val="כותרת 21"/>
    <w:basedOn w:val="Normal"/>
    <w:next w:val="Normal"/>
    <w:pPr>
      <w:spacing w:before="100" w:beforeAutospacing="1" w:after="240" w:line="264" w:lineRule="auto"/>
      <w:jc w:val="center"/>
    </w:pPr>
    <w:rPr>
      <w:b/>
      <w:bCs/>
      <w:sz w:val="28"/>
      <w:szCs w:val="32"/>
    </w:rPr>
  </w:style>
  <w:style w:type="paragraph" w:customStyle="1" w:styleId="31">
    <w:name w:val="כותרת 31"/>
    <w:basedOn w:val="Normal"/>
    <w:next w:val="Normal"/>
    <w:pPr>
      <w:spacing w:before="100" w:beforeAutospacing="1" w:line="288" w:lineRule="auto"/>
      <w:jc w:val="left"/>
    </w:pPr>
    <w:rPr>
      <w:b/>
      <w:bCs/>
      <w:szCs w:val="28"/>
      <w:u w:val="single"/>
    </w:rPr>
  </w:style>
  <w:style w:type="paragraph" w:customStyle="1" w:styleId="41">
    <w:name w:val="כותרת 41"/>
    <w:basedOn w:val="Normal"/>
    <w:next w:val="Normal"/>
    <w:pPr>
      <w:spacing w:before="100" w:beforeAutospacing="1" w:line="264" w:lineRule="auto"/>
      <w:jc w:val="left"/>
    </w:pPr>
    <w:rPr>
      <w:b/>
      <w:bCs/>
      <w:sz w:val="22"/>
      <w:szCs w:val="26"/>
    </w:rPr>
  </w:style>
  <w:style w:type="paragraph" w:customStyle="1" w:styleId="a">
    <w:name w:val="נבנצלים"/>
    <w:basedOn w:val="Normal"/>
    <w:next w:val="Normal"/>
    <w:pPr>
      <w:ind w:left="-567"/>
    </w:pPr>
    <w:rPr>
      <w:szCs w:val="20"/>
    </w:rPr>
  </w:style>
  <w:style w:type="paragraph" w:styleId="BodyText">
    <w:name w:val="Body Text"/>
    <w:basedOn w:val="Normal"/>
  </w:style>
  <w:style w:type="paragraph" w:styleId="BodyText2">
    <w:name w:val="Body Text 2"/>
    <w:basedOn w:val="Normal"/>
    <w:pPr>
      <w:jc w:val="left"/>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pPr>
      <w:ind w:left="567" w:hanging="567"/>
    </w:pPr>
    <w:rPr>
      <w:szCs w:val="20"/>
    </w:rPr>
  </w:style>
  <w:style w:type="character" w:styleId="FootnoteReference">
    <w:name w:val="footnote reference"/>
    <w:basedOn w:val="DefaultParagraphFont"/>
    <w:semiHidden/>
    <w:rPr>
      <w:vertAlign w:val="superscript"/>
    </w:rPr>
  </w:style>
  <w:style w:type="paragraph" w:styleId="EndnoteText">
    <w:name w:val="endnote text"/>
    <w:basedOn w:val="Normal"/>
    <w:semiHidden/>
    <w:rPr>
      <w:szCs w:val="20"/>
    </w:rPr>
  </w:style>
  <w:style w:type="character" w:styleId="EndnoteReference">
    <w:name w:val="endnote reference"/>
    <w:basedOn w:val="DefaultParagraphFont"/>
    <w:semiHidden/>
    <w:rPr>
      <w:vertAlign w:val="superscript"/>
    </w:rPr>
  </w:style>
  <w:style w:type="paragraph" w:styleId="BodyText3">
    <w:name w:val="Body Text 3"/>
    <w:basedOn w:val="Normal"/>
  </w:style>
  <w:style w:type="character" w:customStyle="1" w:styleId="51">
    <w:name w:val="כותרת 51"/>
    <w:basedOn w:val="DefaultParagraphFont"/>
    <w:rPr>
      <w:rFonts w:ascii="Times New Roman" w:hAnsi="Times New Roman" w:cs="David"/>
      <w:b/>
      <w:bCs/>
      <w:dstrike w:val="0"/>
      <w:color w:val="auto"/>
      <w:spacing w:val="40"/>
      <w:w w:val="100"/>
      <w:position w:val="0"/>
      <w:sz w:val="20"/>
      <w:szCs w:val="24"/>
      <w:u w:val="none"/>
      <w:vertAlign w:val="baseline"/>
    </w:rPr>
  </w:style>
  <w:style w:type="character" w:customStyle="1" w:styleId="61">
    <w:name w:val="כותרת 61"/>
    <w:basedOn w:val="DefaultParagraphFont"/>
    <w:rPr>
      <w:rFonts w:ascii="Times New Roman" w:hAnsi="Times New Roman" w:cs="David"/>
      <w:color w:val="auto"/>
      <w:spacing w:val="40"/>
      <w:w w:val="100"/>
      <w:position w:val="0"/>
      <w:sz w:val="20"/>
      <w:szCs w:val="24"/>
      <w:u w:val="none"/>
    </w:rPr>
  </w:style>
  <w:style w:type="paragraph" w:styleId="BodyTextIndent">
    <w:name w:val="Body Text Indent"/>
    <w:basedOn w:val="Normal"/>
    <w:pPr>
      <w:tabs>
        <w:tab w:val="left" w:pos="1452"/>
      </w:tabs>
      <w:ind w:left="1452" w:hanging="1452"/>
    </w:pPr>
  </w:style>
  <w:style w:type="paragraph" w:styleId="BodyTextIndent2">
    <w:name w:val="Body Text Indent 2"/>
    <w:basedOn w:val="Normal"/>
    <w:pPr>
      <w:ind w:left="1134" w:hanging="1134"/>
    </w:pPr>
    <w:rPr>
      <w:b/>
      <w:bCs/>
    </w:rPr>
  </w:style>
  <w:style w:type="paragraph" w:styleId="BodyTextIndent3">
    <w:name w:val="Body Text Indent 3"/>
    <w:basedOn w:val="Normal"/>
    <w:pPr>
      <w:tabs>
        <w:tab w:val="left" w:pos="156"/>
      </w:tabs>
      <w:ind w:left="156" w:hanging="1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8.xml"/><Relationship Id="rId8" Type="http://schemas.openxmlformats.org/officeDocument/2006/relationships/header" Target="header3.xml"/><Relationship Id="rId26" Type="http://schemas.openxmlformats.org/officeDocument/2006/relationships/customXml" Target="../customXml/item1.xml"/><Relationship Id="rId21" Type="http://schemas.openxmlformats.org/officeDocument/2006/relationships/header" Target="header8.xml"/><Relationship Id="rId3" Type="http://schemas.openxmlformats.org/officeDocument/2006/relationships/fontTable" Target="fontTable.xml"/><Relationship Id="rId12" Type="http://schemas.openxmlformats.org/officeDocument/2006/relationships/footer" Target="footer4.xml"/><Relationship Id="rId17" Type="http://schemas.openxmlformats.org/officeDocument/2006/relationships/header" Target="header6.xml"/><Relationship Id="rId25" Type="http://schemas.openxmlformats.org/officeDocument/2006/relationships/styles" Target="styles.xml"/><Relationship Id="rId7" Type="http://schemas.openxmlformats.org/officeDocument/2006/relationships/footer" Target="footer1.xml"/><Relationship Id="rId16" Type="http://schemas.openxmlformats.org/officeDocument/2006/relationships/footer" Target="footer7.xml"/><Relationship Id="rId2" Type="http://schemas.openxmlformats.org/officeDocument/2006/relationships/webSettings" Target="webSettings.xml"/><Relationship Id="rId20" Type="http://schemas.openxmlformats.org/officeDocument/2006/relationships/footer" Target="footer9.xml"/><Relationship Id="rId1" Type="http://schemas.openxmlformats.org/officeDocument/2006/relationships/settings" Target="settings.xml"/><Relationship Id="rId11" Type="http://schemas.openxmlformats.org/officeDocument/2006/relationships/header" Target="header4.xml"/><Relationship Id="rId24" Type="http://schemas.openxmlformats.org/officeDocument/2006/relationships/numbering" Target="numbering.xml"/><Relationship Id="rId6" Type="http://schemas.openxmlformats.org/officeDocument/2006/relationships/header" Target="header2.xml"/><Relationship Id="rId15" Type="http://schemas.openxmlformats.org/officeDocument/2006/relationships/footer" Target="footer6.xml"/><Relationship Id="rId23" Type="http://schemas.openxmlformats.org/officeDocument/2006/relationships/theme" Target="theme/theme1.xml"/><Relationship Id="rId5" Type="http://schemas.openxmlformats.org/officeDocument/2006/relationships/header" Target="header1.xml"/><Relationship Id="rId28" Type="http://schemas.openxmlformats.org/officeDocument/2006/relationships/customXml" Target="../customXml/item3.xml"/><Relationship Id="rId10" Type="http://schemas.openxmlformats.org/officeDocument/2006/relationships/footer" Target="footer3.xml"/><Relationship Id="rId19" Type="http://schemas.openxmlformats.org/officeDocument/2006/relationships/header" Target="header7.xml"/><Relationship Id="rId14" Type="http://schemas.openxmlformats.org/officeDocument/2006/relationships/header" Target="header5.xml"/><Relationship Id="rId22" Type="http://schemas.openxmlformats.org/officeDocument/2006/relationships/footer" Target="footer10.xml"/><Relationship Id="rId4" Type="http://schemas.openxmlformats.org/officeDocument/2006/relationships/image" Target="media/image1.png"/><Relationship Id="rId9" Type="http://schemas.openxmlformats.org/officeDocument/2006/relationships/footer" Target="footer2.xml"/><Relationship Id="rId27" Type="http://schemas.openxmlformats.org/officeDocument/2006/relationships/customXml" Target="../customXml/item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8CE948-7EA4-4FBB-9C59-5ADB7BCF9B19}"/>
</file>

<file path=customXml/itemProps2.xml><?xml version="1.0" encoding="utf-8"?>
<ds:datastoreItem xmlns:ds="http://schemas.openxmlformats.org/officeDocument/2006/customXml" ds:itemID="{3C898F4A-30FA-4493-B992-40FFB95450F7}"/>
</file>

<file path=customXml/itemProps3.xml><?xml version="1.0" encoding="utf-8"?>
<ds:datastoreItem xmlns:ds="http://schemas.openxmlformats.org/officeDocument/2006/customXml" ds:itemID="{461233CC-5C95-4B29-8C59-EBE0265EBB78}"/>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