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352574">
      <w:pPr>
        <w:jc w:val="center"/>
        <w:rPr>
          <w:rtl/>
        </w:rPr>
      </w:pPr>
      <w:bookmarkStart w:id="0" w:name="_GoBack"/>
      <w:bookmarkEnd w:id="0"/>
      <w:r>
        <w:rPr>
          <w:noProof/>
          <w:szCs w:val="20"/>
          <w:lang w:eastAsia="en-US"/>
        </w:rPr>
        <w:drawing>
          <wp:inline distT="0" distB="0" distL="0" distR="0">
            <wp:extent cx="714375" cy="885825"/>
            <wp:effectExtent l="0" t="0" r="9525" b="9525"/>
            <wp:docPr id="5" name="תמונה 1" descr="\\New\new c\MacMove\sem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47989" name="Picture 1" descr="\\New\new c\MacMove\semel.tif"/>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885825"/>
                    </a:xfrm>
                    <a:prstGeom prst="rect">
                      <a:avLst/>
                    </a:prstGeom>
                    <a:noFill/>
                    <a:ln>
                      <a:noFill/>
                    </a:ln>
                  </pic:spPr>
                </pic:pic>
              </a:graphicData>
            </a:graphic>
          </wp:inline>
        </w:drawing>
      </w:r>
    </w:p>
    <w:p w:rsidR="00352574">
      <w:pPr>
        <w:jc w:val="center"/>
        <w:rPr>
          <w:sz w:val="28"/>
          <w:szCs w:val="26"/>
          <w:rtl/>
        </w:rPr>
      </w:pPr>
      <w:r>
        <w:rPr>
          <w:rFonts w:hint="cs"/>
          <w:sz w:val="28"/>
          <w:szCs w:val="26"/>
          <w:rtl/>
        </w:rPr>
        <w:t>מבקר המדינה</w:t>
      </w:r>
    </w:p>
    <w:p w:rsidR="00352574">
      <w:pPr>
        <w:jc w:val="center"/>
        <w:rPr>
          <w:rtl/>
        </w:rPr>
      </w:pPr>
      <w:r>
        <w:rPr>
          <w:rFonts w:hint="cs"/>
          <w:rtl/>
        </w:rPr>
        <w:t>מרים בן-פורת</w:t>
      </w:r>
    </w:p>
    <w:p w:rsidR="00352574">
      <w:pPr>
        <w:rPr>
          <w:rtl/>
        </w:rPr>
      </w:pPr>
    </w:p>
    <w:p w:rsidR="00352574">
      <w:pPr>
        <w:rPr>
          <w:rtl/>
        </w:rPr>
      </w:pPr>
    </w:p>
    <w:p w:rsidR="00352574">
      <w:pPr>
        <w:jc w:val="right"/>
        <w:rPr>
          <w:rtl/>
        </w:rPr>
      </w:pPr>
      <w:r>
        <w:rPr>
          <w:rFonts w:hint="cs"/>
          <w:rtl/>
        </w:rPr>
        <w:tab/>
        <w:t>ירושלים, כ"ט בתמוז התשנ"ב</w:t>
      </w:r>
    </w:p>
    <w:p w:rsidR="00352574">
      <w:pPr>
        <w:tabs>
          <w:tab w:val="left" w:pos="6492"/>
        </w:tabs>
        <w:jc w:val="left"/>
        <w:rPr>
          <w:rtl/>
        </w:rPr>
      </w:pPr>
      <w:r>
        <w:rPr>
          <w:rFonts w:hint="cs"/>
          <w:rtl/>
        </w:rPr>
        <w:tab/>
        <w:t>30 ביולי 1992</w:t>
      </w:r>
    </w:p>
    <w:p w:rsidR="00352574">
      <w:pPr>
        <w:rPr>
          <w:rtl/>
        </w:rPr>
      </w:pPr>
    </w:p>
    <w:p w:rsidR="00352574">
      <w:pPr>
        <w:rPr>
          <w:rtl/>
        </w:rPr>
      </w:pPr>
    </w:p>
    <w:p w:rsidR="00352574">
      <w:pPr>
        <w:rPr>
          <w:rtl/>
        </w:rPr>
      </w:pPr>
      <w:r>
        <w:rPr>
          <w:rFonts w:hint="cs"/>
          <w:rtl/>
        </w:rPr>
        <w:t>לכבוד</w:t>
      </w:r>
    </w:p>
    <w:p w:rsidR="00352574">
      <w:pPr>
        <w:rPr>
          <w:rtl/>
        </w:rPr>
      </w:pPr>
      <w:r>
        <w:rPr>
          <w:rFonts w:hint="cs"/>
          <w:rtl/>
        </w:rPr>
        <w:t>פרופ' שבח וייס</w:t>
      </w:r>
    </w:p>
    <w:p w:rsidR="00352574">
      <w:pPr>
        <w:rPr>
          <w:rtl/>
        </w:rPr>
      </w:pPr>
      <w:r>
        <w:rPr>
          <w:rFonts w:hint="cs"/>
          <w:rtl/>
        </w:rPr>
        <w:t>יושב ראש הכנסת</w:t>
      </w:r>
    </w:p>
    <w:p w:rsidR="00352574">
      <w:pPr>
        <w:rPr>
          <w:rtl/>
        </w:rPr>
      </w:pPr>
      <w:r>
        <w:rPr>
          <w:rFonts w:hint="cs"/>
          <w:rtl/>
        </w:rPr>
        <w:t>הכנסת</w:t>
      </w:r>
    </w:p>
    <w:p w:rsidR="00352574">
      <w:pPr>
        <w:rPr>
          <w:u w:val="single"/>
          <w:rtl/>
        </w:rPr>
      </w:pPr>
      <w:r>
        <w:rPr>
          <w:rFonts w:hint="cs"/>
          <w:u w:val="single"/>
          <w:rtl/>
        </w:rPr>
        <w:t>ירושלים</w:t>
      </w:r>
    </w:p>
    <w:p w:rsidR="00352574">
      <w:pPr>
        <w:rPr>
          <w:u w:val="single"/>
          <w:rtl/>
        </w:rPr>
      </w:pPr>
    </w:p>
    <w:p w:rsidR="00352574">
      <w:pPr>
        <w:rPr>
          <w:rtl/>
        </w:rPr>
      </w:pPr>
      <w:r>
        <w:rPr>
          <w:rFonts w:hint="cs"/>
          <w:rtl/>
        </w:rPr>
        <w:t>אישי יושב ראש הכנסת,</w:t>
      </w:r>
    </w:p>
    <w:p w:rsidR="00352574">
      <w:pPr>
        <w:rPr>
          <w:rtl/>
        </w:rPr>
      </w:pPr>
    </w:p>
    <w:p w:rsidR="00352574">
      <w:pPr>
        <w:rPr>
          <w:rtl/>
        </w:rPr>
      </w:pPr>
    </w:p>
    <w:p w:rsidR="00352574">
      <w:pPr>
        <w:rPr>
          <w:b/>
          <w:bCs/>
          <w:rtl/>
        </w:rPr>
      </w:pPr>
      <w:r>
        <w:rPr>
          <w:rFonts w:hint="cs"/>
          <w:rtl/>
        </w:rPr>
        <w:t xml:space="preserve">הנדון: </w:t>
      </w:r>
      <w:r>
        <w:rPr>
          <w:rFonts w:hint="cs"/>
          <w:b/>
          <w:bCs/>
          <w:rtl/>
        </w:rPr>
        <w:t>דין וחשבון לפי חוק מימון מפלגות, התשל"ג-1973</w:t>
      </w:r>
    </w:p>
    <w:p w:rsidR="00352574">
      <w:pPr>
        <w:rPr>
          <w:b/>
          <w:bCs/>
          <w:rtl/>
        </w:rPr>
      </w:pPr>
      <w:r>
        <w:rPr>
          <w:rFonts w:hint="cs"/>
          <w:b/>
          <w:bCs/>
          <w:rtl/>
        </w:rPr>
        <w:tab/>
        <w:t>על תוצאות ביקורת החשבונות של</w:t>
      </w:r>
    </w:p>
    <w:p w:rsidR="00352574">
      <w:pPr>
        <w:rPr>
          <w:b/>
          <w:bCs/>
          <w:rtl/>
        </w:rPr>
      </w:pPr>
      <w:r>
        <w:rPr>
          <w:rFonts w:hint="cs"/>
          <w:b/>
          <w:bCs/>
          <w:rtl/>
        </w:rPr>
        <w:tab/>
        <w:t xml:space="preserve">"הסיעה לקידום הרעיון </w:t>
      </w:r>
      <w:r>
        <w:rPr>
          <w:rFonts w:hint="cs"/>
          <w:b/>
          <w:bCs/>
          <w:rtl/>
        </w:rPr>
        <w:t>הציוני בישראל"</w:t>
      </w:r>
    </w:p>
    <w:p w:rsidR="00352574">
      <w:pPr>
        <w:rPr>
          <w:b/>
          <w:bCs/>
          <w:rtl/>
        </w:rPr>
      </w:pPr>
      <w:r>
        <w:rPr>
          <w:rFonts w:hint="cs"/>
          <w:b/>
          <w:bCs/>
          <w:rtl/>
        </w:rPr>
        <w:tab/>
        <w:t>לתקופה 1.4.1991-31.12.1991</w:t>
      </w:r>
    </w:p>
    <w:p w:rsidR="00352574">
      <w:pPr>
        <w:rPr>
          <w:rtl/>
        </w:rPr>
      </w:pPr>
      <w:r>
        <w:rPr>
          <w:rFonts w:hint="cs"/>
          <w:rtl/>
        </w:rPr>
        <w:tab/>
      </w:r>
    </w:p>
    <w:p w:rsidR="00352574">
      <w:pPr>
        <w:rPr>
          <w:rtl/>
        </w:rPr>
      </w:pPr>
    </w:p>
    <w:p w:rsidR="00352574">
      <w:pPr>
        <w:pStyle w:val="BodyTextIndent"/>
        <w:rPr>
          <w:rtl/>
        </w:rPr>
      </w:pPr>
      <w:r>
        <w:rPr>
          <w:rFonts w:hint="cs"/>
          <w:rtl/>
        </w:rPr>
        <w:t>1.</w:t>
      </w:r>
      <w:r>
        <w:rPr>
          <w:rFonts w:hint="cs"/>
          <w:rtl/>
        </w:rPr>
        <w:tab/>
        <w:t xml:space="preserve">(א) ביום 2.6.1992 מסרתי ליושב-ראש הכנסת, ח"כ דב שילנסקי, דין וחשבון לפי חוק מפלגות, התשל"ג-1973 (להלן - חוק המימון), על תוצאות ביקורת חשבונותיהן של שש-עשרה סיעות לתקופה 1.4.1991-31.12.1991 (להלן - התקופה </w:t>
      </w:r>
      <w:r>
        <w:rPr>
          <w:rFonts w:hint="cs"/>
          <w:rtl/>
        </w:rPr>
        <w:t>הניסקרת).</w:t>
      </w:r>
    </w:p>
    <w:p w:rsidR="00352574">
      <w:pPr>
        <w:rPr>
          <w:rtl/>
        </w:rPr>
      </w:pPr>
    </w:p>
    <w:p w:rsidR="00352574">
      <w:pPr>
        <w:rPr>
          <w:rtl/>
        </w:rPr>
      </w:pPr>
      <w:r>
        <w:rPr>
          <w:rFonts w:hint="cs"/>
          <w:rtl/>
        </w:rPr>
        <w:tab/>
        <w:t>(ב) בסעיף 4 למכתב הלוואי לדו"חות האמורים ציינתי, כי:</w:t>
      </w:r>
    </w:p>
    <w:p w:rsidR="00352574">
      <w:pPr>
        <w:rPr>
          <w:rtl/>
        </w:rPr>
      </w:pPr>
    </w:p>
    <w:p w:rsidR="00352574">
      <w:pPr>
        <w:tabs>
          <w:tab w:val="left" w:pos="876"/>
        </w:tabs>
        <w:ind w:left="876" w:hanging="309"/>
        <w:rPr>
          <w:rtl/>
        </w:rPr>
      </w:pPr>
      <w:r>
        <w:rPr>
          <w:rFonts w:hint="cs"/>
          <w:rtl/>
        </w:rPr>
        <w:tab/>
        <w:t>"המועד למסירת דין וחשבון על תוצאות ביקורת החשבונות השוטפים של הסיעה לקידום הרעיון הציוני בישראל, הוארך על ידי ועדת הכספים של הכנסת, כדי לאפשר עיון בחומר נוסף, שסיעה זו הגישה למבקר המדינה רק</w:t>
      </w:r>
      <w:r>
        <w:rPr>
          <w:rFonts w:hint="cs"/>
          <w:rtl/>
        </w:rPr>
        <w:t xml:space="preserve"> בימים האחרונים, בתגובה על ממצאי הביקורת, שהועלו במסגרת בדיקת חשבונותיה לתקופה הניסקרת."</w:t>
      </w:r>
    </w:p>
    <w:p w:rsidR="00352574">
      <w:pPr>
        <w:rPr>
          <w:rtl/>
        </w:rPr>
      </w:pPr>
      <w:r>
        <w:rPr>
          <w:rtl/>
        </w:rPr>
        <w:br w:type="page"/>
      </w:r>
      <w:r>
        <w:rPr>
          <w:rFonts w:hint="cs"/>
          <w:rtl/>
        </w:rPr>
        <w:t>ב-1.6.1992 החליטה ועדת הכספים, כאמור, להאריך בחודשיים את המועד להגשת חשבונות הסיעה לתקופה הניסקרת.</w:t>
      </w:r>
    </w:p>
    <w:p w:rsidR="00352574">
      <w:pPr>
        <w:rPr>
          <w:rtl/>
        </w:rPr>
      </w:pPr>
    </w:p>
    <w:p w:rsidR="00352574">
      <w:pPr>
        <w:ind w:left="567" w:hanging="567"/>
        <w:rPr>
          <w:rtl/>
        </w:rPr>
      </w:pPr>
      <w:r>
        <w:rPr>
          <w:rFonts w:hint="cs"/>
          <w:rtl/>
        </w:rPr>
        <w:t>2.</w:t>
      </w:r>
      <w:r>
        <w:rPr>
          <w:rFonts w:hint="cs"/>
          <w:rtl/>
        </w:rPr>
        <w:tab/>
        <w:t>אני מתכבדת למסור לך במצורף, דין וחשבון על תוצאות ביקורת חשבונות</w:t>
      </w:r>
      <w:r>
        <w:rPr>
          <w:rFonts w:hint="cs"/>
          <w:rtl/>
        </w:rPr>
        <w:t xml:space="preserve"> הסיעה לתקופה הניסקרת.</w:t>
      </w:r>
    </w:p>
    <w:p w:rsidR="00352574">
      <w:pPr>
        <w:rPr>
          <w:rtl/>
        </w:rPr>
      </w:pPr>
    </w:p>
    <w:p w:rsidR="00352574">
      <w:pPr>
        <w:rPr>
          <w:rtl/>
        </w:rPr>
      </w:pPr>
      <w:r>
        <w:rPr>
          <w:rFonts w:hint="cs"/>
          <w:rtl/>
        </w:rPr>
        <w:t>3.</w:t>
      </w:r>
      <w:r>
        <w:rPr>
          <w:rFonts w:hint="cs"/>
          <w:rtl/>
        </w:rPr>
        <w:tab/>
        <w:t>בדיקת חשבונותיה של הסיעה לתקופה הניסקרת העלתה:</w:t>
      </w:r>
    </w:p>
    <w:p w:rsidR="00352574">
      <w:pPr>
        <w:rPr>
          <w:rtl/>
        </w:rPr>
      </w:pPr>
    </w:p>
    <w:p w:rsidR="00352574">
      <w:pPr>
        <w:rPr>
          <w:rtl/>
        </w:rPr>
      </w:pPr>
      <w:r>
        <w:rPr>
          <w:rFonts w:hint="cs"/>
          <w:rtl/>
        </w:rPr>
        <w:tab/>
        <w:t>(א) הוצאות הסיעה עמדו בתיקרת ההוצאות המותרת לפי סעיף 7(ב) לחוק המימון;</w:t>
      </w:r>
    </w:p>
    <w:p w:rsidR="00352574">
      <w:pPr>
        <w:rPr>
          <w:rtl/>
        </w:rPr>
      </w:pPr>
    </w:p>
    <w:p w:rsidR="00352574">
      <w:pPr>
        <w:rPr>
          <w:rtl/>
        </w:rPr>
      </w:pPr>
      <w:r>
        <w:rPr>
          <w:rFonts w:hint="cs"/>
          <w:rtl/>
        </w:rPr>
        <w:tab/>
        <w:t>(ב) הכנסות הסיעה היו בגבולות האמורים בסעיף 8 לחוק המימון לעניין קבלת תרומות;</w:t>
      </w:r>
    </w:p>
    <w:p w:rsidR="00352574">
      <w:pPr>
        <w:rPr>
          <w:rtl/>
        </w:rPr>
      </w:pPr>
    </w:p>
    <w:p w:rsidR="00352574">
      <w:pPr>
        <w:rPr>
          <w:rtl/>
        </w:rPr>
      </w:pPr>
      <w:r>
        <w:rPr>
          <w:rFonts w:hint="cs"/>
          <w:rtl/>
        </w:rPr>
        <w:tab/>
        <w:t>(ג) הסיעה ניהלה את חשבונותיה</w:t>
      </w:r>
      <w:r>
        <w:rPr>
          <w:rFonts w:hint="cs"/>
          <w:rtl/>
        </w:rPr>
        <w:t xml:space="preserve"> לפי הנחיות מבקר המדינה.</w:t>
      </w:r>
    </w:p>
    <w:p w:rsidR="00352574">
      <w:pPr>
        <w:rPr>
          <w:rtl/>
        </w:rPr>
      </w:pPr>
    </w:p>
    <w:p w:rsidR="00352574">
      <w:pPr>
        <w:rPr>
          <w:rtl/>
        </w:rPr>
      </w:pPr>
      <w:r>
        <w:rPr>
          <w:rFonts w:hint="cs"/>
          <w:rtl/>
        </w:rPr>
        <w:t>4.</w:t>
      </w:r>
      <w:r>
        <w:rPr>
          <w:rFonts w:hint="cs"/>
          <w:rtl/>
        </w:rPr>
        <w:tab/>
        <w:t>הדין וחשבון לגבי תוצאות ביקורת חשבונות הסיעה לתקופה הניסקרת הוא חיובי.</w:t>
      </w:r>
    </w:p>
    <w:p w:rsidR="00352574">
      <w:pPr>
        <w:rPr>
          <w:rtl/>
        </w:rPr>
      </w:pPr>
    </w:p>
    <w:p w:rsidR="00352574">
      <w:pPr>
        <w:rPr>
          <w:rtl/>
        </w:rPr>
      </w:pPr>
    </w:p>
    <w:p w:rsidR="00352574">
      <w:pPr>
        <w:rPr>
          <w:rtl/>
        </w:rPr>
      </w:pPr>
    </w:p>
    <w:p w:rsidR="00352574">
      <w:pPr>
        <w:rPr>
          <w:rtl/>
        </w:rPr>
      </w:pPr>
    </w:p>
    <w:p w:rsidR="00352574">
      <w:pPr>
        <w:pStyle w:val="Header"/>
        <w:tabs>
          <w:tab w:val="clear" w:pos="4153"/>
          <w:tab w:val="center" w:pos="5844"/>
          <w:tab w:val="clear" w:pos="8306"/>
        </w:tabs>
        <w:rPr>
          <w:rtl/>
        </w:rPr>
      </w:pPr>
      <w:r>
        <w:rPr>
          <w:rFonts w:hint="cs"/>
          <w:rtl/>
        </w:rPr>
        <w:tab/>
        <w:t>בכבוד רב,</w:t>
      </w:r>
    </w:p>
    <w:p w:rsidR="00352574">
      <w:pPr>
        <w:tabs>
          <w:tab w:val="center" w:pos="5844"/>
        </w:tabs>
        <w:rPr>
          <w:rtl/>
        </w:rPr>
      </w:pPr>
    </w:p>
    <w:p w:rsidR="00352574">
      <w:pPr>
        <w:tabs>
          <w:tab w:val="center" w:pos="5844"/>
        </w:tabs>
        <w:rPr>
          <w:rtl/>
        </w:rPr>
      </w:pPr>
      <w:r>
        <w:rPr>
          <w:rFonts w:hint="cs"/>
          <w:rtl/>
        </w:rPr>
        <w:tab/>
        <w:t>מרים בן-פורת</w:t>
      </w:r>
    </w:p>
    <w:p w:rsidR="00352574">
      <w:pPr>
        <w:rPr>
          <w:rtl/>
        </w:rPr>
      </w:pPr>
    </w:p>
    <w:p w:rsidR="00352574">
      <w:pPr>
        <w:rPr>
          <w:rtl/>
        </w:rPr>
        <w:sectPr>
          <w:headerReference w:type="default" r:id="rId5"/>
          <w:footerReference w:type="default" r:id="rId6"/>
          <w:headerReference w:type="first" r:id="rId7"/>
          <w:footerReference w:type="first" r:id="rId8"/>
          <w:pgSz w:w="11906" w:h="16838" w:code="9"/>
          <w:pgMar w:top="1701" w:right="1985" w:bottom="1588" w:left="1701" w:header="709" w:footer="709" w:gutter="0"/>
          <w:cols w:space="720"/>
          <w:titlePg/>
          <w:bidi/>
          <w:rtlGutter/>
          <w:docGrid w:linePitch="196"/>
        </w:sectPr>
      </w:pPr>
    </w:p>
    <w:p w:rsidR="00352574">
      <w:pPr>
        <w:jc w:val="center"/>
        <w:rPr>
          <w:rtl/>
        </w:rPr>
      </w:pPr>
    </w:p>
    <w:p w:rsidR="00352574">
      <w:pPr>
        <w:jc w:val="center"/>
        <w:rPr>
          <w:sz w:val="28"/>
          <w:szCs w:val="26"/>
          <w:rtl/>
        </w:rPr>
      </w:pPr>
      <w:r>
        <w:rPr>
          <w:rFonts w:hint="cs"/>
          <w:sz w:val="28"/>
          <w:szCs w:val="26"/>
          <w:rtl/>
        </w:rPr>
        <w:t>מבקר המדינה</w:t>
      </w:r>
    </w:p>
    <w:p w:rsidR="00352574">
      <w:pPr>
        <w:jc w:val="center"/>
        <w:rPr>
          <w:rtl/>
        </w:rPr>
      </w:pPr>
      <w:r>
        <w:rPr>
          <w:rFonts w:hint="cs"/>
          <w:rtl/>
        </w:rPr>
        <w:t>מרים בן-פורת</w:t>
      </w:r>
    </w:p>
    <w:p w:rsidR="00352574">
      <w:pPr>
        <w:jc w:val="center"/>
        <w:rPr>
          <w:rtl/>
        </w:rPr>
      </w:pPr>
    </w:p>
    <w:p w:rsidR="00352574">
      <w:pPr>
        <w:jc w:val="center"/>
        <w:rPr>
          <w:rtl/>
        </w:rPr>
      </w:pPr>
      <w:r>
        <w:rPr>
          <w:rFonts w:hint="cs"/>
          <w:rtl/>
        </w:rPr>
        <w:t>חוק מימון מפלגות, התשל"ג-1973</w:t>
      </w:r>
    </w:p>
    <w:p w:rsidR="00352574">
      <w:pPr>
        <w:jc w:val="center"/>
        <w:rPr>
          <w:rtl/>
        </w:rPr>
      </w:pPr>
    </w:p>
    <w:p w:rsidR="00352574">
      <w:pPr>
        <w:jc w:val="center"/>
        <w:rPr>
          <w:rtl/>
        </w:rPr>
      </w:pPr>
      <w:r>
        <w:rPr>
          <w:rFonts w:hint="cs"/>
          <w:rtl/>
        </w:rPr>
        <w:t>דין וחשבון</w:t>
      </w:r>
    </w:p>
    <w:p w:rsidR="00352574">
      <w:pPr>
        <w:jc w:val="center"/>
        <w:rPr>
          <w:rtl/>
        </w:rPr>
      </w:pPr>
      <w:r>
        <w:rPr>
          <w:rFonts w:hint="cs"/>
          <w:rtl/>
        </w:rPr>
        <w:t>מוגש ליושב ראש הכנסת</w:t>
      </w:r>
    </w:p>
    <w:p w:rsidR="00352574">
      <w:pPr>
        <w:jc w:val="center"/>
        <w:rPr>
          <w:rtl/>
        </w:rPr>
      </w:pPr>
    </w:p>
    <w:p w:rsidR="00352574">
      <w:pPr>
        <w:jc w:val="center"/>
        <w:rPr>
          <w:rtl/>
        </w:rPr>
      </w:pPr>
      <w:r>
        <w:rPr>
          <w:rFonts w:hint="cs"/>
          <w:rtl/>
        </w:rPr>
        <w:t>על תוצאות ביקורת החשבונות לתקופה 1.4.1991 עד 31.12.1991</w:t>
      </w:r>
    </w:p>
    <w:p w:rsidR="00352574">
      <w:pPr>
        <w:jc w:val="center"/>
        <w:rPr>
          <w:rtl/>
        </w:rPr>
      </w:pPr>
    </w:p>
    <w:p w:rsidR="00352574">
      <w:pPr>
        <w:jc w:val="center"/>
        <w:rPr>
          <w:rtl/>
        </w:rPr>
      </w:pPr>
      <w:r>
        <w:rPr>
          <w:rFonts w:hint="cs"/>
          <w:rtl/>
        </w:rPr>
        <w:t>של הסיעה:</w:t>
      </w:r>
    </w:p>
    <w:p w:rsidR="00352574">
      <w:pPr>
        <w:jc w:val="center"/>
        <w:rPr>
          <w:rtl/>
        </w:rPr>
      </w:pPr>
    </w:p>
    <w:p w:rsidR="00352574">
      <w:pPr>
        <w:jc w:val="center"/>
        <w:rPr>
          <w:b/>
          <w:bCs/>
          <w:rtl/>
        </w:rPr>
      </w:pPr>
      <w:r>
        <w:rPr>
          <w:rFonts w:hint="cs"/>
          <w:b/>
          <w:bCs/>
          <w:rtl/>
        </w:rPr>
        <w:t xml:space="preserve">הסיעה לקידום </w:t>
      </w:r>
      <w:r>
        <w:rPr>
          <w:rFonts w:hint="cs"/>
          <w:b/>
          <w:bCs/>
          <w:rtl/>
        </w:rPr>
        <w:t>הרעיון הציוני בישראל</w:t>
      </w:r>
    </w:p>
    <w:p w:rsidR="00352574">
      <w:pPr>
        <w:rPr>
          <w:b/>
          <w:bCs/>
          <w:rtl/>
        </w:rPr>
      </w:pPr>
    </w:p>
    <w:p w:rsidR="00352574">
      <w:pPr>
        <w:ind w:left="567" w:hanging="567"/>
        <w:rPr>
          <w:rtl/>
        </w:rPr>
      </w:pPr>
      <w:r>
        <w:rPr>
          <w:rFonts w:hint="cs"/>
          <w:rtl/>
        </w:rPr>
        <w:t>1.</w:t>
      </w:r>
      <w:r>
        <w:rPr>
          <w:rFonts w:hint="cs"/>
          <w:rtl/>
        </w:rPr>
        <w:tab/>
        <w:t>משרד מבקר המדינה בדק - על פי חוק מימון מפלגות, התשל"ג-1973 (להלן - חוק המימון) - את חשבונות הסיעה לקידום הרעיון הציוני בישראל (להלן - הסיעה) לתקופה 1.4.1991-31.12.1991, לפי שיטות ביקורת מקובלות.</w:t>
      </w:r>
    </w:p>
    <w:p w:rsidR="00352574">
      <w:pPr>
        <w:rPr>
          <w:rtl/>
        </w:rPr>
      </w:pPr>
    </w:p>
    <w:p w:rsidR="00352574">
      <w:pPr>
        <w:ind w:left="567" w:hanging="567"/>
        <w:rPr>
          <w:rtl/>
        </w:rPr>
      </w:pPr>
      <w:r>
        <w:rPr>
          <w:rFonts w:hint="cs"/>
          <w:rtl/>
        </w:rPr>
        <w:t>2.</w:t>
      </w:r>
      <w:r>
        <w:rPr>
          <w:rFonts w:hint="cs"/>
          <w:rtl/>
        </w:rPr>
        <w:tab/>
        <w:t>על סמך הבדיקה האמורה, השלמות, תי</w:t>
      </w:r>
      <w:r>
        <w:rPr>
          <w:rFonts w:hint="cs"/>
          <w:rtl/>
        </w:rPr>
        <w:t>קונים והסברים של הסיעה במהלך הביקורת וכן הצהרות נציגי הסיעה, שנתקבלו כראייה לפי סעיף 9(ג) לחוק המימון,</w:t>
      </w:r>
    </w:p>
    <w:p w:rsidR="00352574">
      <w:pPr>
        <w:rPr>
          <w:rtl/>
        </w:rPr>
      </w:pPr>
    </w:p>
    <w:p w:rsidR="00352574">
      <w:pPr>
        <w:ind w:firstLine="567"/>
        <w:rPr>
          <w:rtl/>
        </w:rPr>
      </w:pPr>
      <w:r>
        <w:rPr>
          <w:rFonts w:hint="cs"/>
          <w:rtl/>
        </w:rPr>
        <w:t>אני קובעת בזה, בהתאם לסעיף 10(ד) לחוק המימון, כי -</w:t>
      </w:r>
    </w:p>
    <w:p w:rsidR="00352574">
      <w:pPr>
        <w:rPr>
          <w:rtl/>
        </w:rPr>
      </w:pPr>
    </w:p>
    <w:p w:rsidR="00352574">
      <w:pPr>
        <w:ind w:firstLine="567"/>
        <w:rPr>
          <w:rtl/>
        </w:rPr>
      </w:pPr>
      <w:r>
        <w:rPr>
          <w:rFonts w:hint="cs"/>
          <w:rtl/>
        </w:rPr>
        <w:t>(א)</w:t>
      </w:r>
      <w:r>
        <w:rPr>
          <w:rFonts w:hint="cs"/>
          <w:rtl/>
        </w:rPr>
        <w:tab/>
        <w:t>הסיעה ניהלה את מערכת החשבונות שלה בהתאם להנחיות מבקר המדינה;</w:t>
      </w:r>
    </w:p>
    <w:p w:rsidR="00352574">
      <w:pPr>
        <w:rPr>
          <w:rtl/>
        </w:rPr>
      </w:pPr>
    </w:p>
    <w:p w:rsidR="00352574">
      <w:pPr>
        <w:ind w:left="1134" w:hanging="567"/>
        <w:rPr>
          <w:rtl/>
        </w:rPr>
      </w:pPr>
      <w:r>
        <w:rPr>
          <w:rFonts w:hint="cs"/>
          <w:rtl/>
        </w:rPr>
        <w:t>(ב)</w:t>
      </w:r>
      <w:r>
        <w:rPr>
          <w:rFonts w:hint="cs"/>
          <w:rtl/>
        </w:rPr>
        <w:tab/>
        <w:t>ההוצאות השוטפות של הסיעה בתקופ</w:t>
      </w:r>
      <w:r>
        <w:rPr>
          <w:rFonts w:hint="cs"/>
          <w:rtl/>
        </w:rPr>
        <w:t>ה 1.4.1991-31.12.1991 היו בגבולות האמורים בסעיף 7(ב) לחוק המימון;</w:t>
      </w:r>
    </w:p>
    <w:p w:rsidR="00352574">
      <w:pPr>
        <w:rPr>
          <w:rtl/>
        </w:rPr>
      </w:pPr>
    </w:p>
    <w:p w:rsidR="00352574">
      <w:pPr>
        <w:ind w:left="1134" w:hanging="567"/>
        <w:rPr>
          <w:rtl/>
        </w:rPr>
      </w:pPr>
      <w:r>
        <w:rPr>
          <w:rFonts w:hint="cs"/>
          <w:rtl/>
        </w:rPr>
        <w:t>(ג)</w:t>
      </w:r>
      <w:r>
        <w:rPr>
          <w:rFonts w:hint="cs"/>
          <w:rtl/>
        </w:rPr>
        <w:tab/>
        <w:t>ההכנסות של הסיעה בתקופה 1.4.1991-31.12.1991 היו בגבולות האמורים בסעיף 8 לחוק המימון, בעניין קבלת תרומות.</w:t>
      </w:r>
    </w:p>
    <w:p w:rsidR="00352574">
      <w:pPr>
        <w:rPr>
          <w:rtl/>
        </w:rPr>
      </w:pPr>
    </w:p>
    <w:p w:rsidR="00352574">
      <w:pPr>
        <w:ind w:left="567" w:hanging="567"/>
        <w:rPr>
          <w:rtl/>
        </w:rPr>
      </w:pPr>
      <w:r>
        <w:rPr>
          <w:rFonts w:hint="cs"/>
          <w:rtl/>
        </w:rPr>
        <w:t>3.</w:t>
      </w:r>
      <w:r>
        <w:rPr>
          <w:rFonts w:hint="cs"/>
          <w:rtl/>
        </w:rPr>
        <w:tab/>
        <w:t>אי לכך, ניתן בזה דין וחשבון חיובי לגבי תוצאות ביקורת חשבונות הסיעה לתקופה 1.</w:t>
      </w:r>
      <w:r>
        <w:rPr>
          <w:rFonts w:hint="cs"/>
          <w:rtl/>
        </w:rPr>
        <w:t>4.1991-31.12.1991.</w:t>
      </w:r>
    </w:p>
    <w:p w:rsidR="00352574">
      <w:pPr>
        <w:rPr>
          <w:rtl/>
        </w:rPr>
      </w:pPr>
    </w:p>
    <w:p w:rsidR="00352574">
      <w:pPr>
        <w:tabs>
          <w:tab w:val="left" w:pos="6204"/>
        </w:tabs>
        <w:rPr>
          <w:rtl/>
        </w:rPr>
      </w:pPr>
      <w:r>
        <w:rPr>
          <w:rFonts w:hint="cs"/>
          <w:rtl/>
        </w:rPr>
        <w:tab/>
        <w:t>מרים בן-פורת</w:t>
      </w:r>
    </w:p>
    <w:p w:rsidR="00352574">
      <w:pPr>
        <w:tabs>
          <w:tab w:val="left" w:pos="6204"/>
        </w:tabs>
        <w:rPr>
          <w:rtl/>
        </w:rPr>
      </w:pPr>
      <w:r>
        <w:rPr>
          <w:rFonts w:hint="cs"/>
          <w:rtl/>
        </w:rPr>
        <w:tab/>
        <w:t>מבקר המדינה</w:t>
      </w:r>
    </w:p>
    <w:p w:rsidR="00352574">
      <w:pPr>
        <w:pStyle w:val="Header"/>
        <w:tabs>
          <w:tab w:val="clear" w:pos="4153"/>
          <w:tab w:val="clear" w:pos="8306"/>
        </w:tabs>
        <w:rPr>
          <w:rtl/>
        </w:rPr>
      </w:pPr>
      <w:r>
        <w:rPr>
          <w:rFonts w:hint="cs"/>
          <w:rtl/>
        </w:rPr>
        <w:t>ירושלים, כט' בתמוז התשנ"ב</w:t>
      </w:r>
    </w:p>
    <w:p w:rsidR="00352574">
      <w:pPr>
        <w:pStyle w:val="Header"/>
        <w:tabs>
          <w:tab w:val="left" w:pos="876"/>
          <w:tab w:val="clear" w:pos="4153"/>
          <w:tab w:val="clear" w:pos="8306"/>
        </w:tabs>
        <w:rPr>
          <w:rtl/>
        </w:rPr>
      </w:pPr>
      <w:r>
        <w:rPr>
          <w:rFonts w:hint="cs"/>
          <w:rtl/>
        </w:rPr>
        <w:tab/>
        <w:t>30 ביולי 1992</w:t>
      </w:r>
    </w:p>
    <w:sectPr>
      <w:pgSz w:w="11906" w:h="16838" w:code="9"/>
      <w:pgMar w:top="1701" w:right="1985" w:bottom="1588" w:left="1701" w:header="709" w:footer="709" w:gutter="0"/>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574">
    <w:pPr>
      <w:pStyle w:val="Footer"/>
      <w:rPr>
        <w:rtl/>
      </w:rPr>
    </w:pPr>
  </w:p>
  <w:p w:rsidR="00352574">
    <w:pPr>
      <w:pStyle w:val="Footer"/>
      <w:rPr>
        <w:rtl/>
      </w:rPr>
    </w:pPr>
    <w:r>
      <w:rPr>
        <w:noProof/>
        <w:rtl/>
        <w:lang w:eastAsia="en-US"/>
      </w:rPr>
      <mc:AlternateContent>
        <mc:Choice Requires="wps">
          <w:drawing>
            <wp:anchor distT="0" distB="0" distL="114300" distR="114300" simplePos="0" relativeHeight="251658240" behindDoc="0" locked="0" layoutInCell="1" allowOverlap="1" hidden="1">
              <wp:simplePos x="0" y="0"/>
              <wp:positionH relativeFrom="page">
                <wp:posOffset>1567180</wp:posOffset>
              </wp:positionH>
              <wp:positionV relativeFrom="paragraph">
                <wp:posOffset>86360</wp:posOffset>
              </wp:positionV>
              <wp:extent cx="4420870" cy="407035"/>
              <wp:effectExtent l="0" t="0" r="0" b="0"/>
              <wp:wrapNone/>
              <wp:docPr id="3" name="Warning2"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035"/>
                      </a:xfrm>
                      <a:prstGeom prst="rect">
                        <a:avLst/>
                      </a:prstGeom>
                      <a:solidFill>
                        <a:srgbClr val="FFFFFF"/>
                      </a:solidFill>
                      <a:ln w="9525">
                        <a:solidFill>
                          <a:srgbClr val="0000FF"/>
                        </a:solidFill>
                        <a:miter lim="800000"/>
                        <a:headEnd/>
                        <a:tailEnd/>
                      </a:ln>
                    </wps:spPr>
                    <wps:txbx>
                      <w:txbxContent>
                        <w:p w:rsidR="00352574">
                          <w:pPr>
                            <w:spacing w:line="288" w:lineRule="auto"/>
                            <w:jc w:val="center"/>
                            <w:rPr>
                              <w:rFonts w:cs="Narkisim"/>
                              <w:color w:val="0000FF"/>
                              <w:szCs w:val="18"/>
                              <w:rtl/>
                            </w:rPr>
                          </w:pPr>
                          <w:r>
                            <w:rPr>
                              <w:rFonts w:cs="Narkisim"/>
                              <w:color w:val="0000FF"/>
                              <w:szCs w:val="18"/>
                              <w:rtl/>
                            </w:rPr>
                            <w:t>מסמך זה מכיל</w:t>
                          </w:r>
                          <w:r>
                            <w:rPr>
                              <w:rFonts w:cs="Narkisim"/>
                              <w:color w:val="0000FF"/>
                              <w:szCs w:val="18"/>
                              <w:rtl/>
                            </w:rPr>
                            <w:t xml:space="preserve">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352574">
                          <w:pPr>
                            <w:spacing w:line="288" w:lineRule="auto"/>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565" rIns="91440" bIns="61214"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arning2" o:spid="_x0000_s2050" type="#_x0000_t202" style="width:348.1pt;height:32.05pt;margin-top:6.8pt;margin-left:123.4pt;mso-height-percent:0;mso-height-relative:page;mso-position-horizontal-relative:page;mso-width-percent:0;mso-width-relative:page;mso-wrap-distance-bottom:0;mso-wrap-distance-left:9pt;mso-wrap-distance-right:9pt;mso-wrap-distance-top:0;mso-wrap-style:square;position:absolute;visibility:hidden;v-text-anchor:top;z-index:251659264" strokecolor="blue">
              <v:textbox inset=",5.95pt,,4.82pt">
                <w:txbxContent>
                  <w:p w:rsidR="00352574">
                    <w:pPr>
                      <w:spacing w:line="288" w:lineRule="auto"/>
                      <w:jc w:val="center"/>
                      <w:rPr>
                        <w:rFonts w:cs="Narkisim"/>
                        <w:color w:val="0000FF"/>
                        <w:szCs w:val="18"/>
                        <w:rtl/>
                      </w:rPr>
                    </w:pPr>
                    <w:r>
                      <w:rPr>
                        <w:rFonts w:cs="Narkisim"/>
                        <w:color w:val="0000FF"/>
                        <w:szCs w:val="18"/>
                        <w:rtl/>
                      </w:rPr>
                      <w:t>מסמך זה מכיל</w:t>
                    </w:r>
                    <w:r>
                      <w:rPr>
                        <w:rFonts w:cs="Narkisim"/>
                        <w:color w:val="0000FF"/>
                        <w:szCs w:val="18"/>
                        <w:rtl/>
                      </w:rPr>
                      <w:t xml:space="preserve">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352574">
                    <w:pPr>
                      <w:spacing w:line="288" w:lineRule="auto"/>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352574">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574">
    <w:pPr>
      <w:pStyle w:val="Footer"/>
      <w:rPr>
        <w:rtl/>
      </w:rPr>
    </w:pPr>
  </w:p>
  <w:p w:rsidR="00352574">
    <w:pPr>
      <w:pStyle w:val="Footer"/>
      <w:rPr>
        <w:rtl/>
      </w:rPr>
    </w:pPr>
    <w:r>
      <w:rPr>
        <w:noProof/>
        <w:rtl/>
        <w:lang w:eastAsia="en-US"/>
      </w:rPr>
      <mc:AlternateContent>
        <mc:Choice Requires="wps">
          <w:drawing>
            <wp:anchor distT="0" distB="0" distL="114300" distR="114300" simplePos="0" relativeHeight="251664384" behindDoc="0" locked="0" layoutInCell="1" allowOverlap="1" hidden="1">
              <wp:simplePos x="0" y="0"/>
              <wp:positionH relativeFrom="page">
                <wp:posOffset>1550670</wp:posOffset>
              </wp:positionH>
              <wp:positionV relativeFrom="paragraph">
                <wp:posOffset>111760</wp:posOffset>
              </wp:positionV>
              <wp:extent cx="4420870" cy="407670"/>
              <wp:effectExtent l="0" t="0" r="0" b="0"/>
              <wp:wrapNone/>
              <wp:docPr id="1" name="Warning1"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670"/>
                      </a:xfrm>
                      <a:prstGeom prst="rect">
                        <a:avLst/>
                      </a:prstGeom>
                      <a:solidFill>
                        <a:srgbClr val="FFFFFF"/>
                      </a:solidFill>
                      <a:ln w="9525">
                        <a:solidFill>
                          <a:srgbClr val="0000FF"/>
                        </a:solidFill>
                        <a:miter lim="800000"/>
                        <a:headEnd/>
                        <a:tailEnd/>
                      </a:ln>
                    </wps:spPr>
                    <wps:txbx>
                      <w:txbxContent>
                        <w:p w:rsidR="00352574">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352574">
                          <w:pPr>
                            <w:spacing w:line="288" w:lineRule="auto"/>
                            <w:ind w:firstLine="34"/>
                            <w:jc w:val="center"/>
                            <w:rPr>
                              <w:rFonts w:cs="Narkisim"/>
                              <w:color w:val="0000FF"/>
                              <w:szCs w:val="18"/>
                              <w:rtl/>
                            </w:rPr>
                          </w:pPr>
                          <w:r>
                            <w:rPr>
                              <w:rFonts w:cs="Narkisim"/>
                              <w:color w:val="0000FF"/>
                              <w:szCs w:val="18"/>
                              <w:rtl/>
                            </w:rPr>
                            <w:t xml:space="preserve">אסור על פי סעיף </w:t>
                          </w:r>
                          <w:r>
                            <w:rPr>
                              <w:rFonts w:cs="Narkisim"/>
                              <w:color w:val="0000FF"/>
                              <w:szCs w:val="18"/>
                              <w:rtl/>
                            </w:rPr>
                            <w:t>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565" rIns="91440" bIns="61214"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arning1" o:spid="_x0000_s2052" type="#_x0000_t202" style="width:348.1pt;height:32.1pt;margin-top:8.8pt;margin-left:122.1pt;mso-height-percent:0;mso-height-relative:page;mso-position-horizontal-relative:page;mso-width-percent:0;mso-width-relative:page;mso-wrap-distance-bottom:0;mso-wrap-distance-left:9pt;mso-wrap-distance-right:9pt;mso-wrap-distance-top:0;mso-wrap-style:square;position:absolute;visibility:hidden;v-text-anchor:top;z-index:251665408" strokecolor="blue">
              <v:textbox inset=",5.95pt,,4.82pt">
                <w:txbxContent>
                  <w:p w:rsidR="00352574">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352574">
                    <w:pPr>
                      <w:spacing w:line="288" w:lineRule="auto"/>
                      <w:ind w:firstLine="34"/>
                      <w:jc w:val="center"/>
                      <w:rPr>
                        <w:rFonts w:cs="Narkisim"/>
                        <w:color w:val="0000FF"/>
                        <w:szCs w:val="18"/>
                        <w:rtl/>
                      </w:rPr>
                    </w:pPr>
                    <w:r>
                      <w:rPr>
                        <w:rFonts w:cs="Narkisim"/>
                        <w:color w:val="0000FF"/>
                        <w:szCs w:val="18"/>
                        <w:rtl/>
                      </w:rPr>
                      <w:t xml:space="preserve">אסור על פי סעיף </w:t>
                    </w:r>
                    <w:r>
                      <w:rPr>
                        <w:rFonts w:cs="Narkisim"/>
                        <w:color w:val="0000FF"/>
                        <w:szCs w:val="18"/>
                        <w:rtl/>
                      </w:rPr>
                      <w:t>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352574">
    <w:pPr>
      <w:pStyle w:val="Footer"/>
      <w:rPr>
        <w:rt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574">
    <w:pPr>
      <w:pStyle w:val="Header"/>
      <w:rPr>
        <w:rStyle w:val="PageNumber"/>
        <w:rtl/>
      </w:rPr>
    </w:pPr>
    <w:r>
      <w:rPr>
        <w:noProof/>
        <w:rtl/>
        <w:lang w:eastAsia="en-US"/>
      </w:rPr>
      <mc:AlternateContent>
        <mc:Choice Requires="wps">
          <w:drawing>
            <wp:anchor distT="0" distB="0" distL="114300" distR="114300" simplePos="0" relativeHeight="251662336" behindDoc="0" locked="0" layoutInCell="1" allowOverlap="1" hidden="1">
              <wp:simplePos x="0" y="0"/>
              <wp:positionH relativeFrom="column">
                <wp:posOffset>3821430</wp:posOffset>
              </wp:positionH>
              <wp:positionV relativeFrom="paragraph">
                <wp:posOffset>117475</wp:posOffset>
              </wp:positionV>
              <wp:extent cx="1851025" cy="241300"/>
              <wp:effectExtent l="0" t="0" r="0" b="0"/>
              <wp:wrapNone/>
              <wp:docPr id="4" name="HeadTwo"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51025" cy="2413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52574">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HeadTwo" o:spid="_x0000_s2049" type="#_x0000_t202" style="width:145.75pt;height:19pt;margin-top:9.25pt;margin-left:300.9pt;mso-height-percent:0;mso-height-relative:page;mso-width-percent:0;mso-width-relative:page;mso-wrap-distance-bottom:0;mso-wrap-distance-left:9pt;mso-wrap-distance-right:9pt;mso-wrap-distance-top:0;mso-wrap-style:square;position:absolute;visibility:hidden;v-text-anchor:top;z-index:251663360" stroked="f">
              <v:textbox>
                <w:txbxContent>
                  <w:p w:rsidR="00352574">
                    <w:pPr>
                      <w:rPr>
                        <w:rtl/>
                      </w:rPr>
                    </w:pPr>
                    <w:r>
                      <w:rPr>
                        <w:rFonts w:cs="Miriam" w:hint="cs"/>
                        <w:color w:val="0000FF"/>
                        <w:sz w:val="27"/>
                        <w:szCs w:val="27"/>
                        <w:rtl/>
                      </w:rPr>
                      <w:t>משרד מבקר המדינה</w:t>
                    </w:r>
                  </w:p>
                </w:txbxContent>
              </v:textbox>
            </v:shape>
          </w:pict>
        </mc:Fallback>
      </mc:AlternateContent>
    </w:r>
    <w:r>
      <w:rPr>
        <w:rFonts w:hint="cs"/>
        <w:rtl/>
      </w:rPr>
      <w:t xml:space="preserve"> </w:t>
    </w:r>
    <w:r>
      <w:rPr>
        <w:rFonts w:hint="cs"/>
        <w:rtl/>
      </w:rPr>
      <w:tab/>
    </w:r>
    <w:r>
      <w:rPr>
        <w:rFonts w:hint="cs"/>
        <w:sz w:val="21"/>
        <w:szCs w:val="21"/>
        <w:rtl/>
      </w:rPr>
      <w:t xml:space="preserve">- </w:t>
    </w:r>
    <w:r>
      <w:rPr>
        <w:rStyle w:val="PageNumber"/>
        <w:szCs w:val="21"/>
      </w:rPr>
      <w:fldChar w:fldCharType="begin"/>
    </w:r>
    <w:r>
      <w:rPr>
        <w:rStyle w:val="PageNumber"/>
        <w:szCs w:val="21"/>
      </w:rPr>
      <w:instrText xml:space="preserve"> PAGE </w:instrText>
    </w:r>
    <w:r>
      <w:rPr>
        <w:rStyle w:val="PageNumber"/>
        <w:szCs w:val="21"/>
      </w:rPr>
      <w:fldChar w:fldCharType="separate"/>
    </w:r>
    <w:r>
      <w:rPr>
        <w:rStyle w:val="PageNumber"/>
        <w:noProof/>
        <w:szCs w:val="21"/>
        <w:rtl/>
      </w:rPr>
      <w:t>2</w:t>
    </w:r>
    <w:r>
      <w:rPr>
        <w:rStyle w:val="PageNumber"/>
        <w:szCs w:val="21"/>
      </w:rPr>
      <w:fldChar w:fldCharType="end"/>
    </w:r>
    <w:r>
      <w:rPr>
        <w:rStyle w:val="PageNumber"/>
        <w:rFonts w:hint="cs"/>
        <w:rtl/>
      </w:rPr>
      <w:t xml:space="preserve"> </w:t>
    </w:r>
    <w:r>
      <w:rPr>
        <w:rStyle w:val="PageNumber"/>
        <w:rFonts w:hint="cs"/>
        <w:sz w:val="21"/>
        <w:szCs w:val="21"/>
        <w:rt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574">
    <w:pPr>
      <w:pStyle w:val="Header"/>
      <w:rPr>
        <w:rFonts w:cs="Miriam"/>
        <w:color w:val="0000FF"/>
        <w:rtl/>
      </w:rPr>
    </w:pPr>
    <w:r>
      <w:rPr>
        <w:noProof/>
        <w:rtl/>
        <w:lang w:eastAsia="en-US"/>
      </w:rPr>
      <mc:AlternateContent>
        <mc:Choice Requires="wps">
          <w:drawing>
            <wp:anchor distT="0" distB="0" distL="114300" distR="114300" simplePos="0" relativeHeight="251660288"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2"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52574">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HeadOne" o:spid="_x0000_s2051"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61312" stroked="f">
              <v:textbox>
                <w:txbxContent>
                  <w:p w:rsidR="00352574">
                    <w:pPr>
                      <w:rPr>
                        <w:rtl/>
                      </w:rPr>
                    </w:pPr>
                    <w:r>
                      <w:rPr>
                        <w:rFonts w:cs="Miriam" w:hint="cs"/>
                        <w:color w:val="0000FF"/>
                        <w:sz w:val="27"/>
                        <w:szCs w:val="27"/>
                        <w:rtl/>
                      </w:rPr>
                      <w:t>משרד מבקר המדינה</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3443390D"/>
    <w:multiLevelType w:val="singleLevel"/>
    <w:tmpl w:val="A07AD338"/>
    <w:lvl w:ilvl="0">
      <w:start w:val="1"/>
      <w:numFmt w:val="upperRoman"/>
      <w:lvlText w:val="%1."/>
      <w:lvlJc w:val="center"/>
      <w:pPr>
        <w:tabs>
          <w:tab w:val="num" w:pos="648"/>
        </w:tabs>
        <w:ind w:left="648" w:right="648" w:hanging="360"/>
      </w:pPr>
    </w:lvl>
  </w:abstractNum>
  <w:abstractNum w:abstractNumId="2">
    <w:nsid w:val="397A3339"/>
    <w:multiLevelType w:val="hybridMultilevel"/>
    <w:tmpl w:val="AF109DE2"/>
    <w:lvl w:ilvl="0">
      <w:start w:val="1"/>
      <w:numFmt w:val="decimal"/>
      <w:lvlText w:val="%1."/>
      <w:lvlJc w:val="left"/>
      <w:pPr>
        <w:tabs>
          <w:tab w:val="num" w:pos="732"/>
        </w:tabs>
        <w:ind w:left="732" w:right="732" w:hanging="360"/>
      </w:pPr>
    </w:lvl>
    <w:lvl w:ilvl="1" w:tentative="1">
      <w:start w:val="1"/>
      <w:numFmt w:val="lowerLetter"/>
      <w:lvlText w:val="%2."/>
      <w:lvlJc w:val="left"/>
      <w:pPr>
        <w:tabs>
          <w:tab w:val="num" w:pos="1452"/>
        </w:tabs>
        <w:ind w:left="1452" w:right="1452" w:hanging="360"/>
      </w:pPr>
    </w:lvl>
    <w:lvl w:ilvl="2" w:tentative="1">
      <w:start w:val="1"/>
      <w:numFmt w:val="lowerRoman"/>
      <w:lvlText w:val="%3."/>
      <w:lvlJc w:val="right"/>
      <w:pPr>
        <w:tabs>
          <w:tab w:val="num" w:pos="2172"/>
        </w:tabs>
        <w:ind w:left="2172" w:right="2172" w:hanging="180"/>
      </w:pPr>
    </w:lvl>
    <w:lvl w:ilvl="3" w:tentative="1">
      <w:start w:val="1"/>
      <w:numFmt w:val="decimal"/>
      <w:lvlText w:val="%4."/>
      <w:lvlJc w:val="left"/>
      <w:pPr>
        <w:tabs>
          <w:tab w:val="num" w:pos="2892"/>
        </w:tabs>
        <w:ind w:left="2892" w:right="2892" w:hanging="360"/>
      </w:pPr>
    </w:lvl>
    <w:lvl w:ilvl="4" w:tentative="1">
      <w:start w:val="1"/>
      <w:numFmt w:val="lowerLetter"/>
      <w:lvlText w:val="%5."/>
      <w:lvlJc w:val="left"/>
      <w:pPr>
        <w:tabs>
          <w:tab w:val="num" w:pos="3612"/>
        </w:tabs>
        <w:ind w:left="3612" w:right="3612" w:hanging="360"/>
      </w:pPr>
    </w:lvl>
    <w:lvl w:ilvl="5" w:tentative="1">
      <w:start w:val="1"/>
      <w:numFmt w:val="lowerRoman"/>
      <w:lvlText w:val="%6."/>
      <w:lvlJc w:val="right"/>
      <w:pPr>
        <w:tabs>
          <w:tab w:val="num" w:pos="4332"/>
        </w:tabs>
        <w:ind w:left="4332" w:right="4332" w:hanging="180"/>
      </w:pPr>
    </w:lvl>
    <w:lvl w:ilvl="6" w:tentative="1">
      <w:start w:val="1"/>
      <w:numFmt w:val="decimal"/>
      <w:lvlText w:val="%7."/>
      <w:lvlJc w:val="left"/>
      <w:pPr>
        <w:tabs>
          <w:tab w:val="num" w:pos="5052"/>
        </w:tabs>
        <w:ind w:left="5052" w:right="5052" w:hanging="360"/>
      </w:pPr>
    </w:lvl>
    <w:lvl w:ilvl="7" w:tentative="1">
      <w:start w:val="1"/>
      <w:numFmt w:val="lowerLetter"/>
      <w:lvlText w:val="%8."/>
      <w:lvlJc w:val="left"/>
      <w:pPr>
        <w:tabs>
          <w:tab w:val="num" w:pos="5772"/>
        </w:tabs>
        <w:ind w:left="5772" w:right="5772" w:hanging="360"/>
      </w:pPr>
    </w:lvl>
    <w:lvl w:ilvl="8" w:tentative="1">
      <w:start w:val="1"/>
      <w:numFmt w:val="lowerRoman"/>
      <w:lvlText w:val="%9."/>
      <w:lvlJc w:val="right"/>
      <w:pPr>
        <w:tabs>
          <w:tab w:val="num" w:pos="6492"/>
        </w:tabs>
        <w:ind w:left="6492" w:right="6492" w:hanging="180"/>
      </w:pPr>
    </w:lvl>
  </w:abstractNum>
  <w:abstractNum w:abstractNumId="3">
    <w:nsid w:val="3EBF7946"/>
    <w:multiLevelType w:val="hybridMultilevel"/>
    <w:tmpl w:val="AFF84222"/>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5">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6A1C7FB5"/>
    <w:multiLevelType w:val="singleLevel"/>
    <w:tmpl w:val="CB646ABA"/>
    <w:lvl w:ilvl="0">
      <w:start w:val="1"/>
      <w:numFmt w:val="hebrew1"/>
      <w:lvlText w:val="%1."/>
      <w:lvlJc w:val="center"/>
      <w:pPr>
        <w:tabs>
          <w:tab w:val="num" w:pos="797"/>
        </w:tabs>
        <w:ind w:left="797" w:right="797" w:hanging="360"/>
      </w:pPr>
    </w:lvl>
  </w:abstractNum>
  <w:abstractNum w:abstractNumId="7">
    <w:nsid w:val="79853964"/>
    <w:multiLevelType w:val="hybridMultilevel"/>
    <w:tmpl w:val="BBD68FD6"/>
    <w:lvl w:ilvl="0">
      <w:start w:val="1"/>
      <w:numFmt w:val="decimal"/>
      <w:lvlText w:val="%1."/>
      <w:lvlJc w:val="left"/>
      <w:pPr>
        <w:tabs>
          <w:tab w:val="num" w:pos="732"/>
        </w:tabs>
        <w:ind w:left="732" w:right="732" w:hanging="360"/>
      </w:pPr>
    </w:lvl>
    <w:lvl w:ilvl="1" w:tentative="1">
      <w:start w:val="1"/>
      <w:numFmt w:val="lowerLetter"/>
      <w:lvlText w:val="%2."/>
      <w:lvlJc w:val="left"/>
      <w:pPr>
        <w:tabs>
          <w:tab w:val="num" w:pos="1452"/>
        </w:tabs>
        <w:ind w:left="1452" w:right="1452" w:hanging="360"/>
      </w:pPr>
    </w:lvl>
    <w:lvl w:ilvl="2" w:tentative="1">
      <w:start w:val="1"/>
      <w:numFmt w:val="lowerRoman"/>
      <w:lvlText w:val="%3."/>
      <w:lvlJc w:val="right"/>
      <w:pPr>
        <w:tabs>
          <w:tab w:val="num" w:pos="2172"/>
        </w:tabs>
        <w:ind w:left="2172" w:right="2172" w:hanging="180"/>
      </w:pPr>
    </w:lvl>
    <w:lvl w:ilvl="3" w:tentative="1">
      <w:start w:val="1"/>
      <w:numFmt w:val="decimal"/>
      <w:lvlText w:val="%4."/>
      <w:lvlJc w:val="left"/>
      <w:pPr>
        <w:tabs>
          <w:tab w:val="num" w:pos="2892"/>
        </w:tabs>
        <w:ind w:left="2892" w:right="2892" w:hanging="360"/>
      </w:pPr>
    </w:lvl>
    <w:lvl w:ilvl="4" w:tentative="1">
      <w:start w:val="1"/>
      <w:numFmt w:val="lowerLetter"/>
      <w:lvlText w:val="%5."/>
      <w:lvlJc w:val="left"/>
      <w:pPr>
        <w:tabs>
          <w:tab w:val="num" w:pos="3612"/>
        </w:tabs>
        <w:ind w:left="3612" w:right="3612" w:hanging="360"/>
      </w:pPr>
    </w:lvl>
    <w:lvl w:ilvl="5" w:tentative="1">
      <w:start w:val="1"/>
      <w:numFmt w:val="lowerRoman"/>
      <w:lvlText w:val="%6."/>
      <w:lvlJc w:val="right"/>
      <w:pPr>
        <w:tabs>
          <w:tab w:val="num" w:pos="4332"/>
        </w:tabs>
        <w:ind w:left="4332" w:right="4332" w:hanging="180"/>
      </w:pPr>
    </w:lvl>
    <w:lvl w:ilvl="6" w:tentative="1">
      <w:start w:val="1"/>
      <w:numFmt w:val="decimal"/>
      <w:lvlText w:val="%7."/>
      <w:lvlJc w:val="left"/>
      <w:pPr>
        <w:tabs>
          <w:tab w:val="num" w:pos="5052"/>
        </w:tabs>
        <w:ind w:left="5052" w:right="5052" w:hanging="360"/>
      </w:pPr>
    </w:lvl>
    <w:lvl w:ilvl="7" w:tentative="1">
      <w:start w:val="1"/>
      <w:numFmt w:val="lowerLetter"/>
      <w:lvlText w:val="%8."/>
      <w:lvlJc w:val="left"/>
      <w:pPr>
        <w:tabs>
          <w:tab w:val="num" w:pos="5772"/>
        </w:tabs>
        <w:ind w:left="5772" w:right="5772" w:hanging="360"/>
      </w:pPr>
    </w:lvl>
    <w:lvl w:ilvl="8" w:tentative="1">
      <w:start w:val="1"/>
      <w:numFmt w:val="lowerRoman"/>
      <w:lvlText w:val="%9."/>
      <w:lvlJc w:val="right"/>
      <w:pPr>
        <w:tabs>
          <w:tab w:val="num" w:pos="6492"/>
        </w:tabs>
        <w:ind w:left="6492" w:right="6492" w:hanging="180"/>
      </w:pPr>
    </w:lvl>
  </w:abstractNum>
  <w:num w:numId="1">
    <w:abstractNumId w:val="4"/>
  </w:num>
  <w:num w:numId="2">
    <w:abstractNumId w:val="4"/>
  </w:num>
  <w:num w:numId="3">
    <w:abstractNumId w:val="4"/>
  </w:num>
  <w:num w:numId="4">
    <w:abstractNumId w:val="1"/>
  </w:num>
  <w:num w:numId="5">
    <w:abstractNumId w:val="6"/>
  </w:num>
  <w:num w:numId="6">
    <w:abstractNumId w:val="6"/>
  </w:num>
  <w:num w:numId="7">
    <w:abstractNumId w:val="4"/>
  </w:num>
  <w:num w:numId="8">
    <w:abstractNumId w:val="4"/>
  </w:num>
  <w:num w:numId="9">
    <w:abstractNumId w:val="6"/>
  </w:num>
  <w:num w:numId="10">
    <w:abstractNumId w:val="4"/>
  </w:num>
  <w:num w:numId="11">
    <w:abstractNumId w:val="6"/>
  </w:num>
  <w:num w:numId="12">
    <w:abstractNumId w:val="5"/>
  </w:num>
  <w:num w:numId="13">
    <w:abstractNumId w:val="0"/>
  </w:num>
  <w:num w:numId="14">
    <w:abstractNumId w:val="3"/>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drawingGridHorizontalSpacing w:val="72"/>
  <w:drawingGridVerticalSpacing w:val="98"/>
  <w:displayHorizontalDrawingGridEvery w:val="2"/>
  <w:displayVerticalDrawingGridEvery w:val="2"/>
  <w:noPunctuationKerning/>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74"/>
    <w:rsid w:val="001B5208"/>
    <w:rsid w:val="00352574"/>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jc w:val="both"/>
    </w:pPr>
    <w:rPr>
      <w:rFonts w:cs="David"/>
      <w:sz w:val="24"/>
      <w:szCs w:val="24"/>
      <w:lang w:eastAsia="he-IL"/>
    </w:rPr>
  </w:style>
  <w:style w:type="paragraph" w:styleId="Heading1">
    <w:name w:val="heading 1"/>
    <w:basedOn w:val="Normal"/>
    <w:next w:val="Normal"/>
    <w:uiPriority w:val="9"/>
    <w:qFormat/>
    <w:pPr>
      <w:keepNext/>
      <w:spacing w:before="240" w:after="6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tabs>
        <w:tab w:val="left" w:pos="5772"/>
        <w:tab w:val="left" w:pos="6636"/>
      </w:tabs>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u w:val="single"/>
    </w:rPr>
  </w:style>
  <w:style w:type="paragraph" w:customStyle="1" w:styleId="11">
    <w:name w:val="כותרת 11"/>
    <w:basedOn w:val="Normal"/>
    <w:next w:val="Normal"/>
    <w:pPr>
      <w:spacing w:before="240" w:after="480" w:line="288" w:lineRule="auto"/>
      <w:jc w:val="center"/>
    </w:pPr>
    <w:rPr>
      <w:b/>
      <w:bCs/>
      <w:sz w:val="32"/>
      <w:szCs w:val="36"/>
      <w:u w:val="single"/>
    </w:rPr>
  </w:style>
  <w:style w:type="paragraph" w:customStyle="1" w:styleId="21">
    <w:name w:val="כותרת 21"/>
    <w:basedOn w:val="Normal"/>
    <w:next w:val="Normal"/>
    <w:pPr>
      <w:spacing w:before="100" w:beforeAutospacing="1" w:after="240" w:line="264" w:lineRule="auto"/>
      <w:jc w:val="center"/>
    </w:pPr>
    <w:rPr>
      <w:b/>
      <w:bCs/>
      <w:sz w:val="28"/>
      <w:szCs w:val="32"/>
    </w:rPr>
  </w:style>
  <w:style w:type="paragraph" w:customStyle="1" w:styleId="31">
    <w:name w:val="כותרת 31"/>
    <w:basedOn w:val="Normal"/>
    <w:next w:val="Normal"/>
    <w:pPr>
      <w:spacing w:before="100" w:beforeAutospacing="1" w:line="288" w:lineRule="auto"/>
      <w:jc w:val="left"/>
    </w:pPr>
    <w:rPr>
      <w:b/>
      <w:bCs/>
      <w:szCs w:val="28"/>
      <w:u w:val="single"/>
    </w:rPr>
  </w:style>
  <w:style w:type="paragraph" w:customStyle="1" w:styleId="41">
    <w:name w:val="כותרת 41"/>
    <w:basedOn w:val="Normal"/>
    <w:next w:val="Normal"/>
    <w:pPr>
      <w:spacing w:before="100" w:beforeAutospacing="1" w:line="264" w:lineRule="auto"/>
      <w:jc w:val="left"/>
    </w:pPr>
    <w:rPr>
      <w:b/>
      <w:bCs/>
      <w:sz w:val="22"/>
      <w:szCs w:val="26"/>
    </w:rPr>
  </w:style>
  <w:style w:type="paragraph" w:customStyle="1" w:styleId="a">
    <w:name w:val="נבנצלים"/>
    <w:basedOn w:val="Normal"/>
    <w:next w:val="Normal"/>
    <w:pPr>
      <w:ind w:left="-567"/>
    </w:pPr>
    <w:rPr>
      <w:szCs w:val="20"/>
    </w:rPr>
  </w:style>
  <w:style w:type="paragraph" w:styleId="BodyText">
    <w:name w:val="Body Text"/>
    <w:basedOn w:val="Normal"/>
  </w:style>
  <w:style w:type="paragraph" w:styleId="BodyText2">
    <w:name w:val="Body Text 2"/>
    <w:basedOn w:val="Normal"/>
    <w:pPr>
      <w:jc w:val="lef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pPr>
      <w:ind w:left="567" w:hanging="567"/>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rPr>
      <w:szCs w:val="20"/>
    </w:rPr>
  </w:style>
  <w:style w:type="character" w:styleId="EndnoteReference">
    <w:name w:val="endnote reference"/>
    <w:basedOn w:val="DefaultParagraphFont"/>
    <w:semiHidden/>
    <w:rPr>
      <w:vertAlign w:val="superscript"/>
    </w:rPr>
  </w:style>
  <w:style w:type="paragraph" w:styleId="BodyText3">
    <w:name w:val="Body Text 3"/>
    <w:basedOn w:val="Normal"/>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image" Target="media/image1.png"/><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9E6092-B7FC-41EC-863A-AC1E808DDF34}"/>
</file>

<file path=customXml/itemProps2.xml><?xml version="1.0" encoding="utf-8"?>
<ds:datastoreItem xmlns:ds="http://schemas.openxmlformats.org/officeDocument/2006/customXml" ds:itemID="{E8395487-C10C-4C37-8390-32A5013A64C4}"/>
</file>

<file path=customXml/itemProps3.xml><?xml version="1.0" encoding="utf-8"?>
<ds:datastoreItem xmlns:ds="http://schemas.openxmlformats.org/officeDocument/2006/customXml" ds:itemID="{A2257495-4A35-47D3-AB14-6F04D934F37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