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7D02D4" w:rsidP="007D02D4">
      <w:pPr>
        <w:spacing w:before="120" w:after="120" w:line="360" w:lineRule="auto"/>
        <w:jc w:val="both"/>
        <w:rPr>
          <w:rtl/>
        </w:rPr>
      </w:pPr>
      <w:bookmarkStart w:id="0" w:name="_GoBack"/>
      <w:bookmarkEnd w:id="0"/>
      <w:r w:rsidRPr="007D02D4">
        <w:rPr>
          <w:rFonts w:hint="cs"/>
          <w:b/>
          <w:bCs/>
          <w:rtl/>
        </w:rPr>
        <w:t>מוגש בזה לכנסת</w:t>
      </w:r>
      <w:r w:rsidRPr="007D02D4">
        <w:rPr>
          <w:rFonts w:hint="cs"/>
          <w:sz w:val="28"/>
          <w:szCs w:val="28"/>
          <w:rtl/>
        </w:rPr>
        <w:t xml:space="preserve"> </w:t>
      </w:r>
      <w:r>
        <w:rPr>
          <w:rFonts w:hint="cs"/>
          <w:rtl/>
        </w:rPr>
        <w:t>הדין וחשבון השלושים ושבעה של נציב תלונות הציבור.</w:t>
      </w:r>
    </w:p>
    <w:p w:rsidR="007D02D4" w:rsidP="007D02D4">
      <w:pPr>
        <w:tabs>
          <w:tab w:val="left" w:pos="2777"/>
        </w:tabs>
        <w:spacing w:before="120" w:after="120" w:line="360" w:lineRule="auto"/>
        <w:jc w:val="both"/>
        <w:rPr>
          <w:rtl/>
        </w:rPr>
      </w:pPr>
      <w:r>
        <w:rPr>
          <w:rFonts w:hint="cs"/>
          <w:rtl/>
        </w:rPr>
        <w:t>באלול התשע"א (ספטמבר 2011) ימלאו 40 שנה להקמתה של נציבות תלונות הציבור. עם קום המדינה לא היו בעולם אלא שני מוסדות אומבודסמן בלבד - בשבדיה ובפינלנד. מינוי אומבודסמן בדנמרק בשנת 1955 בישר את תחילתו של מסע נרחב בארצות רבות להנחלתו של מוסד האומבודסמן כמגן זכויות הפרט. ישראל הייתה המדינה השישית שהסדירה בשנת 1971 את נושא בירור תלונות הציבור, והיא עשתה זאת בדרך ייחודית, על ידי הטלת תפקיד האומבודסמן הלאומי על מבקר המדינה. כיום מוכרים בעולם יותר מ-120 מוסדות אומבודסמן, ורובם - ובהם ישראל - גם חברים בארגוני אומבודסמנים בין-לאומיים</w:t>
      </w:r>
      <w:r>
        <w:rPr>
          <w:rStyle w:val="FootnoteReference"/>
          <w:rtl/>
        </w:rPr>
        <w:footnoteReference w:id="2"/>
      </w:r>
      <w:r>
        <w:rPr>
          <w:rFonts w:hint="cs"/>
          <w:rtl/>
        </w:rPr>
        <w:t>.</w:t>
      </w:r>
    </w:p>
    <w:p w:rsidR="007D02D4" w:rsidP="007D02D4">
      <w:pPr>
        <w:tabs>
          <w:tab w:val="left" w:pos="2777"/>
        </w:tabs>
        <w:spacing w:before="120" w:after="120" w:line="360" w:lineRule="auto"/>
        <w:jc w:val="both"/>
        <w:rPr>
          <w:rtl/>
        </w:rPr>
      </w:pPr>
      <w:r>
        <w:rPr>
          <w:rFonts w:hint="cs"/>
          <w:rtl/>
        </w:rPr>
        <w:t>במרוצת 40 שנות פעילותה של נציבות תלונות הציבור - הגוף שבאמצעותו ממלא המבקר את תפקידו החוקתי כנציב תלונות הציבור - נעשו בחוק מבקר המדינה, התשי"ח-1958 [נוסח משולב], שינויים המבצרים את מעמד הנציב ומוסיפים לו סמכויות. אולם ביסודו של דבר, הנציב הוא "שופט של שכנוע" ואין להחלטותיו כוח של כפייה (למעט במקרה של מתן צו הגנה לחושף שחיתות). אף על פי כן, הרשויות רואות עצמן מחויבות לקיים את החלטותיו בשל ההערכה הציבורית לעצמאותו, לרמתו המקצועית וליוקרתו המוסרית של המוסד, ותפיסה זו הובעה זה מכבר בפסיקת בית המשפט העליון ולפיה אף שהחלטתו של נציב תלונות הציבור היא בגדר המלצה ולא בגדר צו מחייב, אין להסכין עם כך שהרשויות לא יתקנו כדרישתו ליקויים שהועלו בבירור תלונה</w:t>
      </w:r>
      <w:r>
        <w:rPr>
          <w:rStyle w:val="FootnoteReference"/>
          <w:rtl/>
        </w:rPr>
        <w:footnoteReference w:id="3"/>
      </w:r>
      <w:r>
        <w:rPr>
          <w:rFonts w:hint="cs"/>
          <w:rtl/>
        </w:rPr>
        <w:t>.</w:t>
      </w:r>
    </w:p>
    <w:p w:rsidR="007D02D4" w:rsidP="007D02D4">
      <w:pPr>
        <w:tabs>
          <w:tab w:val="left" w:pos="2777"/>
        </w:tabs>
        <w:spacing w:before="120" w:after="120" w:line="360" w:lineRule="auto"/>
        <w:jc w:val="both"/>
        <w:rPr>
          <w:rtl/>
        </w:rPr>
      </w:pPr>
      <w:r>
        <w:rPr>
          <w:rFonts w:hint="cs"/>
          <w:rtl/>
        </w:rPr>
        <w:t>שנת 2010 הייתה שנת שיא בכל הזמנים: כ-14,000 תיקי תלונה חדשים נפתחו באותה שנה. זהו גידול של כ-10% במספר התלונות לעומת 2009 וגידול של 44% במספר תיקי התלונה שנפתחו בנציבות לעומת 2005. הדבר מעיד יותר מכול על האמון הרב של הציבור במוסד נציב תלונות הציבור ועל ההתייעלות ההולכת וגוברת של הנציבות במתן השירות לפרט. השנה תוסיף הנציבות ותפעל להגברת נגישותה לנזקקים לשירותיה על ידי פתיחת שתי לשכות אזוריות חדשות - באזור רמלה-לוד במרכז ובקריית שמונה שבצפון - נוסף על אלה הפועלות בבאר שבע, בנצרת ובנצרת עילית.</w:t>
      </w:r>
    </w:p>
    <w:p w:rsidR="007D02D4" w:rsidP="007D02D4">
      <w:pPr>
        <w:tabs>
          <w:tab w:val="left" w:pos="2777"/>
        </w:tabs>
        <w:spacing w:before="120" w:after="120" w:line="360" w:lineRule="auto"/>
        <w:jc w:val="both"/>
        <w:rPr>
          <w:rtl/>
        </w:rPr>
      </w:pPr>
      <w:r>
        <w:rPr>
          <w:rFonts w:hint="cs"/>
          <w:rtl/>
        </w:rPr>
        <w:t>מאז הקמתה ועד היום טיפלה הנציבות במאות אלפי פניות מן הציבור הרחב, ובכלל זה עולים חדשים, קשישים, בני מיעוטים, אנשים בעלי צרכים מיוחדים ובעלי הכנסה נמוכה שידם אינה משגת לשכור עורך דין; לכולם שימשה כפֶה אל מול רשויות המדינה, ואת עניינם של רבים מהם הביאה על תיקונו. הדוח השנתי כולל, כמדי שנה בשנה, תיאור של הנושאים המגוונים שבהם טיפלה הנציבות בשנה החולפת כדי לסייע לפרט בהגנה על זכויותיו ובמימושן. כך, למשל, פעלה הנציבות לפתרון בעיית היעדרו של מיגון ראוי לשעת חירום בגני ילדים הפועלים במבנים זמניים בשכונה חדשה בפתח תקוה; להתאמת כיתת לימוד לצרכיו של תלמיד בעל ליקויי שמיעה; להקלת מצוקתה של אם שאינה זכאית לסבסוד שכר הלימוד של בתה הפעוטה במעון יום אף שלא נמצא לבת מקום מתאים בגן עירייה; למתן פטור לעיוורים מתשלום אגרת טלוויזיה כבר ממועד הנפקת תעודת העיוור</w:t>
      </w:r>
      <w:r>
        <w:rPr>
          <w:rStyle w:val="FootnoteReference"/>
          <w:rtl/>
        </w:rPr>
        <w:footnoteReference w:id="4"/>
      </w:r>
      <w:r>
        <w:rPr>
          <w:rFonts w:hint="cs"/>
          <w:rtl/>
        </w:rPr>
        <w:t xml:space="preserve"> ועוד.</w:t>
      </w:r>
    </w:p>
    <w:p w:rsidR="007D02D4">
      <w:pPr>
        <w:bidi w:val="0"/>
        <w:spacing w:after="200" w:line="276" w:lineRule="auto"/>
        <w:rPr>
          <w:rtl/>
        </w:rPr>
      </w:pPr>
      <w:r>
        <w:rPr>
          <w:rtl/>
        </w:rPr>
        <w:br w:type="page"/>
      </w:r>
    </w:p>
    <w:p w:rsidR="007D02D4" w:rsidP="007D02D4">
      <w:pPr>
        <w:tabs>
          <w:tab w:val="left" w:pos="2777"/>
        </w:tabs>
        <w:spacing w:before="120" w:after="120" w:line="360" w:lineRule="auto"/>
        <w:jc w:val="both"/>
        <w:rPr>
          <w:rtl/>
        </w:rPr>
      </w:pPr>
      <w:r>
        <w:rPr>
          <w:rFonts w:hint="cs"/>
          <w:rtl/>
        </w:rPr>
        <w:t>בבירורה של תלונה נחשפים לעיתים ליקויים כלליים שאינם נוגעים רק לעניינו של המתלונן היחיד. דוגמה לליקוי כללי כזה היא אי-מתן מענה לפונים לרשויות. ב-2010, בדומה לשנים קודמות, התקבלו בנציבות תלונות רבות בנושא זה, ושיעור התלונות שבוררו ונמצאו מוצדקות היה, למרבה הצער, גבוה במידה ניכרת מהשיעור הממוצע של התלונות המוצדקות. לפיכך מצאה הנציבות לנכון להפנות זרקור אל הנושא: העניין נדון באחרונה בוועדה לענייני ביקורת המדינה של הכנסת, ונציגי הנציבות הציגו בדיון את הקשיים הרבים שבהם נתקל הציבור במגעיו עם משרדי הממשלה בכל הקשור למתן מענה ענייני לפניותיו בתוך זמן סביר</w:t>
      </w:r>
      <w:r>
        <w:rPr>
          <w:rStyle w:val="FootnoteReference"/>
          <w:rtl/>
        </w:rPr>
        <w:footnoteReference w:id="5"/>
      </w:r>
      <w:r>
        <w:rPr>
          <w:rFonts w:hint="cs"/>
          <w:rtl/>
        </w:rPr>
        <w:t>. בדיון השתתפו גם נציגי ביקורת המדינה שעשו בעבר ביקורת בנושא</w:t>
      </w:r>
      <w:r>
        <w:rPr>
          <w:rStyle w:val="FootnoteReference"/>
          <w:rtl/>
        </w:rPr>
        <w:footnoteReference w:id="6"/>
      </w:r>
      <w:r>
        <w:rPr>
          <w:rFonts w:hint="cs"/>
          <w:rtl/>
        </w:rPr>
        <w:t>. הטיפול המשולב בעניין, של ביקורת המדינה ושל נציבות תלונות הציבור, מלמד גם הוא על היתרונות שבאיחוד התפקידים של מבקר המדינה ושל נציב תלונות הציבור ובביצועם הסינרגטי במסגרת ארגונית אחת</w:t>
      </w:r>
      <w:r>
        <w:rPr>
          <w:rStyle w:val="FootnoteReference"/>
          <w:rtl/>
        </w:rPr>
        <w:footnoteReference w:id="7"/>
      </w:r>
      <w:r>
        <w:rPr>
          <w:rFonts w:hint="cs"/>
          <w:rtl/>
        </w:rPr>
        <w:t>.</w:t>
      </w:r>
    </w:p>
    <w:p w:rsidR="007D02D4" w:rsidP="007D02D4">
      <w:pPr>
        <w:tabs>
          <w:tab w:val="left" w:pos="2777"/>
        </w:tabs>
        <w:spacing w:before="120" w:after="120" w:line="360" w:lineRule="auto"/>
        <w:jc w:val="both"/>
        <w:rPr>
          <w:rtl/>
        </w:rPr>
      </w:pPr>
      <w:r>
        <w:rPr>
          <w:rFonts w:hint="cs"/>
          <w:rtl/>
        </w:rPr>
        <w:t>כבכל השנים שחלפו מאז הקמתה, גם השנה תוסיף נציבות תלונות הציבור לסייע לפונים הרבים אליה במימוש זכויותיהם ובהקלת מגעיהם עם הרשויות תוך שיפור סדרי המינהל הציבורי והשירות שהוא נותן לציבור.</w:t>
      </w:r>
    </w:p>
    <w:p w:rsidR="007D02D4" w:rsidP="007D02D4">
      <w:pPr>
        <w:tabs>
          <w:tab w:val="center" w:pos="4746"/>
        </w:tabs>
        <w:spacing w:before="120" w:after="120" w:line="360" w:lineRule="auto"/>
        <w:jc w:val="both"/>
        <w:rPr>
          <w:rtl/>
        </w:rPr>
      </w:pPr>
      <w:r>
        <w:rPr>
          <w:rFonts w:hint="cs"/>
          <w:rtl/>
        </w:rPr>
        <w:tab/>
      </w:r>
      <w:r>
        <w:rPr>
          <w:noProof/>
        </w:rPr>
        <w:drawing>
          <wp:inline distT="0" distB="0" distL="0" distR="0">
            <wp:extent cx="1600200" cy="997585"/>
            <wp:effectExtent l="0" t="0" r="0" b="0"/>
            <wp:docPr id="3" name="תמונה 3" descr="חתימה_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89742" name="Picture 3" descr="חתימה_TIFF"/>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997585"/>
                    </a:xfrm>
                    <a:prstGeom prst="rect">
                      <a:avLst/>
                    </a:prstGeom>
                    <a:noFill/>
                    <a:ln>
                      <a:noFill/>
                    </a:ln>
                  </pic:spPr>
                </pic:pic>
              </a:graphicData>
            </a:graphic>
          </wp:inline>
        </w:drawing>
      </w:r>
    </w:p>
    <w:p w:rsidR="007D02D4" w:rsidP="007D02D4">
      <w:pPr>
        <w:tabs>
          <w:tab w:val="center" w:pos="4746"/>
        </w:tabs>
        <w:spacing w:before="120" w:after="120" w:line="360" w:lineRule="auto"/>
        <w:jc w:val="both"/>
        <w:rPr>
          <w:b/>
          <w:bCs/>
          <w:rtl/>
        </w:rPr>
      </w:pPr>
      <w:r>
        <w:rPr>
          <w:rFonts w:hint="cs"/>
          <w:b/>
          <w:bCs/>
          <w:rtl/>
        </w:rPr>
        <w:tab/>
        <w:t>מיכה לינדנשטראוס, שופט (בדימ')</w:t>
      </w:r>
    </w:p>
    <w:p w:rsidR="007D02D4" w:rsidP="007D02D4">
      <w:pPr>
        <w:tabs>
          <w:tab w:val="center" w:pos="4746"/>
        </w:tabs>
        <w:spacing w:before="120" w:after="120" w:line="360" w:lineRule="auto"/>
        <w:jc w:val="both"/>
        <w:rPr>
          <w:rtl/>
        </w:rPr>
      </w:pPr>
      <w:r>
        <w:rPr>
          <w:rFonts w:hint="cs"/>
          <w:rtl/>
        </w:rPr>
        <w:tab/>
        <w:t>מבקר המדינה</w:t>
      </w:r>
    </w:p>
    <w:p w:rsidR="007D02D4" w:rsidRPr="00E54E08" w:rsidP="007D02D4">
      <w:pPr>
        <w:pStyle w:val="Header"/>
        <w:tabs>
          <w:tab w:val="clear" w:pos="4153"/>
          <w:tab w:val="center" w:pos="4746"/>
          <w:tab w:val="clear" w:pos="8306"/>
        </w:tabs>
        <w:spacing w:before="120" w:after="120" w:line="360" w:lineRule="auto"/>
        <w:jc w:val="both"/>
        <w:rPr>
          <w:rtl/>
        </w:rPr>
      </w:pPr>
      <w:r>
        <w:rPr>
          <w:rFonts w:hint="cs"/>
          <w:rtl/>
        </w:rPr>
        <w:tab/>
        <w:t>ונציב תלונות הציבור</w:t>
      </w:r>
    </w:p>
    <w:p w:rsidR="007D02D4" w:rsidP="007D02D4">
      <w:pPr>
        <w:tabs>
          <w:tab w:val="left" w:pos="898"/>
        </w:tabs>
        <w:spacing w:before="120" w:after="120" w:line="360" w:lineRule="auto"/>
        <w:jc w:val="both"/>
        <w:rPr>
          <w:sz w:val="22"/>
          <w:rtl/>
        </w:rPr>
      </w:pPr>
      <w:r>
        <w:rPr>
          <w:rFonts w:hint="cs"/>
          <w:sz w:val="22"/>
          <w:rtl/>
        </w:rPr>
        <w:t>ירושלים,</w:t>
      </w:r>
      <w:r>
        <w:rPr>
          <w:rFonts w:hint="cs"/>
          <w:sz w:val="22"/>
          <w:rtl/>
        </w:rPr>
        <w:tab/>
      </w:r>
      <w:r>
        <w:rPr>
          <w:rFonts w:hint="cs"/>
          <w:sz w:val="40"/>
          <w:rtl/>
        </w:rPr>
        <w:t>אייר התשע"א</w:t>
      </w:r>
    </w:p>
    <w:p w:rsidR="007D02D4" w:rsidP="007D02D4">
      <w:pPr>
        <w:tabs>
          <w:tab w:val="left" w:pos="898"/>
        </w:tabs>
        <w:spacing w:before="120" w:after="120" w:line="360" w:lineRule="auto"/>
        <w:jc w:val="both"/>
        <w:rPr>
          <w:sz w:val="22"/>
          <w:rtl/>
        </w:rPr>
      </w:pPr>
      <w:r>
        <w:rPr>
          <w:rFonts w:hint="cs"/>
          <w:sz w:val="22"/>
          <w:rtl/>
        </w:rPr>
        <w:tab/>
      </w:r>
      <w:r>
        <w:rPr>
          <w:rFonts w:hint="cs"/>
          <w:sz w:val="40"/>
          <w:rtl/>
        </w:rPr>
        <w:t>מאי 2011</w:t>
      </w:r>
    </w:p>
    <w:p w:rsidR="00A278A4" w:rsidRPr="007D02D4" w:rsidP="007D02D4">
      <w:pPr>
        <w:spacing w:before="120" w:after="120" w:line="360" w:lineRule="auto"/>
        <w:jc w:val="both"/>
      </w:pPr>
    </w:p>
    <w:sectPr w:rsidSect="00EB5A50">
      <w:headerReference w:type="default" r:id="rId6"/>
      <w:pgSz w:w="11906" w:h="16838"/>
      <w:pgMar w:top="1418" w:right="1800" w:bottom="709"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94A47" w:rsidP="008B022D">
      <w:pPr>
        <w:spacing w:line="240" w:lineRule="auto"/>
      </w:pPr>
      <w:r>
        <w:separator/>
      </w:r>
    </w:p>
  </w:footnote>
  <w:footnote w:type="continuationSeparator" w:id="1">
    <w:p w:rsidR="00A94A47" w:rsidP="008B022D">
      <w:pPr>
        <w:spacing w:line="240" w:lineRule="auto"/>
      </w:pPr>
      <w:r>
        <w:continuationSeparator/>
      </w:r>
    </w:p>
  </w:footnote>
  <w:footnote w:id="2">
    <w:p w:rsidR="007D02D4" w:rsidP="007D02D4">
      <w:pPr>
        <w:pStyle w:val="FootnoteText"/>
        <w:spacing w:line="200" w:lineRule="exact"/>
        <w:ind w:left="397" w:hanging="397"/>
        <w:rPr>
          <w:rStyle w:val="FootnoteReference"/>
          <w:rFonts w:ascii="FrankRuehl" w:hAnsi="FrankRuehl" w:cs="FrankRuehl"/>
          <w:szCs w:val="20"/>
        </w:rPr>
      </w:pPr>
      <w:r>
        <w:rPr>
          <w:rStyle w:val="FootnoteReference"/>
          <w:rFonts w:ascii="FrankRuehl" w:hAnsi="FrankRuehl" w:cs="FrankRuehl"/>
          <w:szCs w:val="20"/>
        </w:rPr>
        <w:footnoteRef/>
      </w:r>
      <w:r>
        <w:rPr>
          <w:rStyle w:val="FootnoteReference"/>
          <w:rFonts w:ascii="FrankRuehl" w:hAnsi="FrankRuehl" w:cs="FrankRuehl"/>
          <w:szCs w:val="20"/>
          <w:rtl/>
        </w:rPr>
        <w:t xml:space="preserve"> </w:t>
      </w:r>
      <w:r>
        <w:rPr>
          <w:rStyle w:val="FootnoteReference"/>
          <w:rFonts w:ascii="FrankRuehl" w:hAnsi="FrankRuehl" w:cs="FrankRuehl" w:hint="cs"/>
          <w:szCs w:val="20"/>
          <w:rtl/>
        </w:rPr>
        <w:tab/>
        <w:t xml:space="preserve">ראו להלן את הסקירה בנושא קשרים בין-לאומיים, עמ' </w:t>
      </w:r>
      <w:r>
        <w:rPr>
          <w:rFonts w:hint="cs"/>
          <w:rtl/>
        </w:rPr>
        <w:t>147</w:t>
      </w:r>
      <w:r>
        <w:rPr>
          <w:rStyle w:val="FootnoteReference"/>
          <w:rFonts w:ascii="FrankRuehl" w:hAnsi="FrankRuehl" w:cs="FrankRuehl" w:hint="cs"/>
          <w:szCs w:val="20"/>
          <w:rtl/>
        </w:rPr>
        <w:t>.</w:t>
      </w:r>
    </w:p>
  </w:footnote>
  <w:footnote w:id="3">
    <w:p w:rsidR="007D02D4" w:rsidP="007D02D4">
      <w:pPr>
        <w:pStyle w:val="FootnoteText"/>
        <w:spacing w:line="200" w:lineRule="exact"/>
        <w:ind w:left="397" w:hanging="397"/>
        <w:rPr>
          <w:rtl/>
        </w:rPr>
      </w:pPr>
      <w:r>
        <w:rPr>
          <w:rStyle w:val="FootnoteReference"/>
          <w:rFonts w:ascii="FrankRuehl" w:hAnsi="FrankRuehl" w:cs="FrankRuehl"/>
          <w:szCs w:val="20"/>
        </w:rPr>
        <w:footnoteRef/>
      </w:r>
      <w:r>
        <w:rPr>
          <w:rStyle w:val="FootnoteReference"/>
          <w:rFonts w:ascii="FrankRuehl" w:hAnsi="FrankRuehl" w:cs="FrankRuehl"/>
          <w:szCs w:val="20"/>
          <w:rtl/>
        </w:rPr>
        <w:t xml:space="preserve"> </w:t>
      </w:r>
      <w:r>
        <w:rPr>
          <w:rFonts w:hint="cs"/>
          <w:rtl/>
        </w:rPr>
        <w:tab/>
      </w:r>
      <w:r>
        <w:rPr>
          <w:rtl/>
        </w:rPr>
        <w:t>בג"</w:t>
      </w:r>
      <w:r>
        <w:rPr>
          <w:rFonts w:hint="cs"/>
          <w:rtl/>
        </w:rPr>
        <w:t>ץ</w:t>
      </w:r>
      <w:r>
        <w:rPr>
          <w:rtl/>
        </w:rPr>
        <w:t xml:space="preserve"> 304/71</w:t>
      </w:r>
      <w:r>
        <w:rPr>
          <w:rFonts w:hint="cs"/>
          <w:rtl/>
        </w:rPr>
        <w:t xml:space="preserve"> </w:t>
      </w:r>
      <w:r>
        <w:rPr>
          <w:b/>
          <w:bCs/>
          <w:rtl/>
        </w:rPr>
        <w:t>דודאי</w:t>
      </w:r>
      <w:r>
        <w:rPr>
          <w:rFonts w:hint="cs"/>
          <w:b/>
          <w:bCs/>
          <w:rtl/>
        </w:rPr>
        <w:t xml:space="preserve"> </w:t>
      </w:r>
      <w:r>
        <w:rPr>
          <w:b/>
          <w:bCs/>
          <w:rtl/>
        </w:rPr>
        <w:t>נ</w:t>
      </w:r>
      <w:r>
        <w:rPr>
          <w:rFonts w:hint="cs"/>
          <w:b/>
          <w:bCs/>
          <w:rtl/>
        </w:rPr>
        <w:t>'</w:t>
      </w:r>
      <w:r>
        <w:rPr>
          <w:b/>
          <w:bCs/>
          <w:rtl/>
        </w:rPr>
        <w:t xml:space="preserve"> הראל</w:t>
      </w:r>
      <w:r>
        <w:rPr>
          <w:rFonts w:hint="cs"/>
          <w:b/>
          <w:bCs/>
          <w:rtl/>
        </w:rPr>
        <w:t xml:space="preserve"> ואח'</w:t>
      </w:r>
      <w:r>
        <w:rPr>
          <w:rFonts w:hint="cs"/>
          <w:rtl/>
        </w:rPr>
        <w:t xml:space="preserve">, פ"ד </w:t>
      </w:r>
      <w:r>
        <w:rPr>
          <w:rtl/>
        </w:rPr>
        <w:t>כ</w:t>
      </w:r>
      <w:r>
        <w:rPr>
          <w:rFonts w:hint="cs"/>
          <w:rtl/>
        </w:rPr>
        <w:t>"</w:t>
      </w:r>
      <w:r>
        <w:rPr>
          <w:rtl/>
        </w:rPr>
        <w:t>ה(2) 554</w:t>
      </w:r>
      <w:r>
        <w:rPr>
          <w:rFonts w:hint="cs"/>
          <w:rtl/>
        </w:rPr>
        <w:t>.</w:t>
      </w:r>
    </w:p>
  </w:footnote>
  <w:footnote w:id="4">
    <w:p w:rsidR="007D02D4" w:rsidP="007D02D4">
      <w:pPr>
        <w:pStyle w:val="FootnoteText"/>
        <w:spacing w:line="200" w:lineRule="exact"/>
        <w:ind w:left="397" w:hanging="397"/>
        <w:rPr>
          <w:rStyle w:val="FootnoteReference"/>
          <w:rFonts w:ascii="FrankRuehl" w:hAnsi="FrankRuehl" w:cs="FrankRuehl"/>
          <w:szCs w:val="20"/>
        </w:rPr>
      </w:pPr>
      <w:r>
        <w:rPr>
          <w:rStyle w:val="FootnoteReference"/>
          <w:rFonts w:ascii="FrankRuehl" w:hAnsi="FrankRuehl" w:cs="FrankRuehl"/>
          <w:szCs w:val="20"/>
        </w:rPr>
        <w:footnoteRef/>
      </w:r>
      <w:r>
        <w:rPr>
          <w:rStyle w:val="FootnoteReference"/>
          <w:rFonts w:ascii="FrankRuehl" w:hAnsi="FrankRuehl" w:cs="FrankRuehl"/>
          <w:szCs w:val="20"/>
          <w:rtl/>
        </w:rPr>
        <w:t xml:space="preserve"> </w:t>
      </w:r>
      <w:r>
        <w:rPr>
          <w:rStyle w:val="FootnoteReference"/>
          <w:rFonts w:ascii="FrankRuehl" w:hAnsi="FrankRuehl" w:cs="FrankRuehl"/>
          <w:szCs w:val="20"/>
          <w:rtl/>
        </w:rPr>
        <w:tab/>
      </w:r>
      <w:r>
        <w:rPr>
          <w:rStyle w:val="FootnoteReference"/>
          <w:rFonts w:ascii="FrankRuehl" w:hAnsi="FrankRuehl" w:cs="FrankRuehl" w:hint="cs"/>
          <w:szCs w:val="20"/>
          <w:rtl/>
        </w:rPr>
        <w:t>ראו, תלונה 27, בעמ' 2</w:t>
      </w:r>
      <w:r>
        <w:rPr>
          <w:rFonts w:ascii="FrankRuehl" w:hAnsi="FrankRuehl" w:cs="FrankRuehl" w:hint="cs"/>
          <w:szCs w:val="20"/>
          <w:rtl/>
        </w:rPr>
        <w:t>19</w:t>
      </w:r>
      <w:r>
        <w:rPr>
          <w:rStyle w:val="FootnoteReference"/>
          <w:rFonts w:ascii="FrankRuehl" w:hAnsi="FrankRuehl" w:cs="FrankRuehl" w:hint="cs"/>
          <w:szCs w:val="20"/>
          <w:rtl/>
        </w:rPr>
        <w:t>; תלונה 28, בעמ' 2</w:t>
      </w:r>
      <w:r>
        <w:rPr>
          <w:rFonts w:ascii="FrankRuehl" w:hAnsi="FrankRuehl" w:cs="FrankRuehl" w:hint="cs"/>
          <w:szCs w:val="20"/>
          <w:rtl/>
        </w:rPr>
        <w:t>23</w:t>
      </w:r>
      <w:r>
        <w:rPr>
          <w:rStyle w:val="FootnoteReference"/>
          <w:rFonts w:ascii="FrankRuehl" w:hAnsi="FrankRuehl" w:cs="FrankRuehl" w:hint="cs"/>
          <w:szCs w:val="20"/>
          <w:rtl/>
        </w:rPr>
        <w:t>; תלונה 14, בעמ' 1</w:t>
      </w:r>
      <w:r>
        <w:rPr>
          <w:rFonts w:ascii="FrankRuehl" w:hAnsi="FrankRuehl" w:cs="FrankRuehl" w:hint="cs"/>
          <w:szCs w:val="20"/>
          <w:rtl/>
        </w:rPr>
        <w:t>83</w:t>
      </w:r>
      <w:r>
        <w:rPr>
          <w:rStyle w:val="FootnoteReference"/>
          <w:rFonts w:ascii="FrankRuehl" w:hAnsi="FrankRuehl" w:cs="FrankRuehl" w:hint="cs"/>
          <w:szCs w:val="20"/>
          <w:rtl/>
        </w:rPr>
        <w:t xml:space="preserve">; תלונה 54, בעמ' </w:t>
      </w:r>
      <w:r>
        <w:rPr>
          <w:rFonts w:ascii="FrankRuehl" w:hAnsi="FrankRuehl" w:cs="FrankRuehl" w:hint="cs"/>
          <w:szCs w:val="20"/>
          <w:rtl/>
        </w:rPr>
        <w:t>297</w:t>
      </w:r>
      <w:r>
        <w:rPr>
          <w:rStyle w:val="FootnoteReference"/>
          <w:rFonts w:ascii="FrankRuehl" w:hAnsi="FrankRuehl" w:cs="FrankRuehl" w:hint="cs"/>
          <w:szCs w:val="20"/>
          <w:rtl/>
        </w:rPr>
        <w:t>.</w:t>
      </w:r>
    </w:p>
  </w:footnote>
  <w:footnote w:id="5">
    <w:p w:rsidR="007D02D4" w:rsidP="007D02D4">
      <w:pPr>
        <w:pStyle w:val="FootnoteText"/>
        <w:spacing w:line="200" w:lineRule="exact"/>
        <w:ind w:left="397" w:hanging="397"/>
        <w:rPr>
          <w:rtl/>
        </w:rPr>
      </w:pPr>
      <w:r>
        <w:rPr>
          <w:rStyle w:val="FootnoteReference"/>
          <w:rFonts w:ascii="FrankRuehl" w:hAnsi="FrankRuehl" w:cs="FrankRuehl"/>
          <w:szCs w:val="20"/>
        </w:rPr>
        <w:footnoteRef/>
      </w:r>
      <w:r>
        <w:rPr>
          <w:rStyle w:val="FootnoteReference"/>
          <w:rFonts w:ascii="FrankRuehl" w:hAnsi="FrankRuehl" w:cs="FrankRuehl"/>
          <w:szCs w:val="20"/>
          <w:rtl/>
        </w:rPr>
        <w:t xml:space="preserve"> </w:t>
      </w:r>
      <w:r>
        <w:rPr>
          <w:rFonts w:hint="cs"/>
          <w:rtl/>
        </w:rPr>
        <w:tab/>
        <w:t>ישיבת הוועדה התקיימה ב-15.3.11. ראו להלן את הסקירה בנושא השירות לציבור - אי-מתן מענה, בעמ' 135.</w:t>
      </w:r>
    </w:p>
  </w:footnote>
  <w:footnote w:id="6">
    <w:p w:rsidR="007D02D4" w:rsidP="007D02D4">
      <w:pPr>
        <w:pStyle w:val="FootnoteText"/>
        <w:spacing w:line="200" w:lineRule="exact"/>
        <w:ind w:left="397" w:hanging="397"/>
        <w:rPr>
          <w:b/>
          <w:bCs/>
          <w:rtl/>
        </w:rPr>
      </w:pPr>
      <w:r>
        <w:rPr>
          <w:rStyle w:val="FootnoteReference"/>
          <w:rFonts w:ascii="FrankRuehl" w:hAnsi="FrankRuehl" w:cs="FrankRuehl"/>
          <w:szCs w:val="20"/>
        </w:rPr>
        <w:footnoteRef/>
      </w:r>
      <w:r>
        <w:rPr>
          <w:rStyle w:val="FootnoteReference"/>
          <w:rFonts w:ascii="FrankRuehl" w:hAnsi="FrankRuehl" w:cs="FrankRuehl"/>
          <w:szCs w:val="20"/>
          <w:rtl/>
        </w:rPr>
        <w:t xml:space="preserve"> </w:t>
      </w:r>
      <w:r>
        <w:rPr>
          <w:rtl/>
        </w:rPr>
        <w:tab/>
      </w:r>
      <w:r>
        <w:rPr>
          <w:rFonts w:hint="cs"/>
          <w:rtl/>
        </w:rPr>
        <w:t>ראו מבקר המדינה,</w:t>
      </w:r>
      <w:r>
        <w:rPr>
          <w:rFonts w:hint="cs"/>
          <w:b/>
          <w:bCs/>
          <w:rtl/>
        </w:rPr>
        <w:t xml:space="preserve"> דוח שנתי 53ב, </w:t>
      </w:r>
      <w:r>
        <w:rPr>
          <w:rFonts w:hint="cs"/>
          <w:rtl/>
        </w:rPr>
        <w:t>עמ' 111</w:t>
      </w:r>
      <w:r>
        <w:rPr>
          <w:rFonts w:hint="cs"/>
          <w:b/>
          <w:bCs/>
          <w:rtl/>
        </w:rPr>
        <w:t>.</w:t>
      </w:r>
    </w:p>
  </w:footnote>
  <w:footnote w:id="7">
    <w:p w:rsidR="007D02D4" w:rsidP="007D02D4">
      <w:pPr>
        <w:pStyle w:val="FootnoteText"/>
        <w:spacing w:line="200" w:lineRule="exact"/>
        <w:ind w:left="397" w:hanging="397"/>
        <w:rPr>
          <w:rtl/>
        </w:rPr>
      </w:pPr>
      <w:r>
        <w:rPr>
          <w:rStyle w:val="FootnoteReference"/>
          <w:rFonts w:ascii="FrankRuehl" w:hAnsi="FrankRuehl" w:cs="FrankRuehl"/>
          <w:szCs w:val="20"/>
        </w:rPr>
        <w:footnoteRef/>
      </w:r>
      <w:r>
        <w:rPr>
          <w:rStyle w:val="FootnoteReference"/>
          <w:rFonts w:ascii="FrankRuehl" w:hAnsi="FrankRuehl" w:cs="FrankRuehl"/>
          <w:szCs w:val="20"/>
          <w:rtl/>
        </w:rPr>
        <w:t xml:space="preserve"> </w:t>
      </w:r>
      <w:r>
        <w:rPr>
          <w:rtl/>
        </w:rPr>
        <w:tab/>
      </w:r>
      <w:r>
        <w:rPr>
          <w:rFonts w:hint="cs"/>
          <w:rtl/>
        </w:rPr>
        <w:t>ראו דברי המבוא, נציב תלונות הציבור,</w:t>
      </w:r>
      <w:r>
        <w:rPr>
          <w:rFonts w:hint="cs"/>
          <w:b/>
          <w:bCs/>
          <w:rtl/>
        </w:rPr>
        <w:t xml:space="preserve"> דוח שנתי 36 </w:t>
      </w:r>
      <w:r>
        <w:rPr>
          <w:rFonts w:hint="cs"/>
          <w:rtl/>
        </w:rPr>
        <w:t>(2009).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022D" w:rsidRPr="00912ECB" w:rsidP="00EB5A50">
    <w:pPr>
      <w:pStyle w:val="Heading7"/>
      <w:widowControl/>
      <w:bidi/>
      <w:jc w:val="left"/>
      <w:rPr>
        <w:color w:val="A6A6A6" w:themeColor="background1" w:themeShade="A6"/>
        <w:sz w:val="24"/>
        <w:szCs w:val="24"/>
        <w:lang w:eastAsia="en-US"/>
      </w:rPr>
    </w:pPr>
    <w:r w:rsidRPr="00EB5A50">
      <w:rPr>
        <w:rFonts w:hint="cs"/>
        <w:b/>
        <w:bCs/>
        <w:color w:val="A6A6A6" w:themeColor="background1" w:themeShade="A6"/>
        <w:sz w:val="24"/>
        <w:szCs w:val="24"/>
        <w:rtl/>
        <w:lang w:eastAsia="en-US"/>
      </w:rPr>
      <w:t>דוח שנתי 37 לשנת 2010 של נציבות תלונות הציבור</w:t>
    </w:r>
    <w:r>
      <w:rPr>
        <w:rFonts w:hint="cs"/>
        <w:color w:val="A6A6A6" w:themeColor="background1" w:themeShade="A6"/>
        <w:sz w:val="24"/>
        <w:szCs w:val="24"/>
        <w:rtl/>
        <w:lang w:eastAsia="en-US"/>
      </w:rPr>
      <w:t xml:space="preserve">                                             </w:t>
    </w:r>
    <w:r w:rsidRPr="0049253C">
      <w:rPr>
        <w:rFonts w:hint="cs"/>
        <w:color w:val="A6A6A6" w:themeColor="background1" w:themeShade="A6"/>
        <w:sz w:val="24"/>
        <w:szCs w:val="24"/>
        <w:rtl/>
        <w:lang w:eastAsia="en-US"/>
      </w:rPr>
      <w:t xml:space="preserve">שנת פרסום: </w:t>
    </w:r>
    <w:r w:rsidRPr="0049253C" w:rsidR="000932BC">
      <w:rPr>
        <w:rFonts w:hint="cs"/>
        <w:color w:val="A6A6A6" w:themeColor="background1" w:themeShade="A6"/>
        <w:sz w:val="24"/>
        <w:szCs w:val="24"/>
        <w:rtl/>
        <w:lang w:eastAsia="en-US"/>
      </w:rPr>
      <w:t>201</w:t>
    </w:r>
    <w:r w:rsidRPr="00EB5A50" w:rsidR="00360FAD">
      <w:rPr>
        <w:rFonts w:hint="cs"/>
        <w:color w:val="A6A6A6" w:themeColor="background1" w:themeShade="A6"/>
        <w:sz w:val="24"/>
        <w:szCs w:val="24"/>
        <w:rtl/>
        <w:lang w:eastAsia="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4134F7"/>
    <w:multiLevelType w:val="hybridMultilevel"/>
    <w:tmpl w:val="719E18B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2D"/>
    <w:rsid w:val="000464AE"/>
    <w:rsid w:val="000932BC"/>
    <w:rsid w:val="00094FCD"/>
    <w:rsid w:val="000B6C64"/>
    <w:rsid w:val="00130FF9"/>
    <w:rsid w:val="00340F95"/>
    <w:rsid w:val="0035759B"/>
    <w:rsid w:val="00360FAD"/>
    <w:rsid w:val="003D6466"/>
    <w:rsid w:val="0049253C"/>
    <w:rsid w:val="00494C18"/>
    <w:rsid w:val="004D261D"/>
    <w:rsid w:val="00527BEC"/>
    <w:rsid w:val="005642A1"/>
    <w:rsid w:val="00630F26"/>
    <w:rsid w:val="00667709"/>
    <w:rsid w:val="006C0D67"/>
    <w:rsid w:val="006F27A1"/>
    <w:rsid w:val="00726F52"/>
    <w:rsid w:val="00732684"/>
    <w:rsid w:val="007B0224"/>
    <w:rsid w:val="007D02D4"/>
    <w:rsid w:val="00823D0C"/>
    <w:rsid w:val="008468A9"/>
    <w:rsid w:val="008B022D"/>
    <w:rsid w:val="00912522"/>
    <w:rsid w:val="00912ECB"/>
    <w:rsid w:val="00A278A4"/>
    <w:rsid w:val="00A94A47"/>
    <w:rsid w:val="00B1347D"/>
    <w:rsid w:val="00B829BA"/>
    <w:rsid w:val="00C467EB"/>
    <w:rsid w:val="00C9566A"/>
    <w:rsid w:val="00D1719A"/>
    <w:rsid w:val="00D6495A"/>
    <w:rsid w:val="00D6547D"/>
    <w:rsid w:val="00DB2363"/>
    <w:rsid w:val="00E54E08"/>
    <w:rsid w:val="00E745FF"/>
    <w:rsid w:val="00EB5A50"/>
    <w:rsid w:val="00EC68B3"/>
    <w:rsid w:val="00F81E40"/>
    <w:rsid w:val="00FA480F"/>
  </w:rsids>
  <w:docVars>
    <w:docVar w:name="sivug" w:val="0"/>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2D"/>
    <w:pPr>
      <w:bidi/>
      <w:spacing w:after="0" w:line="240" w:lineRule="exact"/>
    </w:pPr>
    <w:rPr>
      <w:rFonts w:ascii="Times New Roman" w:eastAsia="Times New Roman" w:hAnsi="Times New Roman" w:cs="David"/>
      <w:sz w:val="24"/>
      <w:szCs w:val="24"/>
    </w:rPr>
  </w:style>
  <w:style w:type="paragraph" w:styleId="Heading5">
    <w:name w:val="heading 5"/>
    <w:basedOn w:val="Normal"/>
    <w:next w:val="Normal"/>
    <w:link w:val="5"/>
    <w:uiPriority w:val="9"/>
    <w:qFormat/>
    <w:rsid w:val="0049253C"/>
    <w:pPr>
      <w:keepNext/>
      <w:widowControl w:val="0"/>
      <w:bidi w:val="0"/>
      <w:spacing w:before="360" w:line="312" w:lineRule="auto"/>
      <w:jc w:val="center"/>
      <w:outlineLvl w:val="4"/>
    </w:pPr>
    <w:rPr>
      <w:sz w:val="44"/>
      <w:szCs w:val="44"/>
      <w:lang w:eastAsia="he-IL"/>
    </w:rPr>
  </w:style>
  <w:style w:type="paragraph" w:styleId="Heading7">
    <w:name w:val="heading 7"/>
    <w:basedOn w:val="Normal"/>
    <w:next w:val="Normal"/>
    <w:link w:val="7"/>
    <w:uiPriority w:val="9"/>
    <w:qFormat/>
    <w:rsid w:val="0049253C"/>
    <w:pPr>
      <w:keepNext/>
      <w:widowControl w:val="0"/>
      <w:bidi w:val="0"/>
      <w:spacing w:line="312" w:lineRule="auto"/>
      <w:jc w:val="center"/>
      <w:outlineLvl w:val="6"/>
    </w:pPr>
    <w:rPr>
      <w:sz w:val="128"/>
      <w:szCs w:val="1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kzir">
    <w:name w:val="takzir"/>
    <w:basedOn w:val="Normal"/>
    <w:rsid w:val="008B022D"/>
    <w:pPr>
      <w:spacing w:after="120"/>
      <w:jc w:val="both"/>
    </w:pPr>
    <w:rPr>
      <w:b/>
      <w:bCs/>
      <w:noProof/>
      <w:sz w:val="22"/>
      <w:szCs w:val="22"/>
      <w:lang w:eastAsia="he-IL"/>
    </w:rPr>
  </w:style>
  <w:style w:type="paragraph" w:styleId="BalloonText">
    <w:name w:val="Balloon Text"/>
    <w:basedOn w:val="Normal"/>
    <w:link w:val="a"/>
    <w:uiPriority w:val="99"/>
    <w:semiHidden/>
    <w:unhideWhenUsed/>
    <w:rsid w:val="008B022D"/>
    <w:pPr>
      <w:spacing w:line="240" w:lineRule="auto"/>
    </w:pPr>
    <w:rPr>
      <w:rFonts w:ascii="Tahoma" w:hAnsi="Tahoma" w:cs="Tahoma"/>
      <w:sz w:val="16"/>
      <w:szCs w:val="16"/>
    </w:rPr>
  </w:style>
  <w:style w:type="character" w:customStyle="1" w:styleId="a">
    <w:name w:val="טקסט בלונים תו"/>
    <w:basedOn w:val="DefaultParagraphFont"/>
    <w:link w:val="BalloonText"/>
    <w:uiPriority w:val="99"/>
    <w:semiHidden/>
    <w:rsid w:val="008B022D"/>
    <w:rPr>
      <w:rFonts w:ascii="Tahoma" w:eastAsia="Times New Roman" w:hAnsi="Tahoma" w:cs="Tahoma"/>
      <w:sz w:val="16"/>
      <w:szCs w:val="16"/>
    </w:rPr>
  </w:style>
  <w:style w:type="paragraph" w:styleId="Header">
    <w:name w:val="header"/>
    <w:basedOn w:val="Normal"/>
    <w:link w:val="a0"/>
    <w:unhideWhenUsed/>
    <w:rsid w:val="008B022D"/>
    <w:pPr>
      <w:tabs>
        <w:tab w:val="center" w:pos="4153"/>
        <w:tab w:val="right" w:pos="8306"/>
      </w:tabs>
      <w:spacing w:line="240" w:lineRule="auto"/>
    </w:pPr>
  </w:style>
  <w:style w:type="character" w:customStyle="1" w:styleId="a0">
    <w:name w:val="כותרת עליונה תו"/>
    <w:basedOn w:val="DefaultParagraphFont"/>
    <w:link w:val="Header"/>
    <w:uiPriority w:val="99"/>
    <w:rsid w:val="008B022D"/>
    <w:rPr>
      <w:rFonts w:ascii="Times New Roman" w:eastAsia="Times New Roman" w:hAnsi="Times New Roman" w:cs="David"/>
      <w:sz w:val="24"/>
      <w:szCs w:val="24"/>
    </w:rPr>
  </w:style>
  <w:style w:type="paragraph" w:styleId="Footer">
    <w:name w:val="footer"/>
    <w:basedOn w:val="Normal"/>
    <w:link w:val="a1"/>
    <w:unhideWhenUsed/>
    <w:rsid w:val="008B022D"/>
    <w:pPr>
      <w:tabs>
        <w:tab w:val="center" w:pos="4153"/>
        <w:tab w:val="right" w:pos="8306"/>
      </w:tabs>
      <w:spacing w:line="240" w:lineRule="auto"/>
    </w:pPr>
  </w:style>
  <w:style w:type="character" w:customStyle="1" w:styleId="a1">
    <w:name w:val="כותרת תחתונה תו"/>
    <w:basedOn w:val="DefaultParagraphFont"/>
    <w:link w:val="Footer"/>
    <w:uiPriority w:val="99"/>
    <w:rsid w:val="008B022D"/>
    <w:rPr>
      <w:rFonts w:ascii="Times New Roman" w:eastAsia="Times New Roman" w:hAnsi="Times New Roman" w:cs="David"/>
      <w:sz w:val="24"/>
      <w:szCs w:val="24"/>
    </w:rPr>
  </w:style>
  <w:style w:type="paragraph" w:styleId="FootnoteText">
    <w:name w:val="footnote text"/>
    <w:basedOn w:val="Normal"/>
    <w:link w:val="a2"/>
    <w:semiHidden/>
    <w:unhideWhenUsed/>
    <w:rsid w:val="00340F95"/>
    <w:pPr>
      <w:widowControl w:val="0"/>
      <w:spacing w:line="220" w:lineRule="exact"/>
      <w:ind w:left="567" w:hanging="567"/>
      <w:jc w:val="both"/>
    </w:pPr>
    <w:rPr>
      <w:sz w:val="20"/>
      <w:szCs w:val="18"/>
      <w:lang w:eastAsia="he-IL"/>
    </w:rPr>
  </w:style>
  <w:style w:type="character" w:customStyle="1" w:styleId="a2">
    <w:name w:val="טקסט הערת שוליים תו"/>
    <w:basedOn w:val="DefaultParagraphFont"/>
    <w:link w:val="FootnoteText"/>
    <w:semiHidden/>
    <w:rsid w:val="00340F95"/>
    <w:rPr>
      <w:rFonts w:ascii="Times New Roman" w:eastAsia="Times New Roman" w:hAnsi="Times New Roman" w:cs="David"/>
      <w:sz w:val="20"/>
      <w:szCs w:val="18"/>
      <w:lang w:eastAsia="he-IL"/>
    </w:rPr>
  </w:style>
  <w:style w:type="character" w:styleId="FootnoteReference">
    <w:name w:val="footnote reference"/>
    <w:basedOn w:val="DefaultParagraphFont"/>
    <w:semiHidden/>
    <w:unhideWhenUsed/>
    <w:rsid w:val="00340F95"/>
    <w:rPr>
      <w:vertAlign w:val="superscript"/>
    </w:rPr>
  </w:style>
  <w:style w:type="paragraph" w:styleId="BodyText">
    <w:name w:val="Body Text"/>
    <w:basedOn w:val="Normal"/>
    <w:link w:val="a3"/>
    <w:semiHidden/>
    <w:unhideWhenUsed/>
    <w:rsid w:val="005642A1"/>
    <w:pPr>
      <w:spacing w:before="180" w:after="120" w:line="230" w:lineRule="exact"/>
      <w:jc w:val="both"/>
    </w:pPr>
    <w:rPr>
      <w:rFonts w:cs="FrankRuehl"/>
      <w:sz w:val="22"/>
      <w:szCs w:val="22"/>
    </w:rPr>
  </w:style>
  <w:style w:type="character" w:customStyle="1" w:styleId="a3">
    <w:name w:val="גוף טקסט תו"/>
    <w:basedOn w:val="DefaultParagraphFont"/>
    <w:link w:val="BodyText"/>
    <w:semiHidden/>
    <w:rsid w:val="005642A1"/>
    <w:rPr>
      <w:rFonts w:ascii="Times New Roman" w:eastAsia="Times New Roman" w:hAnsi="Times New Roman" w:cs="FrankRuehl"/>
    </w:rPr>
  </w:style>
  <w:style w:type="paragraph" w:customStyle="1" w:styleId="RESHET">
    <w:name w:val="RESHET"/>
    <w:basedOn w:val="Normal"/>
    <w:rsid w:val="005642A1"/>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styleId="BodyTextIndent">
    <w:name w:val="Body Text Indent"/>
    <w:basedOn w:val="Normal"/>
    <w:link w:val="a4"/>
    <w:uiPriority w:val="99"/>
    <w:unhideWhenUsed/>
    <w:rsid w:val="00094FCD"/>
    <w:pPr>
      <w:spacing w:after="120"/>
      <w:ind w:left="283"/>
    </w:pPr>
  </w:style>
  <w:style w:type="character" w:customStyle="1" w:styleId="a4">
    <w:name w:val="כניסה בגוף טקסט תו"/>
    <w:basedOn w:val="DefaultParagraphFont"/>
    <w:link w:val="BodyTextIndent"/>
    <w:uiPriority w:val="99"/>
    <w:rsid w:val="00094FCD"/>
    <w:rPr>
      <w:rFonts w:ascii="Times New Roman" w:eastAsia="Times New Roman" w:hAnsi="Times New Roman" w:cs="David"/>
      <w:sz w:val="24"/>
      <w:szCs w:val="24"/>
    </w:rPr>
  </w:style>
  <w:style w:type="paragraph" w:customStyle="1" w:styleId="KOT3">
    <w:name w:val="KOT3"/>
    <w:basedOn w:val="Normal"/>
    <w:rsid w:val="00094FCD"/>
    <w:pPr>
      <w:keepNext/>
      <w:spacing w:after="360" w:line="360" w:lineRule="exact"/>
      <w:jc w:val="center"/>
    </w:pPr>
    <w:rPr>
      <w:b/>
      <w:bCs/>
      <w:szCs w:val="28"/>
    </w:rPr>
  </w:style>
  <w:style w:type="paragraph" w:styleId="Caption">
    <w:name w:val="caption"/>
    <w:basedOn w:val="Normal"/>
    <w:next w:val="Normal"/>
    <w:uiPriority w:val="35"/>
    <w:semiHidden/>
    <w:unhideWhenUsed/>
    <w:qFormat/>
    <w:rsid w:val="004D261D"/>
    <w:pPr>
      <w:tabs>
        <w:tab w:val="left" w:pos="1021"/>
        <w:tab w:val="center" w:pos="5131"/>
      </w:tabs>
      <w:spacing w:line="280" w:lineRule="exact"/>
    </w:pPr>
    <w:rPr>
      <w:b/>
      <w:bCs/>
      <w:sz w:val="28"/>
      <w:szCs w:val="28"/>
    </w:rPr>
  </w:style>
  <w:style w:type="paragraph" w:customStyle="1" w:styleId="KOT4">
    <w:name w:val="KOT4"/>
    <w:basedOn w:val="Normal"/>
    <w:rsid w:val="00E745FF"/>
    <w:pPr>
      <w:keepNext/>
      <w:spacing w:after="240" w:line="300" w:lineRule="exact"/>
    </w:pPr>
    <w:rPr>
      <w:b/>
      <w:bCs/>
      <w:sz w:val="26"/>
      <w:szCs w:val="26"/>
    </w:rPr>
  </w:style>
  <w:style w:type="paragraph" w:customStyle="1" w:styleId="PATIAH">
    <w:name w:val="PATIAH"/>
    <w:basedOn w:val="Normal"/>
    <w:rsid w:val="00E745FF"/>
    <w:pPr>
      <w:spacing w:after="120" w:line="260" w:lineRule="exact"/>
      <w:jc w:val="both"/>
    </w:pPr>
    <w:rPr>
      <w:sz w:val="20"/>
      <w:lang w:eastAsia="he-IL"/>
    </w:rPr>
  </w:style>
  <w:style w:type="character" w:customStyle="1" w:styleId="5">
    <w:name w:val="כותרת 5 תו"/>
    <w:basedOn w:val="DefaultParagraphFont"/>
    <w:link w:val="Heading5"/>
    <w:uiPriority w:val="9"/>
    <w:rsid w:val="0049253C"/>
    <w:rPr>
      <w:rFonts w:ascii="Times New Roman" w:eastAsia="Times New Roman" w:hAnsi="Times New Roman" w:cs="David"/>
      <w:sz w:val="44"/>
      <w:szCs w:val="44"/>
      <w:lang w:eastAsia="he-IL"/>
    </w:rPr>
  </w:style>
  <w:style w:type="character" w:customStyle="1" w:styleId="7">
    <w:name w:val="כותרת 7 תו"/>
    <w:basedOn w:val="DefaultParagraphFont"/>
    <w:link w:val="Heading7"/>
    <w:uiPriority w:val="9"/>
    <w:rsid w:val="0049253C"/>
    <w:rPr>
      <w:rFonts w:ascii="Times New Roman" w:eastAsia="Times New Roman" w:hAnsi="Times New Roman" w:cs="David"/>
      <w:sz w:val="128"/>
      <w:szCs w:val="128"/>
      <w:lang w:eastAsia="he-IL"/>
    </w:rPr>
  </w:style>
  <w:style w:type="paragraph" w:styleId="BodyTextIndent2">
    <w:name w:val="Body Text Indent 2"/>
    <w:basedOn w:val="Normal"/>
    <w:link w:val="2"/>
    <w:uiPriority w:val="99"/>
    <w:unhideWhenUsed/>
    <w:rsid w:val="00726F52"/>
    <w:pPr>
      <w:spacing w:after="120" w:line="480" w:lineRule="auto"/>
      <w:ind w:left="283"/>
    </w:pPr>
  </w:style>
  <w:style w:type="character" w:customStyle="1" w:styleId="2">
    <w:name w:val="כניסה בגוף טקסט 2 תו"/>
    <w:basedOn w:val="DefaultParagraphFont"/>
    <w:link w:val="BodyTextIndent2"/>
    <w:uiPriority w:val="99"/>
    <w:rsid w:val="00726F52"/>
    <w:rPr>
      <w:rFonts w:ascii="Times New Roman" w:eastAsia="Times New Roman" w:hAnsi="Times New Roman" w:cs="David"/>
      <w:sz w:val="24"/>
      <w:szCs w:val="24"/>
    </w:rPr>
  </w:style>
  <w:style w:type="paragraph" w:styleId="EndnoteText">
    <w:name w:val="endnote text"/>
    <w:basedOn w:val="Normal"/>
    <w:link w:val="a5"/>
    <w:semiHidden/>
    <w:rsid w:val="00726F52"/>
    <w:pPr>
      <w:spacing w:after="200" w:line="276" w:lineRule="auto"/>
      <w:jc w:val="both"/>
    </w:pPr>
    <w:rPr>
      <w:rFonts w:ascii="Calibri" w:eastAsia="Calibri" w:hAnsi="Calibri" w:cs="Arial"/>
      <w:sz w:val="22"/>
      <w:szCs w:val="20"/>
    </w:rPr>
  </w:style>
  <w:style w:type="character" w:customStyle="1" w:styleId="a5">
    <w:name w:val="טקסט הערת סיום תו"/>
    <w:basedOn w:val="DefaultParagraphFont"/>
    <w:link w:val="EndnoteText"/>
    <w:semiHidden/>
    <w:rsid w:val="00726F52"/>
    <w:rPr>
      <w:rFonts w:ascii="Calibri" w:eastAsia="Calibri" w:hAnsi="Calibri"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webSettings" Target="webSetting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fontTable" Target="fontTable.xml"/><Relationship Id="rId9"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DFE2C9-25A2-4237-8878-2FFDA4E7E139}"/>
</file>

<file path=customXml/itemProps2.xml><?xml version="1.0" encoding="utf-8"?>
<ds:datastoreItem xmlns:ds="http://schemas.openxmlformats.org/officeDocument/2006/customXml" ds:itemID="{DA91A0F0-DBFE-458C-82B7-2AD041E6708D}"/>
</file>

<file path=customXml/itemProps3.xml><?xml version="1.0" encoding="utf-8"?>
<ds:datastoreItem xmlns:ds="http://schemas.openxmlformats.org/officeDocument/2006/customXml" ds:itemID="{9C9443A4-6467-49FB-8E15-4569FC088E4F}"/>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