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1 -->
  <w:body>
    <w:p>
      <w:pPr>
        <w:tabs>
          <w:tab w:val="right" w:leader="dot" w:pos="6237"/>
          <w:tab w:val="left" w:pos="6350"/>
        </w:tabs>
        <w:spacing w:after="120" w:line="240" w:lineRule="atLeast"/>
        <w:ind w:left="0" w:right="0"/>
        <w:jc w:val="center"/>
        <w:rPr>
          <w:rFonts w:hint="cs"/>
          <w:b/>
          <w:bCs/>
          <w:spacing w:val="20"/>
          <w:sz w:val="36"/>
          <w:szCs w:val="36"/>
          <w:rtl/>
        </w:rPr>
      </w:pPr>
      <w:r>
        <w:rPr>
          <w:rFonts w:hint="cs"/>
          <w:b/>
          <w:bCs/>
          <w:spacing w:val="20"/>
          <w:sz w:val="36"/>
          <w:szCs w:val="36"/>
          <w:rtl/>
        </w:rPr>
        <w:t>תוכן העניינים</w:t>
      </w:r>
    </w:p>
    <w:p>
      <w:pPr>
        <w:pStyle w:val="KOT2"/>
        <w:ind w:left="0" w:right="0"/>
        <w:jc w:val="center"/>
        <w:rPr>
          <w:rFonts w:hint="cs"/>
          <w:rtl/>
        </w:rPr>
      </w:pPr>
      <w:r>
        <w:rPr>
          <w:rFonts w:hint="cs"/>
          <w:rtl/>
        </w:rPr>
        <w:t>פרק ראשון - נושאים מערכתיים</w:t>
      </w:r>
    </w:p>
    <w:p>
      <w:pPr>
        <w:tabs>
          <w:tab w:val="right" w:leader="dot" w:pos="6124"/>
          <w:tab w:val="left" w:pos="6237"/>
        </w:tabs>
        <w:spacing w:after="120" w:line="220" w:lineRule="exact"/>
        <w:ind w:left="0" w:right="0"/>
        <w:jc w:val="left"/>
        <w:rPr>
          <w:rFonts w:hint="cs"/>
          <w:rtl/>
        </w:rPr>
      </w:pPr>
      <w:r>
        <w:rPr>
          <w:rFonts w:hint="cs"/>
          <w:rtl/>
        </w:rPr>
        <w:t>טיפולן של רשויות מקומיות בבני נוער</w:t>
      </w:r>
      <w:r>
        <w:rPr>
          <w:rtl/>
        </w:rPr>
        <w:br/>
      </w:r>
      <w:r>
        <w:rPr>
          <w:rFonts w:hint="cs"/>
          <w:rtl/>
        </w:rPr>
        <w:t>מנותקים ממסגרות לימודים</w:t>
        <w:tab/>
        <w:tab/>
        <w:t>3</w:t>
      </w:r>
    </w:p>
    <w:p>
      <w:pPr>
        <w:tabs>
          <w:tab w:val="right" w:leader="dot" w:pos="6124"/>
          <w:tab w:val="left" w:pos="6237"/>
        </w:tabs>
        <w:spacing w:after="120" w:line="220" w:lineRule="exact"/>
        <w:ind w:left="0" w:right="0"/>
        <w:jc w:val="left"/>
        <w:rPr>
          <w:rtl/>
        </w:rPr>
      </w:pPr>
      <w:r>
        <w:rPr>
          <w:rFonts w:hint="cs"/>
          <w:rtl/>
        </w:rPr>
        <w:t>ניהול אירועים וחגיגות ברשויות מקומיות</w:t>
        <w:tab/>
        <w:tab/>
        <w:t>29</w:t>
      </w:r>
    </w:p>
    <w:p>
      <w:pPr>
        <w:tabs>
          <w:tab w:val="right" w:leader="dot" w:pos="6124"/>
          <w:tab w:val="left" w:pos="6237"/>
        </w:tabs>
        <w:spacing w:after="120" w:line="220" w:lineRule="exact"/>
        <w:ind w:left="0" w:right="0"/>
        <w:jc w:val="left"/>
        <w:rPr>
          <w:rtl/>
        </w:rPr>
      </w:pPr>
      <w:r>
        <w:rPr>
          <w:rFonts w:hint="cs"/>
          <w:rtl/>
        </w:rPr>
        <w:t>מכרזים שאינם פומביים והיבטים בהתקשרויות</w:t>
      </w:r>
      <w:r>
        <w:rPr>
          <w:rtl/>
        </w:rPr>
        <w:br/>
      </w:r>
      <w:r>
        <w:rPr>
          <w:rFonts w:hint="cs"/>
          <w:rtl/>
        </w:rPr>
        <w:t>בפטור ממכרז ברשויות מקומיות</w:t>
        <w:tab/>
        <w:tab/>
        <w:t>93</w:t>
      </w:r>
    </w:p>
    <w:p>
      <w:pPr>
        <w:tabs>
          <w:tab w:val="right" w:leader="dot" w:pos="6124"/>
          <w:tab w:val="left" w:pos="6237"/>
        </w:tabs>
        <w:spacing w:after="120" w:line="220" w:lineRule="exact"/>
        <w:ind w:left="0" w:right="0"/>
        <w:jc w:val="left"/>
        <w:rPr>
          <w:rtl/>
        </w:rPr>
      </w:pPr>
      <w:r>
        <w:rPr>
          <w:rFonts w:hint="cs"/>
          <w:rtl/>
        </w:rPr>
        <w:t xml:space="preserve">פעולות פיקוח ואכיפה של הרשויות המקומיות לטיפול </w:t>
      </w:r>
      <w:r>
        <w:rPr>
          <w:rtl/>
        </w:rPr>
        <w:br/>
      </w:r>
      <w:r>
        <w:rPr>
          <w:rFonts w:hint="cs"/>
          <w:rtl/>
        </w:rPr>
        <w:t>בתופעות של הפרות סדר ואלימות במרחב הציבורי</w:t>
        <w:tab/>
        <w:tab/>
        <w:t>133</w:t>
      </w:r>
    </w:p>
    <w:p>
      <w:pPr>
        <w:tabs>
          <w:tab w:val="right" w:leader="dot" w:pos="6124"/>
          <w:tab w:val="left" w:pos="6237"/>
        </w:tabs>
        <w:spacing w:after="120" w:line="220" w:lineRule="exact"/>
        <w:ind w:left="0" w:right="0"/>
        <w:jc w:val="left"/>
        <w:rPr>
          <w:rtl/>
        </w:rPr>
      </w:pPr>
      <w:r>
        <w:rPr>
          <w:rFonts w:hint="cs"/>
          <w:rtl/>
        </w:rPr>
        <w:t>נטילת הלוואות לזמן ארוך על ידי הרשויות המקומיות</w:t>
        <w:tab/>
        <w:tab/>
        <w:t>191</w:t>
      </w:r>
    </w:p>
    <w:p>
      <w:pPr>
        <w:tabs>
          <w:tab w:val="right" w:leader="dot" w:pos="6124"/>
          <w:tab w:val="left" w:pos="6237"/>
        </w:tabs>
        <w:spacing w:after="120" w:line="220" w:lineRule="exact"/>
        <w:ind w:left="0" w:right="0"/>
        <w:jc w:val="left"/>
        <w:rPr>
          <w:rtl/>
        </w:rPr>
      </w:pPr>
      <w:r>
        <w:rPr>
          <w:rFonts w:hint="cs"/>
          <w:rtl/>
        </w:rPr>
        <w:t>טיפול במזיקים תברואיים ברשויות המקומיות</w:t>
        <w:tab/>
        <w:tab/>
        <w:t>245</w:t>
      </w:r>
    </w:p>
    <w:p>
      <w:pPr>
        <w:tabs>
          <w:tab w:val="right" w:leader="dot" w:pos="6124"/>
          <w:tab w:val="left" w:pos="6237"/>
        </w:tabs>
        <w:spacing w:after="120" w:line="220" w:lineRule="exact"/>
        <w:ind w:left="0" w:right="0"/>
        <w:jc w:val="left"/>
        <w:rPr>
          <w:rtl/>
        </w:rPr>
      </w:pPr>
      <w:r>
        <w:rPr>
          <w:rFonts w:hint="cs"/>
          <w:rtl/>
        </w:rPr>
        <w:t>הסדרי חניה ציבורית בתחומי הרשויות המקומיות והפעלתם</w:t>
        <w:tab/>
        <w:tab/>
        <w:t>275</w:t>
      </w:r>
    </w:p>
    <w:p>
      <w:pPr>
        <w:tabs>
          <w:tab w:val="right" w:leader="dot" w:pos="6124"/>
          <w:tab w:val="left" w:pos="6237"/>
        </w:tabs>
        <w:spacing w:after="120" w:line="220" w:lineRule="exact"/>
        <w:ind w:left="0" w:right="0"/>
        <w:jc w:val="left"/>
        <w:rPr>
          <w:rtl/>
        </w:rPr>
      </w:pPr>
      <w:r>
        <w:rPr>
          <w:rFonts w:hint="cs"/>
          <w:rtl/>
        </w:rPr>
        <w:t>פעולות הרשויות המקומיות להנגשת מבני ציבור</w:t>
      </w:r>
      <w:r>
        <w:rPr>
          <w:rtl/>
        </w:rPr>
        <w:br/>
      </w:r>
      <w:r>
        <w:rPr>
          <w:rFonts w:hint="cs"/>
          <w:rtl/>
        </w:rPr>
        <w:t>ומוסדות חינוך לבעלי מוגבלויות פיזיות</w:t>
        <w:tab/>
        <w:tab/>
        <w:t>321</w:t>
      </w:r>
    </w:p>
    <w:p>
      <w:pPr>
        <w:tabs>
          <w:tab w:val="right" w:leader="dot" w:pos="6124"/>
          <w:tab w:val="left" w:pos="6237"/>
        </w:tabs>
        <w:spacing w:after="120" w:line="220" w:lineRule="exact"/>
        <w:ind w:left="0" w:right="0"/>
        <w:jc w:val="left"/>
        <w:rPr>
          <w:rtl/>
        </w:rPr>
      </w:pPr>
      <w:r>
        <w:rPr>
          <w:rFonts w:hint="cs"/>
          <w:rtl/>
        </w:rPr>
        <w:t>טיפול הרשויות המקומיות בפסולת בניין</w:t>
        <w:tab/>
        <w:tab/>
        <w:t>363</w:t>
      </w:r>
    </w:p>
    <w:p>
      <w:pPr>
        <w:tabs>
          <w:tab w:val="right" w:leader="dot" w:pos="6124"/>
          <w:tab w:val="left" w:pos="6237"/>
        </w:tabs>
        <w:spacing w:after="120" w:line="220" w:lineRule="exact"/>
        <w:ind w:left="0" w:right="0"/>
        <w:jc w:val="left"/>
        <w:rPr>
          <w:rFonts w:hint="cs"/>
          <w:rtl/>
        </w:rPr>
      </w:pPr>
    </w:p>
    <w:p>
      <w:pPr>
        <w:pStyle w:val="KOT2"/>
        <w:ind w:left="0" w:right="0"/>
        <w:jc w:val="center"/>
        <w:rPr>
          <w:rFonts w:hint="cs"/>
          <w:rtl/>
        </w:rPr>
      </w:pPr>
      <w:r>
        <w:rPr>
          <w:rFonts w:hint="cs"/>
          <w:rtl/>
        </w:rPr>
        <w:t>פרק שני - מטלות נקודתיות</w:t>
      </w:r>
    </w:p>
    <w:p>
      <w:pPr>
        <w:tabs>
          <w:tab w:val="right" w:leader="dot" w:pos="6124"/>
          <w:tab w:val="left" w:pos="6237"/>
        </w:tabs>
        <w:spacing w:line="220" w:lineRule="exact"/>
        <w:ind w:left="0" w:right="0"/>
        <w:jc w:val="left"/>
        <w:rPr>
          <w:rFonts w:hint="cs"/>
          <w:rtl/>
        </w:rPr>
      </w:pPr>
      <w:r>
        <w:rPr>
          <w:rFonts w:hint="cs"/>
          <w:rtl/>
        </w:rPr>
        <w:t>עיריית בת-ים</w:t>
      </w:r>
    </w:p>
    <w:p>
      <w:pPr>
        <w:tabs>
          <w:tab w:val="right" w:leader="dot" w:pos="6124"/>
          <w:tab w:val="left" w:pos="6237"/>
        </w:tabs>
        <w:spacing w:after="120" w:line="220" w:lineRule="exact"/>
        <w:ind w:left="284" w:right="0"/>
        <w:jc w:val="left"/>
        <w:rPr>
          <w:rFonts w:hint="cs"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היבטים בפעילות החברה לתרבות פנאי וספורט בת-ים בע"מ</w:t>
        <w:tab/>
        <w:tab/>
        <w:t>401</w:t>
      </w:r>
    </w:p>
    <w:p>
      <w:pPr>
        <w:tabs>
          <w:tab w:val="right" w:leader="dot" w:pos="6124"/>
          <w:tab w:val="left" w:pos="6237"/>
        </w:tabs>
        <w:spacing w:line="220" w:lineRule="exact"/>
        <w:ind w:left="0" w:right="0"/>
        <w:jc w:val="left"/>
        <w:rPr>
          <w:rFonts w:hint="cs"/>
          <w:rtl/>
        </w:rPr>
      </w:pPr>
      <w:r>
        <w:rPr>
          <w:rFonts w:hint="cs"/>
          <w:rtl/>
        </w:rPr>
        <w:t>עיריית חיפה</w:t>
      </w:r>
    </w:p>
    <w:p>
      <w:pPr>
        <w:tabs>
          <w:tab w:val="right" w:leader="dot" w:pos="6124"/>
          <w:tab w:val="left" w:pos="6237"/>
        </w:tabs>
        <w:spacing w:after="120" w:line="220" w:lineRule="exact"/>
        <w:ind w:left="284" w:right="0"/>
        <w:jc w:val="left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הקמת מערך הסעת המונים במטרופולין חיפה - המטרונית</w:t>
        <w:tab/>
        <w:tab/>
        <w:t>425</w:t>
      </w:r>
    </w:p>
    <w:p>
      <w:pPr>
        <w:tabs>
          <w:tab w:val="right" w:leader="dot" w:pos="6124"/>
          <w:tab w:val="left" w:pos="6237"/>
        </w:tabs>
        <w:spacing w:line="220" w:lineRule="exact"/>
        <w:ind w:left="0" w:right="0"/>
        <w:jc w:val="left"/>
        <w:rPr>
          <w:rFonts w:hint="cs"/>
          <w:rtl/>
        </w:rPr>
      </w:pPr>
      <w:r>
        <w:rPr>
          <w:rFonts w:hint="cs"/>
          <w:rtl/>
        </w:rPr>
        <w:t>עיריית עכו</w:t>
      </w:r>
    </w:p>
    <w:p>
      <w:pPr>
        <w:tabs>
          <w:tab w:val="right" w:leader="dot" w:pos="6124"/>
          <w:tab w:val="left" w:pos="6237"/>
        </w:tabs>
        <w:spacing w:after="120" w:line="220" w:lineRule="exact"/>
        <w:ind w:left="284" w:right="0"/>
        <w:jc w:val="left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עיריית עכו והחברה הכלכלית לעכו בע"מ</w:t>
        <w:tab/>
        <w:tab/>
        <w:t>455</w:t>
      </w:r>
    </w:p>
    <w:p>
      <w:pPr>
        <w:tabs>
          <w:tab w:val="right" w:leader="dot" w:pos="6124"/>
          <w:tab w:val="left" w:pos="6237"/>
        </w:tabs>
        <w:spacing w:line="220" w:lineRule="exact"/>
        <w:ind w:left="0" w:right="0"/>
        <w:jc w:val="left"/>
        <w:rPr>
          <w:rFonts w:hint="cs"/>
          <w:rtl/>
        </w:rPr>
      </w:pPr>
      <w:r>
        <w:rPr>
          <w:rFonts w:hint="cs"/>
          <w:rtl/>
        </w:rPr>
        <w:t>עיריית ראשון לציון</w:t>
      </w:r>
    </w:p>
    <w:p>
      <w:pPr>
        <w:tabs>
          <w:tab w:val="right" w:leader="dot" w:pos="6124"/>
          <w:tab w:val="left" w:pos="6237"/>
        </w:tabs>
        <w:spacing w:after="120" w:line="220" w:lineRule="exact"/>
        <w:ind w:left="284" w:right="0"/>
        <w:jc w:val="left"/>
        <w:rPr>
          <w:rFonts w:hint="cs"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העסקת יועצים</w:t>
        <w:tab/>
        <w:tab/>
        <w:t>483</w:t>
      </w:r>
    </w:p>
    <w:p>
      <w:pPr>
        <w:tabs>
          <w:tab w:val="right" w:leader="dot" w:pos="6124"/>
          <w:tab w:val="left" w:pos="6237"/>
        </w:tabs>
        <w:spacing w:line="220" w:lineRule="exact"/>
        <w:ind w:left="0" w:right="0"/>
        <w:jc w:val="left"/>
        <w:rPr>
          <w:rFonts w:hint="cs"/>
          <w:rtl/>
        </w:rPr>
      </w:pPr>
      <w:r>
        <w:rPr>
          <w:rFonts w:hint="cs"/>
          <w:rtl/>
        </w:rPr>
        <w:t>המועצה המקומית אבו גוש</w:t>
      </w:r>
    </w:p>
    <w:p>
      <w:pPr>
        <w:tabs>
          <w:tab w:val="right" w:leader="dot" w:pos="6124"/>
          <w:tab w:val="left" w:pos="6237"/>
        </w:tabs>
        <w:spacing w:after="120" w:line="220" w:lineRule="exact"/>
        <w:ind w:left="284" w:right="0"/>
        <w:jc w:val="left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רישוי עסקים</w:t>
        <w:tab/>
        <w:tab/>
        <w:t>519</w:t>
      </w:r>
    </w:p>
    <w:p>
      <w:pPr>
        <w:tabs>
          <w:tab w:val="right" w:leader="dot" w:pos="6124"/>
          <w:tab w:val="left" w:pos="6237"/>
        </w:tabs>
        <w:spacing w:line="220" w:lineRule="exact"/>
        <w:ind w:left="0" w:right="0"/>
        <w:jc w:val="left"/>
        <w:rPr>
          <w:rFonts w:hint="cs"/>
          <w:rtl/>
        </w:rPr>
      </w:pPr>
      <w:r>
        <w:rPr>
          <w:rFonts w:hint="cs"/>
          <w:rtl/>
        </w:rPr>
        <w:t>המועצה האזורית אל-בטוף</w:t>
      </w:r>
    </w:p>
    <w:p>
      <w:pPr>
        <w:tabs>
          <w:tab w:val="right" w:leader="dot" w:pos="6124"/>
          <w:tab w:val="left" w:pos="6237"/>
        </w:tabs>
        <w:spacing w:after="120" w:line="220" w:lineRule="exact"/>
        <w:ind w:left="284" w:right="0"/>
        <w:jc w:val="left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מבנה ארגוני, מפעל המים, ארנונה והעברת תשלומי חובה</w:t>
        <w:tab/>
        <w:tab/>
        <w:t>569</w:t>
      </w:r>
    </w:p>
    <w:p>
      <w:pPr>
        <w:tabs>
          <w:tab w:val="right" w:leader="dot" w:pos="6124"/>
          <w:tab w:val="left" w:pos="6237"/>
        </w:tabs>
        <w:spacing w:after="120" w:line="220" w:lineRule="exact"/>
        <w:ind w:left="284" w:right="0"/>
        <w:jc w:val="left"/>
        <w:rPr>
          <w:rFonts w:hint="cs"/>
          <w:sz w:val="22"/>
          <w:szCs w:val="22"/>
        </w:rPr>
      </w:pPr>
    </w:p>
    <w:p>
      <w:pPr>
        <w:pStyle w:val="KOT2"/>
        <w:ind w:left="0" w:right="0"/>
        <w:jc w:val="center"/>
        <w:rPr>
          <w:rFonts w:hint="cs"/>
          <w:rtl/>
        </w:rPr>
      </w:pPr>
      <w:r>
        <w:rPr>
          <w:rFonts w:hint="cs"/>
          <w:rtl/>
        </w:rPr>
        <w:t>פרק שלישי - תכנון ובנייה</w:t>
      </w:r>
    </w:p>
    <w:p>
      <w:pPr>
        <w:tabs>
          <w:tab w:val="right" w:leader="dot" w:pos="6124"/>
          <w:tab w:val="left" w:pos="6237"/>
        </w:tabs>
        <w:spacing w:after="120" w:line="220" w:lineRule="exact"/>
        <w:ind w:left="0" w:right="0"/>
        <w:jc w:val="left"/>
        <w:rPr>
          <w:rFonts w:hint="cs"/>
          <w:rtl/>
        </w:rPr>
      </w:pPr>
      <w:r>
        <w:rPr>
          <w:rtl/>
        </w:rPr>
        <w:t>הוועדה המחוזית לתכנון ולבנייה - מחוז צפון</w:t>
      </w:r>
      <w:r>
        <w:rPr>
          <w:rFonts w:hint="cs"/>
          <w:rtl/>
        </w:rPr>
        <w:tab/>
        <w:tab/>
        <w:t>597</w:t>
      </w:r>
    </w:p>
    <w:p>
      <w:pPr>
        <w:tabs>
          <w:tab w:val="right" w:leader="dot" w:pos="6124"/>
          <w:tab w:val="left" w:pos="6237"/>
        </w:tabs>
        <w:spacing w:after="120" w:line="220" w:lineRule="exact"/>
        <w:ind w:left="0" w:right="0"/>
        <w:jc w:val="left"/>
        <w:rPr>
          <w:rtl/>
        </w:rPr>
      </w:pPr>
      <w:r>
        <w:rPr>
          <w:rFonts w:hint="cs"/>
          <w:rtl/>
        </w:rPr>
        <w:t>הוועדה המקומית לתכנון ולבנייה שרונים</w:t>
        <w:tab/>
        <w:tab/>
        <w:t>645</w:t>
      </w:r>
    </w:p>
    <w:p>
      <w:pPr>
        <w:tabs>
          <w:tab w:val="right" w:leader="dot" w:pos="6124"/>
          <w:tab w:val="left" w:pos="6237"/>
        </w:tabs>
        <w:spacing w:after="120" w:line="220" w:lineRule="exact"/>
        <w:ind w:left="284" w:right="0"/>
        <w:jc w:val="left"/>
        <w:rPr>
          <w:rFonts w:hint="cs"/>
          <w:sz w:val="22"/>
          <w:szCs w:val="22"/>
        </w:rPr>
      </w:pPr>
    </w:p>
    <w:p>
      <w:pPr>
        <w:pStyle w:val="KOT2"/>
        <w:ind w:left="0" w:right="0"/>
        <w:jc w:val="center"/>
        <w:rPr>
          <w:rFonts w:hint="cs"/>
          <w:rtl/>
        </w:rPr>
      </w:pPr>
      <w:r>
        <w:rPr>
          <w:rFonts w:hint="cs"/>
          <w:rtl/>
        </w:rPr>
        <w:t>פרק רביעי - משרד התיירות</w:t>
      </w:r>
    </w:p>
    <w:p>
      <w:pPr>
        <w:tabs>
          <w:tab w:val="right" w:leader="dot" w:pos="6124"/>
          <w:tab w:val="left" w:pos="6237"/>
        </w:tabs>
        <w:spacing w:after="120" w:line="220" w:lineRule="exact"/>
        <w:ind w:left="0" w:right="0"/>
        <w:jc w:val="left"/>
        <w:rPr>
          <w:rFonts w:hint="cs"/>
          <w:rtl/>
        </w:rPr>
      </w:pPr>
      <w:r>
        <w:rPr>
          <w:rFonts w:hint="cs"/>
          <w:rtl/>
        </w:rPr>
        <w:t>סדרי התקשרות של משרד התיירות עם מפיק</w:t>
      </w:r>
      <w:r>
        <w:rPr>
          <w:rFonts w:hint="cs"/>
          <w:sz w:val="22"/>
          <w:szCs w:val="22"/>
          <w:rtl/>
        </w:rPr>
        <w:t xml:space="preserve"> מופעים</w:t>
        <w:tab/>
        <w:tab/>
        <w:t>673</w:t>
      </w:r>
    </w:p>
    <w:p>
      <w:pPr>
        <w:spacing w:line="312" w:lineRule="auto"/>
        <w:ind w:left="0" w:right="0"/>
        <w:jc w:val="center"/>
        <w:rPr>
          <w:rFonts w:hint="cs"/>
          <w:sz w:val="20"/>
          <w:rtl/>
          <w:lang w:eastAsia="he-IL"/>
        </w:rPr>
      </w:pPr>
    </w:p>
    <w:p>
      <w:pPr>
        <w:spacing w:before="120"/>
        <w:ind w:left="0" w:right="0"/>
        <w:jc w:val="center"/>
        <w:rPr>
          <w:rFonts w:hint="cs"/>
          <w:sz w:val="28"/>
          <w:szCs w:val="28"/>
          <w:rtl/>
        </w:rPr>
      </w:pPr>
      <w:r>
        <w:rPr>
          <w:rFonts w:ascii="Monotype Sorts" w:hAnsi="Monotype Sorts"/>
          <w:sz w:val="28"/>
          <w:szCs w:val="28"/>
        </w:rPr>
        <w:sym w:font="Monotype Sorts" w:char="F04F"/>
      </w:r>
    </w:p>
    <w:p>
      <w:pPr>
        <w:spacing w:line="312" w:lineRule="auto"/>
        <w:ind w:left="0" w:right="0"/>
        <w:jc w:val="center"/>
        <w:rPr>
          <w:rFonts w:hint="cs"/>
          <w:sz w:val="20"/>
          <w:rtl/>
          <w:lang w:eastAsia="he-IL"/>
        </w:rPr>
      </w:pPr>
    </w:p>
    <w:p>
      <w:pPr>
        <w:pStyle w:val="Heading30"/>
        <w:tabs>
          <w:tab w:val="right" w:leader="dot" w:pos="6124"/>
          <w:tab w:val="left" w:pos="6237"/>
        </w:tabs>
        <w:spacing w:before="240" w:beforeAutospacing="0" w:line="240" w:lineRule="auto"/>
        <w:ind w:left="0" w:right="0"/>
        <w:jc w:val="left"/>
        <w:rPr>
          <w:rFonts w:hint="cs"/>
          <w:u w:val="none"/>
          <w:rtl/>
        </w:rPr>
      </w:pPr>
      <w:r>
        <w:rPr>
          <w:rFonts w:hint="cs"/>
          <w:u w:val="none"/>
          <w:rtl/>
        </w:rPr>
        <w:t>חוק יסוד: מבקר המדינה</w:t>
      </w:r>
      <w:r>
        <w:rPr>
          <w:rFonts w:hint="cs"/>
          <w:b w:val="0"/>
          <w:bCs w:val="0"/>
          <w:sz w:val="22"/>
          <w:szCs w:val="22"/>
          <w:u w:val="none"/>
          <w:rtl/>
          <w:lang w:eastAsia="en-US"/>
        </w:rPr>
        <w:tab/>
        <w:tab/>
        <w:t>695</w:t>
      </w:r>
    </w:p>
    <w:p>
      <w:pPr>
        <w:pStyle w:val="Heading30"/>
        <w:tabs>
          <w:tab w:val="right" w:leader="dot" w:pos="6124"/>
          <w:tab w:val="left" w:pos="6237"/>
        </w:tabs>
        <w:spacing w:before="240" w:beforeAutospacing="0" w:line="240" w:lineRule="auto"/>
        <w:ind w:left="0" w:right="0"/>
        <w:jc w:val="left"/>
        <w:rPr>
          <w:rFonts w:hint="cs"/>
          <w:b w:val="0"/>
          <w:bCs w:val="0"/>
          <w:sz w:val="22"/>
          <w:szCs w:val="22"/>
          <w:u w:val="none"/>
          <w:rtl/>
          <w:lang w:eastAsia="en-US"/>
        </w:rPr>
      </w:pPr>
      <w:r>
        <w:rPr>
          <w:rFonts w:hint="cs"/>
          <w:u w:val="none"/>
          <w:rtl/>
        </w:rPr>
        <w:t>חוק מבקר המדינה, התשי"ח-1958 [נוסח משולב]</w:t>
      </w:r>
      <w:r>
        <w:rPr>
          <w:rFonts w:hint="cs"/>
          <w:b w:val="0"/>
          <w:bCs w:val="0"/>
          <w:sz w:val="22"/>
          <w:szCs w:val="22"/>
          <w:u w:val="none"/>
          <w:rtl/>
          <w:lang w:eastAsia="en-US"/>
        </w:rPr>
        <w:tab/>
        <w:tab/>
        <w:t>697</w:t>
      </w:r>
    </w:p>
    <w:p>
      <w:pPr>
        <w:ind w:left="0" w:right="0"/>
        <w:jc w:val="left"/>
      </w:pPr>
    </w:p>
    <w:p>
      <w:pPr>
        <w:ind w:left="0" w:right="0"/>
        <w:jc w:val="left"/>
      </w:pPr>
    </w:p>
    <w:p>
      <w:pPr>
        <w:ind w:left="0" w:right="0"/>
        <w:jc w:val="left"/>
      </w:pPr>
    </w:p>
    <w:p>
      <w:pPr>
        <w:ind w:left="0" w:right="0"/>
        <w:jc w:val="left"/>
      </w:pPr>
    </w:p>
    <w:p>
      <w:pPr>
        <w:ind w:left="0" w:right="0"/>
        <w:jc w:val="left"/>
      </w:pPr>
    </w:p>
    <w:p>
      <w:pPr>
        <w:ind w:left="0" w:right="0"/>
        <w:jc w:val="left"/>
      </w:pPr>
    </w:p>
    <w:p>
      <w:pPr>
        <w:ind w:left="0" w:right="0"/>
        <w:jc w:val="left"/>
      </w:pPr>
    </w:p>
    <w:p>
      <w:pPr>
        <w:ind w:left="0" w:right="0"/>
        <w:jc w:val="left"/>
      </w:pPr>
    </w:p>
    <w:p>
      <w:pPr>
        <w:ind w:left="0" w:right="0"/>
        <w:jc w:val="left"/>
      </w:pPr>
    </w:p>
    <w:p>
      <w:pPr>
        <w:ind w:left="0" w:right="0"/>
        <w:jc w:val="left"/>
      </w:pPr>
    </w:p>
    <w:p>
      <w:pPr>
        <w:ind w:left="0" w:right="0"/>
        <w:jc w:val="left"/>
      </w:pPr>
    </w:p>
    <w:p>
      <w:pPr>
        <w:ind w:left="0" w:right="0"/>
        <w:jc w:val="left"/>
      </w:pPr>
    </w:p>
    <w:p>
      <w:pPr>
        <w:ind w:left="0" w:right="0"/>
        <w:jc w:val="left"/>
      </w:pPr>
    </w:p>
    <w:p>
      <w:pPr>
        <w:ind w:left="0" w:right="0"/>
        <w:jc w:val="left"/>
      </w:pPr>
    </w:p>
    <w:p>
      <w:pPr>
        <w:ind w:left="0" w:right="0"/>
        <w:jc w:val="left"/>
      </w:pPr>
    </w:p>
    <w:p>
      <w:pPr>
        <w:ind w:left="0" w:right="0"/>
        <w:jc w:val="left"/>
      </w:pPr>
    </w:p>
    <w:p>
      <w:pPr>
        <w:ind w:left="0" w:right="0"/>
        <w:jc w:val="left"/>
      </w:pPr>
    </w:p>
    <w:p>
      <w:pPr>
        <w:ind w:left="0" w:right="0"/>
        <w:jc w:val="left"/>
      </w:pPr>
    </w:p>
    <w:p>
      <w:pPr>
        <w:pStyle w:val="BodyTextIndent2"/>
        <w:widowControl/>
        <w:pBdr>
          <w:top w:val="single" w:sz="8" w:space="4" w:color="999999"/>
          <w:left w:val="single" w:sz="8" w:space="4" w:color="999999"/>
          <w:bottom w:val="single" w:sz="8" w:space="4" w:color="999999"/>
          <w:right w:val="single" w:sz="8" w:space="4" w:color="999999"/>
        </w:pBdr>
        <w:shd w:val="pct10" w:color="auto" w:fill="auto"/>
        <w:spacing w:line="260" w:lineRule="exact"/>
        <w:ind w:left="170" w:right="170"/>
        <w:jc w:val="center"/>
        <w:rPr>
          <w:rFonts w:hint="cs"/>
          <w:sz w:val="22"/>
          <w:szCs w:val="22"/>
          <w:rtl/>
          <w:lang w:eastAsia="en-US"/>
        </w:rPr>
      </w:pPr>
      <w:r>
        <w:rPr>
          <w:rFonts w:hint="cs"/>
          <w:sz w:val="22"/>
          <w:szCs w:val="22"/>
          <w:rtl/>
          <w:lang w:eastAsia="en-US"/>
        </w:rPr>
        <w:t>יצוין, כי לאחר סיום הביקורות ולפני מועד פרסום דוח זה התקיימו בחירות לרשויות המקומיות, ועל פי תוצאותיהן חלו חילופי תפקידים בחלק מן הרשויות.</w:t>
      </w:r>
    </w:p>
    <w:sectPr>
      <w:footerReference w:type="even" r:id="rId4"/>
      <w:footerReference w:type="first" r:id="rId5"/>
      <w:pgSz w:w="11906" w:h="16838" w:code="9"/>
      <w:pgMar w:top="2098" w:right="2608" w:bottom="4536" w:left="2608" w:header="1531" w:footer="851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David">
    <w:panose1 w:val="00000000000000000000"/>
    <w:charset w:val="B1"/>
    <w:family w:val="auto"/>
    <w:pitch w:val="variable"/>
    <w:sig w:usb0="00001801" w:usb1="00000000" w:usb2="00000000" w:usb3="00000000" w:csb0="00000020" w:csb1="00000000"/>
  </w:font>
  <w:font w:name="FrankRuehl">
    <w:panose1 w:val="00000000000000000000"/>
    <w:charset w:val="B1"/>
    <w:family w:val="auto"/>
    <w:pitch w:val="variable"/>
    <w:sig w:usb0="00001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tabs>
        <w:tab w:val="left" w:pos="1222"/>
      </w:tabs>
      <w:spacing w:line="160" w:lineRule="exact"/>
      <w:ind w:left="0" w:right="0"/>
      <w:jc w:val="left"/>
      <w:rPr>
        <w:rFonts w:hint="cs"/>
        <w:sz w:val="16"/>
        <w:szCs w:val="16"/>
        <w:rtl/>
      </w:rPr>
    </w:pPr>
    <w:r>
      <w:rPr>
        <w:rFonts w:hint="cs"/>
        <w:sz w:val="16"/>
        <w:szCs w:val="16"/>
        <w:rtl/>
      </w:rPr>
      <w:tab/>
      <w:t>תוכן עניינים</w:t>
    </w:r>
  </w:p>
  <w:p>
    <w:pPr>
      <w:pStyle w:val="Footer"/>
      <w:tabs>
        <w:tab w:val="left" w:pos="1222"/>
      </w:tabs>
      <w:spacing w:line="160" w:lineRule="exact"/>
      <w:ind w:left="0" w:right="0"/>
      <w:jc w:val="left"/>
      <w:rPr>
        <w:rFonts w:hint="cs"/>
        <w:sz w:val="16"/>
        <w:szCs w:val="16"/>
        <w:rtl/>
      </w:rPr>
    </w:pPr>
    <w:r>
      <w:rPr>
        <w:rFonts w:hint="cs"/>
        <w:sz w:val="16"/>
        <w:szCs w:val="16"/>
        <w:rtl/>
      </w:rPr>
      <w:t>מסגרת הפרסום:</w:t>
      <w:tab/>
      <w:t>דוחות על הביקורת בשלטון המקומי לשנת 2013</w:t>
    </w:r>
  </w:p>
  <w:p>
    <w:pPr>
      <w:pStyle w:val="Footer"/>
      <w:tabs>
        <w:tab w:val="left" w:pos="1222"/>
      </w:tabs>
      <w:spacing w:line="160" w:lineRule="exact"/>
      <w:ind w:left="0" w:right="0"/>
      <w:jc w:val="left"/>
      <w:rPr>
        <w:rFonts w:hint="cs"/>
        <w:sz w:val="16"/>
        <w:szCs w:val="16"/>
        <w:rtl/>
      </w:rPr>
    </w:pPr>
    <w:r>
      <w:rPr>
        <w:rFonts w:hint="cs"/>
        <w:sz w:val="16"/>
        <w:szCs w:val="16"/>
        <w:rtl/>
      </w:rPr>
      <w:t>שנת פרסום:</w:t>
      <w:tab/>
      <w:t>התשע</w:t>
    </w:r>
    <w:r>
      <w:rPr>
        <w:sz w:val="16"/>
        <w:szCs w:val="16"/>
        <w:rtl/>
      </w:rPr>
      <w:t>"</w:t>
    </w:r>
    <w:r>
      <w:rPr>
        <w:rFonts w:hint="cs"/>
        <w:sz w:val="16"/>
        <w:szCs w:val="16"/>
        <w:rtl/>
      </w:rPr>
      <w:t>ד-2013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tabs>
        <w:tab w:val="left" w:pos="1222"/>
      </w:tabs>
      <w:spacing w:line="160" w:lineRule="exact"/>
      <w:ind w:left="0" w:right="0"/>
      <w:jc w:val="left"/>
      <w:rPr>
        <w:rFonts w:hint="cs"/>
        <w:sz w:val="16"/>
        <w:szCs w:val="16"/>
        <w:rtl/>
      </w:rPr>
    </w:pPr>
    <w:r>
      <w:rPr>
        <w:rFonts w:hint="cs"/>
        <w:sz w:val="16"/>
        <w:szCs w:val="16"/>
        <w:rtl/>
      </w:rPr>
      <w:tab/>
      <w:t>תוכן עניינים</w:t>
    </w:r>
  </w:p>
  <w:p>
    <w:pPr>
      <w:pStyle w:val="Footer"/>
      <w:tabs>
        <w:tab w:val="left" w:pos="1222"/>
      </w:tabs>
      <w:spacing w:line="160" w:lineRule="exact"/>
      <w:ind w:left="0" w:right="0"/>
      <w:jc w:val="left"/>
      <w:rPr>
        <w:rFonts w:hint="cs"/>
        <w:sz w:val="16"/>
        <w:szCs w:val="16"/>
        <w:rtl/>
      </w:rPr>
    </w:pPr>
    <w:r>
      <w:rPr>
        <w:rFonts w:hint="cs"/>
        <w:sz w:val="16"/>
        <w:szCs w:val="16"/>
        <w:rtl/>
      </w:rPr>
      <w:t>מסגרת הפרסום:</w:t>
      <w:tab/>
      <w:t>דוחות על הביקורת בשלטון המקומי לשנת 2013</w:t>
    </w:r>
  </w:p>
  <w:p>
    <w:pPr>
      <w:pStyle w:val="Footer"/>
      <w:tabs>
        <w:tab w:val="left" w:pos="1222"/>
      </w:tabs>
      <w:spacing w:line="160" w:lineRule="exact"/>
      <w:ind w:left="0" w:right="0"/>
      <w:jc w:val="left"/>
      <w:rPr>
        <w:rFonts w:hint="cs"/>
        <w:sz w:val="16"/>
        <w:szCs w:val="16"/>
        <w:rtl/>
      </w:rPr>
    </w:pPr>
    <w:r>
      <w:rPr>
        <w:rFonts w:hint="cs"/>
        <w:sz w:val="16"/>
        <w:szCs w:val="16"/>
        <w:rtl/>
      </w:rPr>
      <w:t>שנת פרסום:</w:t>
      <w:tab/>
      <w:t>התשע</w:t>
    </w:r>
    <w:r>
      <w:rPr>
        <w:sz w:val="16"/>
        <w:szCs w:val="16"/>
        <w:rtl/>
      </w:rPr>
      <w:t>"</w:t>
    </w:r>
    <w:r>
      <w:rPr>
        <w:rFonts w:hint="cs"/>
        <w:sz w:val="16"/>
        <w:szCs w:val="16"/>
        <w:rtl/>
      </w:rPr>
      <w:t>ד-2013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E4701908"/>
    <w:lvl w:ilvl="0">
      <w:start w:val="1"/>
      <w:numFmt w:val="decimal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1">
    <w:nsid w:val="01042FA8"/>
    <w:multiLevelType w:val="hybridMultilevel"/>
    <w:tmpl w:val="FE161A56"/>
    <w:lvl w:ilvl="0">
      <w:start w:val="1"/>
      <w:numFmt w:val="decimal"/>
      <w:lvlText w:val="%1."/>
      <w:lvlJc w:val="left"/>
      <w:pPr>
        <w:tabs>
          <w:tab w:val="num" w:pos="930"/>
        </w:tabs>
        <w:ind w:left="930" w:right="93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>
    <w:nsid w:val="042F21F7"/>
    <w:multiLevelType w:val="hybridMultilevel"/>
    <w:tmpl w:val="5B483E3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17FC430F"/>
    <w:multiLevelType w:val="hybridMultilevel"/>
    <w:tmpl w:val="DC0C7A3E"/>
    <w:lvl w:ilvl="0">
      <w:start w:val="15"/>
      <w:numFmt w:val="decimal"/>
      <w:pStyle w:val="Heading9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  <w:color w:val="FF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>
    <w:nsid w:val="1DBF6EF5"/>
    <w:multiLevelType w:val="hybridMultilevel"/>
    <w:tmpl w:val="D3ACEA66"/>
    <w:lvl w:ilvl="0">
      <w:start w:val="2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>
    <w:nsid w:val="3443390D"/>
    <w:multiLevelType w:val="singleLevel"/>
    <w:tmpl w:val="A07AD338"/>
    <w:lvl w:ilvl="0">
      <w:start w:val="1"/>
      <w:numFmt w:val="upperRoman"/>
      <w:lvlText w:val="%1."/>
      <w:lvlJc w:val="center"/>
      <w:pPr>
        <w:tabs>
          <w:tab w:val="num" w:pos="648"/>
        </w:tabs>
        <w:ind w:left="648" w:right="648" w:hanging="360"/>
      </w:pPr>
    </w:lvl>
  </w:abstractNum>
  <w:abstractNum w:abstractNumId="6">
    <w:nsid w:val="413561E6"/>
    <w:multiLevelType w:val="singleLevel"/>
    <w:tmpl w:val="5678B488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7">
    <w:nsid w:val="55403117"/>
    <w:multiLevelType w:val="hybridMultilevel"/>
    <w:tmpl w:val="D8A81D96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>
    <w:nsid w:val="6A1C7FB5"/>
    <w:multiLevelType w:val="singleLevel"/>
    <w:tmpl w:val="CB646ABA"/>
    <w:lvl w:ilvl="0">
      <w:start w:val="1"/>
      <w:numFmt w:val="hebrew1"/>
      <w:lvlText w:val="%1."/>
      <w:lvlJc w:val="center"/>
      <w:pPr>
        <w:tabs>
          <w:tab w:val="num" w:pos="797"/>
        </w:tabs>
        <w:ind w:left="797" w:right="797" w:hanging="360"/>
      </w:pPr>
    </w:lvl>
  </w:abstractNum>
  <w:abstractNum w:abstractNumId="9">
    <w:nsid w:val="6D9826F5"/>
    <w:multiLevelType w:val="hybridMultilevel"/>
    <w:tmpl w:val="2E642806"/>
    <w:lvl w:ilvl="0">
      <w:start w:val="1"/>
      <w:numFmt w:val="decimal"/>
      <w:lvlText w:val="%1."/>
      <w:lvlJc w:val="left"/>
      <w:pPr>
        <w:tabs>
          <w:tab w:val="num" w:pos="930"/>
        </w:tabs>
        <w:ind w:left="930" w:right="93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">
    <w:nsid w:val="6FAD0D09"/>
    <w:multiLevelType w:val="hybridMultilevel"/>
    <w:tmpl w:val="DC4CFC48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1">
    <w:nsid w:val="79881A14"/>
    <w:multiLevelType w:val="hybridMultilevel"/>
    <w:tmpl w:val="CCC07CDA"/>
    <w:lvl w:ilvl="0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11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397"/>
  <w:evenAndOddHeaders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line="240" w:lineRule="exact"/>
      <w:ind w:left="0" w:right="0"/>
      <w:jc w:val="left"/>
    </w:pPr>
    <w:rPr>
      <w:rFonts w:cs="David"/>
      <w:sz w:val="24"/>
      <w:szCs w:val="24"/>
      <w:lang w:val="en-US" w:eastAsia="en-US" w:bidi="he-IL"/>
    </w:rPr>
  </w:style>
  <w:style w:type="paragraph" w:styleId="Heading1">
    <w:name w:val="heading 1"/>
    <w:basedOn w:val="Normal"/>
    <w:next w:val="Normal"/>
    <w:uiPriority w:val="9"/>
    <w:qFormat/>
    <w:pPr>
      <w:keepNext/>
      <w:spacing w:after="120" w:line="360" w:lineRule="exact"/>
      <w:ind w:left="3649" w:right="0"/>
      <w:jc w:val="left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uiPriority w:val="9"/>
    <w:qFormat/>
    <w:pPr>
      <w:keepNext/>
      <w:widowControl w:val="0"/>
      <w:spacing w:line="312" w:lineRule="auto"/>
      <w:ind w:left="0" w:right="0"/>
      <w:jc w:val="center"/>
      <w:outlineLvl w:val="1"/>
    </w:pPr>
    <w:rPr>
      <w:sz w:val="44"/>
      <w:szCs w:val="44"/>
      <w:lang w:eastAsia="he-IL"/>
    </w:rPr>
  </w:style>
  <w:style w:type="paragraph" w:styleId="Heading3">
    <w:name w:val="heading 3"/>
    <w:basedOn w:val="Normal"/>
    <w:next w:val="Normal"/>
    <w:uiPriority w:val="9"/>
    <w:qFormat/>
    <w:pPr>
      <w:keepNext/>
      <w:widowControl w:val="0"/>
      <w:numPr>
        <w:ilvl w:val="0"/>
        <w:numId w:val="9"/>
      </w:numPr>
      <w:tabs>
        <w:tab w:val="clear" w:pos="720"/>
        <w:tab w:val="num" w:pos="804"/>
      </w:tabs>
      <w:spacing w:line="312" w:lineRule="auto"/>
      <w:ind w:left="720" w:right="0"/>
      <w:jc w:val="both"/>
      <w:outlineLvl w:val="2"/>
    </w:pPr>
    <w:rPr>
      <w:color w:val="FF0000"/>
      <w:sz w:val="20"/>
      <w:u w:val="single"/>
      <w:lang w:eastAsia="he-IL"/>
    </w:rPr>
  </w:style>
  <w:style w:type="paragraph" w:styleId="Heading4">
    <w:name w:val="heading 4"/>
    <w:basedOn w:val="Normal"/>
    <w:next w:val="Normal"/>
    <w:uiPriority w:val="9"/>
    <w:qFormat/>
    <w:pPr>
      <w:keepNext/>
      <w:widowControl w:val="0"/>
      <w:tabs>
        <w:tab w:val="num" w:pos="804"/>
      </w:tabs>
      <w:spacing w:line="312" w:lineRule="auto"/>
      <w:ind w:left="3711" w:right="0" w:firstLine="258"/>
      <w:jc w:val="both"/>
      <w:outlineLvl w:val="3"/>
    </w:pPr>
    <w:rPr>
      <w:color w:val="FF0000"/>
      <w:sz w:val="20"/>
      <w:u w:val="single"/>
      <w:lang w:eastAsia="he-IL"/>
    </w:rPr>
  </w:style>
  <w:style w:type="paragraph" w:styleId="Heading5">
    <w:name w:val="heading 5"/>
    <w:basedOn w:val="Normal"/>
    <w:next w:val="Normal"/>
    <w:uiPriority w:val="9"/>
    <w:qFormat/>
    <w:pPr>
      <w:keepNext/>
      <w:spacing w:after="120" w:line="360" w:lineRule="exact"/>
      <w:ind w:left="3649" w:right="0"/>
      <w:jc w:val="left"/>
      <w:outlineLvl w:val="4"/>
    </w:pPr>
    <w:rPr>
      <w:b/>
      <w:bCs/>
      <w:sz w:val="32"/>
      <w:szCs w:val="32"/>
      <w:lang w:eastAsia="he-IL"/>
    </w:rPr>
  </w:style>
  <w:style w:type="paragraph" w:styleId="Heading7">
    <w:name w:val="heading 7"/>
    <w:basedOn w:val="Normal"/>
    <w:next w:val="Normal"/>
    <w:uiPriority w:val="9"/>
    <w:qFormat/>
    <w:pPr>
      <w:keepNext/>
      <w:widowControl w:val="0"/>
      <w:spacing w:before="120" w:after="120" w:line="312" w:lineRule="auto"/>
      <w:ind w:left="0" w:right="0"/>
      <w:jc w:val="center"/>
      <w:outlineLvl w:val="6"/>
    </w:pPr>
    <w:rPr>
      <w:sz w:val="36"/>
      <w:szCs w:val="36"/>
      <w:lang w:eastAsia="he-IL"/>
    </w:rPr>
  </w:style>
  <w:style w:type="paragraph" w:styleId="Heading9">
    <w:name w:val="heading 9"/>
    <w:basedOn w:val="Normal"/>
    <w:next w:val="Normal"/>
    <w:uiPriority w:val="9"/>
    <w:qFormat/>
    <w:pPr>
      <w:keepNext/>
      <w:widowControl w:val="0"/>
      <w:numPr>
        <w:ilvl w:val="0"/>
        <w:numId w:val="11"/>
      </w:numPr>
      <w:tabs>
        <w:tab w:val="clear" w:pos="720"/>
        <w:tab w:val="num" w:pos="804"/>
      </w:tabs>
      <w:spacing w:line="312" w:lineRule="auto"/>
      <w:ind w:left="876" w:right="0" w:hanging="516"/>
      <w:jc w:val="both"/>
      <w:outlineLvl w:val="8"/>
    </w:pPr>
    <w:rPr>
      <w:color w:val="FF0000"/>
      <w:sz w:val="20"/>
      <w:u w:val="single"/>
      <w:lang w:eastAsia="he-IL"/>
    </w:rPr>
  </w:style>
  <w:style w:type="character" w:default="1" w:styleId="DefaultParagraphFont">
    <w:name w:val="Default Paragraph Font"/>
    <w:semiHidden/>
  </w:style>
  <w:style w:type="paragraph" w:customStyle="1" w:styleId="KOT1">
    <w:name w:val="KOT1"/>
    <w:basedOn w:val="Normal"/>
    <w:pPr>
      <w:keepNext/>
      <w:spacing w:after="360" w:line="400" w:lineRule="exact"/>
      <w:ind w:left="0" w:right="0"/>
      <w:jc w:val="center"/>
    </w:pPr>
    <w:rPr>
      <w:b/>
      <w:bCs/>
      <w:sz w:val="36"/>
      <w:szCs w:val="36"/>
      <w:lang w:eastAsia="he-IL"/>
    </w:rPr>
  </w:style>
  <w:style w:type="paragraph" w:customStyle="1" w:styleId="KOT2">
    <w:name w:val="KOT2"/>
    <w:basedOn w:val="Normal"/>
    <w:pPr>
      <w:keepNext/>
      <w:spacing w:after="360" w:line="360" w:lineRule="exact"/>
      <w:ind w:left="0" w:right="0"/>
      <w:jc w:val="center"/>
    </w:pPr>
    <w:rPr>
      <w:b/>
      <w:bCs/>
      <w:sz w:val="32"/>
      <w:szCs w:val="32"/>
      <w:lang w:eastAsia="he-IL"/>
    </w:rPr>
  </w:style>
  <w:style w:type="paragraph" w:customStyle="1" w:styleId="KOT3A">
    <w:name w:val="KOT3A"/>
    <w:basedOn w:val="Normal"/>
    <w:pPr>
      <w:spacing w:after="120" w:line="360" w:lineRule="exact"/>
      <w:ind w:left="0" w:right="0"/>
      <w:jc w:val="left"/>
    </w:pPr>
    <w:rPr>
      <w:b/>
      <w:bCs/>
      <w:spacing w:val="40"/>
      <w:szCs w:val="30"/>
    </w:rPr>
  </w:style>
  <w:style w:type="paragraph" w:customStyle="1" w:styleId="KOT3">
    <w:name w:val="KOT3"/>
    <w:basedOn w:val="KOT3A"/>
    <w:pPr>
      <w:keepNext/>
      <w:spacing w:after="360"/>
      <w:ind w:left="0" w:right="0"/>
      <w:jc w:val="center"/>
    </w:pPr>
    <w:rPr>
      <w:spacing w:val="0"/>
      <w:szCs w:val="28"/>
    </w:rPr>
  </w:style>
  <w:style w:type="paragraph" w:customStyle="1" w:styleId="KOT4">
    <w:name w:val="KOT4"/>
    <w:basedOn w:val="KOT3"/>
    <w:pPr>
      <w:spacing w:after="240" w:line="300" w:lineRule="exact"/>
      <w:ind w:left="0" w:right="0"/>
      <w:jc w:val="left"/>
    </w:pPr>
    <w:rPr>
      <w:sz w:val="26"/>
      <w:szCs w:val="26"/>
    </w:rPr>
  </w:style>
  <w:style w:type="paragraph" w:customStyle="1" w:styleId="KOT5">
    <w:name w:val="KOT5"/>
    <w:basedOn w:val="KOT4"/>
    <w:pPr>
      <w:spacing w:after="120" w:line="260" w:lineRule="exact"/>
      <w:ind w:left="0" w:right="0"/>
      <w:jc w:val="left"/>
    </w:pPr>
    <w:rPr>
      <w:sz w:val="22"/>
      <w:szCs w:val="22"/>
    </w:rPr>
  </w:style>
  <w:style w:type="paragraph" w:customStyle="1" w:styleId="NAME">
    <w:name w:val="NAME"/>
    <w:basedOn w:val="Normal"/>
    <w:pPr>
      <w:pBdr>
        <w:bottom w:val="single" w:sz="4" w:space="6" w:color="auto"/>
      </w:pBdr>
      <w:spacing w:after="120" w:line="312" w:lineRule="auto"/>
      <w:ind w:left="0" w:right="0"/>
      <w:jc w:val="right"/>
      <w:outlineLvl w:val="0"/>
    </w:pPr>
    <w:rPr>
      <w:sz w:val="42"/>
      <w:szCs w:val="42"/>
      <w:lang w:eastAsia="he-IL"/>
    </w:rPr>
  </w:style>
  <w:style w:type="paragraph" w:customStyle="1" w:styleId="PATIAH">
    <w:name w:val="PATIAH"/>
    <w:basedOn w:val="Normal"/>
    <w:pPr>
      <w:spacing w:after="120" w:line="260" w:lineRule="exact"/>
      <w:ind w:left="0" w:right="0"/>
      <w:jc w:val="both"/>
    </w:pPr>
    <w:rPr>
      <w:sz w:val="20"/>
      <w:lang w:eastAsia="he-IL"/>
    </w:rPr>
  </w:style>
  <w:style w:type="paragraph" w:customStyle="1" w:styleId="RESHET">
    <w:name w:val="RESHET"/>
    <w:basedOn w:val="Normal"/>
    <w:pPr>
      <w:pBdr>
        <w:top w:val="single" w:sz="4" w:space="4" w:color="FFFFFF"/>
        <w:left w:val="single" w:sz="4" w:space="11" w:color="FFFFFF"/>
        <w:bottom w:val="single" w:sz="4" w:space="6" w:color="FFFFFF"/>
        <w:right w:val="single" w:sz="4" w:space="11" w:color="FFFFFF"/>
      </w:pBdr>
      <w:shd w:val="pct25" w:color="00FF00" w:fill="auto"/>
      <w:spacing w:after="120" w:line="230" w:lineRule="exact"/>
      <w:ind w:left="227" w:right="227"/>
      <w:jc w:val="both"/>
    </w:pPr>
    <w:rPr>
      <w:rFonts w:cs="FrankRuehl"/>
      <w:b/>
      <w:bCs/>
      <w:szCs w:val="22"/>
      <w:lang w:eastAsia="he-IL"/>
    </w:rPr>
  </w:style>
  <w:style w:type="paragraph" w:customStyle="1" w:styleId="takzir">
    <w:name w:val="takzir"/>
    <w:basedOn w:val="Normal"/>
    <w:pPr>
      <w:spacing w:after="120"/>
      <w:ind w:left="0" w:right="0"/>
      <w:jc w:val="both"/>
    </w:pPr>
    <w:rPr>
      <w:b/>
      <w:bCs/>
      <w:noProof/>
      <w:sz w:val="22"/>
      <w:szCs w:val="22"/>
      <w:lang w:eastAsia="he-IL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ind w:left="0" w:right="0"/>
      <w:jc w:val="left"/>
    </w:pPr>
  </w:style>
  <w:style w:type="paragraph" w:styleId="PlainText">
    <w:name w:val="Plain Text"/>
    <w:basedOn w:val="Normal"/>
    <w:pPr>
      <w:widowControl w:val="0"/>
      <w:spacing w:line="312" w:lineRule="auto"/>
      <w:ind w:left="0" w:right="0"/>
      <w:jc w:val="both"/>
    </w:pPr>
    <w:rPr>
      <w:rFonts w:ascii="Courier New" w:hAnsi="Courier New" w:cs="Courier New"/>
      <w:sz w:val="20"/>
      <w:szCs w:val="20"/>
      <w:lang w:eastAsia="he-IL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ind w:left="0" w:right="0"/>
      <w:jc w:val="left"/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pPr>
      <w:ind w:left="0" w:right="0"/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a">
    <w:name w:val="נבנצלים"/>
    <w:basedOn w:val="Normal"/>
    <w:next w:val="Normal"/>
    <w:pPr>
      <w:widowControl w:val="0"/>
      <w:spacing w:line="269" w:lineRule="auto"/>
      <w:ind w:left="-567" w:right="0"/>
      <w:jc w:val="both"/>
    </w:pPr>
    <w:rPr>
      <w:sz w:val="20"/>
      <w:szCs w:val="20"/>
      <w:lang w:eastAsia="he-IL"/>
    </w:rPr>
  </w:style>
  <w:style w:type="paragraph" w:customStyle="1" w:styleId="Heading30">
    <w:name w:val="Heading 3_0"/>
    <w:basedOn w:val="Normal"/>
    <w:next w:val="Normal"/>
    <w:pPr>
      <w:widowControl w:val="0"/>
      <w:spacing w:before="100" w:beforeAutospacing="1" w:line="288" w:lineRule="auto"/>
      <w:ind w:left="0" w:right="0"/>
      <w:jc w:val="left"/>
    </w:pPr>
    <w:rPr>
      <w:b/>
      <w:bCs/>
      <w:szCs w:val="28"/>
      <w:u w:val="single"/>
      <w:lang w:eastAsia="he-IL"/>
    </w:rPr>
  </w:style>
  <w:style w:type="paragraph" w:styleId="Caption">
    <w:name w:val="caption"/>
    <w:basedOn w:val="Normal"/>
    <w:next w:val="Normal"/>
    <w:uiPriority w:val="35"/>
    <w:qFormat/>
    <w:pPr>
      <w:tabs>
        <w:tab w:val="left" w:pos="1021"/>
        <w:tab w:val="center" w:pos="5131"/>
      </w:tabs>
      <w:spacing w:line="280" w:lineRule="exact"/>
      <w:ind w:left="0" w:right="0"/>
      <w:jc w:val="left"/>
    </w:pPr>
    <w:rPr>
      <w:b/>
      <w:bCs/>
      <w:sz w:val="28"/>
      <w:szCs w:val="28"/>
    </w:rPr>
  </w:style>
  <w:style w:type="paragraph" w:styleId="BodyTextIndent2">
    <w:name w:val="Body Text Indent 2"/>
    <w:basedOn w:val="Normal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12" w:lineRule="auto"/>
      <w:ind w:left="1134" w:right="0"/>
      <w:jc w:val="left"/>
    </w:pPr>
    <w:rPr>
      <w:b/>
      <w:bCs/>
      <w:lang w:eastAsia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numbering" Target="numbering.xml"/><Relationship Id="rId5" Type="http://schemas.openxmlformats.org/officeDocument/2006/relationships/footer" Target="footer2.xml"/><Relationship Id="rId10" Type="http://schemas.openxmlformats.org/officeDocument/2006/relationships/customXml" Target="../customXml/item3.xml"/><Relationship Id="rId4" Type="http://schemas.openxmlformats.org/officeDocument/2006/relationships/footer" Target="footer1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5E8EBA-ECA2-4F45-9794-6A6B1C3D2239}"/>
</file>

<file path=customXml/itemProps2.xml><?xml version="1.0" encoding="utf-8"?>
<ds:datastoreItem xmlns:ds="http://schemas.openxmlformats.org/officeDocument/2006/customXml" ds:itemID="{D1804197-CD4C-483A-8949-B1AFB32A7DAB}"/>
</file>

<file path=customXml/itemProps3.xml><?xml version="1.0" encoding="utf-8"?>
<ds:datastoreItem xmlns:ds="http://schemas.openxmlformats.org/officeDocument/2006/customXml" ds:itemID="{9E84747D-17D3-4C22-9D26-695EC12C5BC6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</Properties>
</file>