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11 -->
  <w:body>
    <w:p>
      <w:pPr>
        <w:spacing w:line="240" w:lineRule="auto"/>
        <w:ind w:left="0" w:right="0"/>
        <w:jc w:val="left"/>
        <w:rPr>
          <w:rFonts w:hint="cs"/>
          <w:sz w:val="36"/>
          <w:szCs w:val="36"/>
        </w:rPr>
      </w:pPr>
    </w:p>
    <w:p>
      <w:pPr>
        <w:spacing w:line="240" w:lineRule="auto"/>
        <w:ind w:left="0" w:right="0"/>
        <w:jc w:val="left"/>
        <w:rPr>
          <w:rFonts w:hint="cs"/>
          <w:sz w:val="36"/>
          <w:szCs w:val="36"/>
          <w:rtl/>
        </w:rPr>
      </w:pPr>
      <w:r>
        <w:rPr>
          <w:szCs w:val="20"/>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pt;height:69.84pt" filled="f" fillcolor="window" stroked="f">
            <v:imagedata r:id="rId4" o:title="\\New\new c\MacMove\semel.tif"/>
          </v:shape>
        </w:pict>
      </w:r>
    </w:p>
    <w:p>
      <w:pPr>
        <w:spacing w:line="240" w:lineRule="auto"/>
        <w:ind w:left="0" w:right="0"/>
        <w:jc w:val="left"/>
        <w:rPr>
          <w:rFonts w:hint="cs"/>
          <w:sz w:val="36"/>
          <w:szCs w:val="36"/>
          <w:rtl/>
        </w:rPr>
      </w:pPr>
      <w:r>
        <w:rPr>
          <w:rFonts w:hint="cs"/>
          <w:sz w:val="36"/>
          <w:szCs w:val="36"/>
          <w:rtl/>
        </w:rPr>
        <w:t>משרד מבקר המדינה</w:t>
      </w:r>
    </w:p>
    <w:p>
      <w:pPr>
        <w:spacing w:line="240" w:lineRule="auto"/>
        <w:ind w:left="0" w:right="0"/>
        <w:jc w:val="left"/>
        <w:rPr>
          <w:rFonts w:hint="cs"/>
          <w:sz w:val="36"/>
          <w:szCs w:val="36"/>
          <w:rtl/>
        </w:rPr>
      </w:pPr>
    </w:p>
    <w:p>
      <w:pPr>
        <w:spacing w:line="240" w:lineRule="auto"/>
        <w:ind w:left="0" w:right="0"/>
        <w:jc w:val="left"/>
        <w:rPr>
          <w:rFonts w:hint="cs"/>
          <w:sz w:val="36"/>
          <w:szCs w:val="36"/>
          <w:rtl/>
        </w:rPr>
      </w:pPr>
    </w:p>
    <w:p>
      <w:pPr>
        <w:spacing w:line="240" w:lineRule="auto"/>
        <w:ind w:left="0" w:right="0"/>
        <w:jc w:val="left"/>
        <w:rPr>
          <w:rFonts w:hint="cs"/>
          <w:sz w:val="36"/>
          <w:szCs w:val="36"/>
          <w:rtl/>
        </w:rPr>
      </w:pPr>
    </w:p>
    <w:p>
      <w:pPr>
        <w:spacing w:line="240" w:lineRule="auto"/>
        <w:ind w:left="0" w:right="0"/>
        <w:jc w:val="left"/>
        <w:rPr>
          <w:rFonts w:hint="cs"/>
          <w:sz w:val="36"/>
          <w:szCs w:val="36"/>
          <w:rtl/>
        </w:rPr>
      </w:pPr>
      <w:r>
        <w:rPr>
          <w:rFonts w:hint="cs"/>
          <w:sz w:val="36"/>
          <w:szCs w:val="36"/>
          <w:rtl/>
        </w:rPr>
        <w:t>דו"ח ע ל מינוי דירקטורים</w:t>
      </w:r>
    </w:p>
    <w:p>
      <w:pPr>
        <w:pStyle w:val="Heading3"/>
        <w:ind w:left="0" w:right="0"/>
        <w:jc w:val="left"/>
        <w:rPr>
          <w:rFonts w:hint="cs"/>
          <w:rtl/>
        </w:rPr>
      </w:pPr>
      <w:r>
        <w:rPr>
          <w:rFonts w:hint="cs"/>
          <w:rtl/>
        </w:rPr>
        <w:t>בחברות</w:t>
        <w:tab/>
        <w:t xml:space="preserve">          ממשלתיות</w:t>
      </w:r>
    </w:p>
    <w:p>
      <w:pPr>
        <w:spacing w:line="240" w:lineRule="auto"/>
        <w:ind w:left="0" w:right="0"/>
        <w:jc w:val="both"/>
        <w:rPr>
          <w:rFonts w:hint="cs"/>
          <w:sz w:val="36"/>
          <w:szCs w:val="36"/>
          <w:rtl/>
        </w:rPr>
      </w:pPr>
    </w:p>
    <w:p>
      <w:pPr>
        <w:spacing w:line="240" w:lineRule="auto"/>
        <w:ind w:left="0" w:right="0"/>
        <w:jc w:val="both"/>
        <w:rPr>
          <w:rFonts w:hint="cs"/>
          <w:sz w:val="36"/>
          <w:szCs w:val="36"/>
          <w:rtl/>
        </w:rPr>
      </w:pPr>
    </w:p>
    <w:p>
      <w:pPr>
        <w:ind w:left="0" w:right="0"/>
        <w:jc w:val="both"/>
        <w:rPr>
          <w:rtl/>
        </w:rPr>
      </w:pPr>
      <w:r>
        <w:rPr>
          <w:rFonts w:hint="cs"/>
          <w:rtl/>
        </w:rPr>
        <w:t>ירושלים, התשמ"ט -1989</w:t>
      </w:r>
    </w:p>
    <w:p>
      <w:pPr>
        <w:spacing w:line="240" w:lineRule="auto"/>
        <w:ind w:left="0" w:right="0"/>
        <w:jc w:val="both"/>
        <w:rPr>
          <w:rFonts w:hint="cs"/>
          <w:sz w:val="36"/>
          <w:szCs w:val="36"/>
          <w:rtl/>
        </w:rPr>
      </w:pPr>
      <w:r>
        <w:rPr>
          <w:rFonts w:hint="cs"/>
          <w:sz w:val="36"/>
          <w:szCs w:val="36"/>
          <w:rtl/>
        </w:rPr>
        <w:t xml:space="preserve"> </w:t>
      </w:r>
      <w:r>
        <w:rPr>
          <w:sz w:val="36"/>
          <w:szCs w:val="36"/>
          <w:rtl/>
        </w:rPr>
        <w:br w:type="page"/>
      </w:r>
    </w:p>
    <w:p>
      <w:pPr>
        <w:pStyle w:val="1"/>
        <w:ind w:left="0" w:right="0"/>
        <w:jc w:val="center"/>
        <w:rPr>
          <w:rFonts w:hint="cs"/>
          <w:rtl/>
        </w:rPr>
      </w:pPr>
      <w:r>
        <w:rPr>
          <w:rtl/>
        </w:rPr>
        <w:br w:type="page"/>
      </w:r>
      <w:r>
        <w:rPr>
          <w:rFonts w:hint="cs"/>
          <w:rtl/>
        </w:rPr>
        <w:t>תוכן עניינים</w:t>
      </w:r>
    </w:p>
    <w:p>
      <w:pPr>
        <w:spacing w:line="240" w:lineRule="auto"/>
        <w:ind w:left="0" w:right="0"/>
        <w:jc w:val="both"/>
        <w:rPr>
          <w:rFonts w:hint="cs"/>
          <w:rtl/>
        </w:rPr>
      </w:pPr>
      <w:r>
        <w:rPr>
          <w:rFonts w:hint="cs"/>
          <w:rtl/>
        </w:rPr>
        <w:tab/>
        <w:tab/>
        <w:tab/>
        <w:tab/>
        <w:tab/>
        <w:tab/>
        <w:tab/>
        <w:tab/>
        <w:tab/>
        <w:tab/>
        <w:tab/>
        <w:tab/>
      </w:r>
      <w:r>
        <w:rPr>
          <w:rFonts w:hint="cs"/>
          <w:u w:val="single"/>
          <w:rtl/>
        </w:rPr>
        <w:t>עמוד</w:t>
      </w:r>
    </w:p>
    <w:p>
      <w:pPr>
        <w:spacing w:line="240" w:lineRule="auto"/>
        <w:ind w:left="0" w:right="0"/>
        <w:jc w:val="both"/>
        <w:rPr>
          <w:rFonts w:hint="cs"/>
          <w:rtl/>
        </w:rPr>
      </w:pPr>
      <w:r>
        <w:rPr>
          <w:rFonts w:hint="cs"/>
          <w:u w:val="single"/>
          <w:rtl/>
        </w:rPr>
        <w:t>אחריות על החברות</w:t>
      </w:r>
      <w:r>
        <w:rPr>
          <w:rFonts w:hint="cs"/>
          <w:rtl/>
        </w:rPr>
        <w:tab/>
        <w:tab/>
        <w:tab/>
        <w:tab/>
        <w:tab/>
        <w:tab/>
        <w:tab/>
        <w:tab/>
        <w:tab/>
        <w:tab/>
        <w:t>7</w:t>
      </w:r>
    </w:p>
    <w:p>
      <w:pPr>
        <w:spacing w:line="240" w:lineRule="auto"/>
        <w:ind w:left="0" w:right="0"/>
        <w:jc w:val="both"/>
        <w:rPr>
          <w:rFonts w:hint="cs"/>
          <w:rtl/>
        </w:rPr>
      </w:pPr>
    </w:p>
    <w:p>
      <w:pPr>
        <w:spacing w:line="240" w:lineRule="auto"/>
        <w:ind w:left="0" w:right="0"/>
        <w:jc w:val="both"/>
        <w:rPr>
          <w:rFonts w:hint="cs"/>
          <w:rtl/>
        </w:rPr>
      </w:pPr>
      <w:r>
        <w:rPr>
          <w:rFonts w:hint="cs"/>
          <w:u w:val="single"/>
          <w:rtl/>
        </w:rPr>
        <w:t>תהליך מינוי דירקטור</w:t>
      </w:r>
      <w:r>
        <w:rPr>
          <w:rFonts w:hint="cs"/>
          <w:rtl/>
        </w:rPr>
        <w:tab/>
        <w:tab/>
        <w:tab/>
        <w:tab/>
        <w:tab/>
        <w:tab/>
        <w:tab/>
        <w:tab/>
        <w:tab/>
        <w:t>10</w:t>
      </w:r>
    </w:p>
    <w:p>
      <w:pPr>
        <w:spacing w:line="240" w:lineRule="auto"/>
        <w:ind w:left="0" w:right="0" w:firstLine="567"/>
        <w:jc w:val="both"/>
        <w:rPr>
          <w:rFonts w:hint="cs"/>
          <w:rtl/>
        </w:rPr>
      </w:pPr>
      <w:r>
        <w:rPr>
          <w:rFonts w:hint="cs"/>
          <w:rtl/>
        </w:rPr>
        <w:t>מינוי דירקטור בחברת בת</w:t>
        <w:tab/>
        <w:tab/>
        <w:tab/>
        <w:tab/>
        <w:tab/>
        <w:tab/>
        <w:tab/>
        <w:tab/>
        <w:t>14</w:t>
      </w:r>
    </w:p>
    <w:p>
      <w:pPr>
        <w:spacing w:line="240" w:lineRule="auto"/>
        <w:ind w:left="0" w:right="0"/>
        <w:jc w:val="both"/>
        <w:rPr>
          <w:rFonts w:hint="cs"/>
          <w:rtl/>
        </w:rPr>
      </w:pPr>
    </w:p>
    <w:p>
      <w:pPr>
        <w:spacing w:line="240" w:lineRule="auto"/>
        <w:ind w:left="0" w:right="0"/>
        <w:jc w:val="both"/>
        <w:rPr>
          <w:rFonts w:hint="cs"/>
          <w:rtl/>
        </w:rPr>
      </w:pPr>
      <w:r>
        <w:rPr>
          <w:rFonts w:hint="cs"/>
          <w:u w:val="single"/>
          <w:rtl/>
        </w:rPr>
        <w:t>כישורי הדירקטור</w:t>
      </w:r>
      <w:r>
        <w:rPr>
          <w:rFonts w:hint="cs"/>
          <w:rtl/>
        </w:rPr>
        <w:tab/>
        <w:tab/>
        <w:tab/>
        <w:tab/>
        <w:tab/>
        <w:tab/>
        <w:tab/>
        <w:tab/>
        <w:tab/>
        <w:tab/>
        <w:t>19</w:t>
      </w:r>
    </w:p>
    <w:p>
      <w:pPr>
        <w:spacing w:line="240" w:lineRule="auto"/>
        <w:ind w:left="0" w:right="0"/>
        <w:jc w:val="both"/>
        <w:rPr>
          <w:rFonts w:hint="cs"/>
          <w:rtl/>
        </w:rPr>
      </w:pPr>
    </w:p>
    <w:p>
      <w:pPr>
        <w:spacing w:line="240" w:lineRule="auto"/>
        <w:ind w:left="0" w:right="0"/>
        <w:jc w:val="both"/>
        <w:rPr>
          <w:rFonts w:hint="cs"/>
          <w:rtl/>
        </w:rPr>
      </w:pPr>
      <w:r>
        <w:rPr>
          <w:rFonts w:hint="cs"/>
          <w:u w:val="single"/>
          <w:rtl/>
        </w:rPr>
        <w:t>תקופת הכהונה</w:t>
      </w:r>
      <w:r>
        <w:rPr>
          <w:rFonts w:hint="cs"/>
          <w:rtl/>
        </w:rPr>
        <w:tab/>
        <w:tab/>
        <w:tab/>
        <w:tab/>
        <w:tab/>
        <w:tab/>
        <w:tab/>
        <w:tab/>
        <w:tab/>
        <w:tab/>
        <w:t>27</w:t>
      </w:r>
    </w:p>
    <w:p>
      <w:pPr>
        <w:spacing w:line="240" w:lineRule="auto"/>
        <w:ind w:left="0" w:right="0" w:firstLine="567"/>
        <w:jc w:val="both"/>
        <w:rPr>
          <w:rFonts w:hint="cs"/>
          <w:rtl/>
        </w:rPr>
      </w:pPr>
      <w:r>
        <w:rPr>
          <w:rFonts w:hint="cs"/>
          <w:rtl/>
        </w:rPr>
        <w:t>תוקף המינוי</w:t>
        <w:tab/>
        <w:tab/>
        <w:tab/>
        <w:tab/>
        <w:tab/>
        <w:tab/>
        <w:tab/>
        <w:tab/>
        <w:tab/>
        <w:tab/>
        <w:t>27</w:t>
      </w:r>
    </w:p>
    <w:p>
      <w:pPr>
        <w:spacing w:line="240" w:lineRule="auto"/>
        <w:ind w:left="0" w:right="0" w:firstLine="567"/>
        <w:jc w:val="both"/>
        <w:rPr>
          <w:rFonts w:hint="cs"/>
          <w:rtl/>
        </w:rPr>
      </w:pPr>
      <w:r>
        <w:rPr>
          <w:rFonts w:hint="cs"/>
          <w:rtl/>
        </w:rPr>
        <w:t>חידוש כהונה</w:t>
        <w:tab/>
        <w:tab/>
        <w:tab/>
        <w:tab/>
        <w:tab/>
        <w:tab/>
        <w:tab/>
        <w:tab/>
        <w:tab/>
        <w:tab/>
        <w:t>28</w:t>
      </w:r>
    </w:p>
    <w:p>
      <w:pPr>
        <w:spacing w:line="240" w:lineRule="auto"/>
        <w:ind w:left="0" w:right="0"/>
        <w:jc w:val="both"/>
        <w:rPr>
          <w:rFonts w:hint="cs"/>
          <w:rtl/>
        </w:rPr>
      </w:pPr>
    </w:p>
    <w:p>
      <w:pPr>
        <w:spacing w:line="240" w:lineRule="auto"/>
        <w:ind w:left="0" w:right="0"/>
        <w:jc w:val="both"/>
        <w:rPr>
          <w:rFonts w:hint="cs"/>
          <w:rtl/>
        </w:rPr>
      </w:pPr>
      <w:r>
        <w:rPr>
          <w:rFonts w:hint="cs"/>
          <w:u w:val="single"/>
          <w:rtl/>
        </w:rPr>
        <w:t>העדר מנין חוקי (קוורום</w:t>
      </w:r>
      <w:r>
        <w:rPr>
          <w:rFonts w:hint="cs"/>
          <w:rtl/>
        </w:rPr>
        <w:t>)</w:t>
        <w:tab/>
        <w:tab/>
        <w:tab/>
        <w:tab/>
        <w:tab/>
        <w:tab/>
        <w:tab/>
        <w:tab/>
        <w:tab/>
        <w:t>31</w:t>
      </w:r>
    </w:p>
    <w:p>
      <w:pPr>
        <w:spacing w:line="240" w:lineRule="auto"/>
        <w:ind w:left="0" w:right="0" w:firstLine="567"/>
        <w:jc w:val="both"/>
        <w:rPr>
          <w:rFonts w:hint="cs"/>
          <w:rtl/>
        </w:rPr>
      </w:pPr>
      <w:r>
        <w:rPr>
          <w:rFonts w:hint="cs"/>
          <w:rtl/>
        </w:rPr>
        <w:t>עיכוב במינוי יו"ר דירקטוריון</w:t>
        <w:tab/>
        <w:tab/>
        <w:tab/>
        <w:tab/>
        <w:tab/>
        <w:tab/>
        <w:tab/>
        <w:t>35</w:t>
      </w:r>
    </w:p>
    <w:p>
      <w:pPr>
        <w:spacing w:line="240" w:lineRule="auto"/>
        <w:ind w:left="0" w:right="0"/>
        <w:jc w:val="both"/>
        <w:rPr>
          <w:rFonts w:hint="cs"/>
          <w:u w:val="single"/>
          <w:rtl/>
        </w:rPr>
      </w:pPr>
    </w:p>
    <w:p>
      <w:pPr>
        <w:spacing w:line="240" w:lineRule="auto"/>
        <w:ind w:left="0" w:right="0"/>
        <w:jc w:val="both"/>
        <w:rPr>
          <w:rFonts w:hint="cs"/>
          <w:rtl/>
        </w:rPr>
      </w:pPr>
      <w:r>
        <w:rPr>
          <w:rFonts w:hint="cs"/>
          <w:u w:val="single"/>
          <w:rtl/>
        </w:rPr>
        <w:t>פוליטיזציה של המינוי</w:t>
      </w:r>
      <w:r>
        <w:rPr>
          <w:rFonts w:hint="cs"/>
          <w:rtl/>
        </w:rPr>
        <w:tab/>
        <w:tab/>
        <w:tab/>
        <w:tab/>
        <w:tab/>
        <w:tab/>
        <w:tab/>
        <w:tab/>
        <w:tab/>
        <w:t>36</w:t>
      </w:r>
    </w:p>
    <w:p>
      <w:pPr>
        <w:ind w:left="0" w:right="0"/>
        <w:jc w:val="both"/>
        <w:rPr>
          <w:rFonts w:hint="cs"/>
          <w:rtl/>
        </w:rPr>
      </w:pPr>
    </w:p>
    <w:p>
      <w:pPr>
        <w:spacing w:line="240" w:lineRule="auto"/>
        <w:ind w:left="0" w:right="0"/>
        <w:jc w:val="both"/>
        <w:rPr>
          <w:rFonts w:hint="cs"/>
          <w:rtl/>
        </w:rPr>
      </w:pPr>
      <w:r>
        <w:rPr>
          <w:rFonts w:hint="cs"/>
          <w:u w:val="single"/>
          <w:rtl/>
        </w:rPr>
        <w:t>דירקטורים עובדי מדינה וחברות</w:t>
      </w:r>
      <w:r>
        <w:rPr>
          <w:rFonts w:hint="cs"/>
          <w:rtl/>
        </w:rPr>
        <w:tab/>
        <w:tab/>
        <w:tab/>
        <w:tab/>
        <w:tab/>
        <w:tab/>
        <w:tab/>
        <w:tab/>
        <w:t>42</w:t>
      </w:r>
    </w:p>
    <w:p>
      <w:pPr>
        <w:spacing w:line="240" w:lineRule="auto"/>
        <w:ind w:left="0" w:right="0" w:firstLine="567"/>
        <w:jc w:val="both"/>
        <w:rPr>
          <w:rFonts w:hint="cs"/>
          <w:rtl/>
        </w:rPr>
      </w:pPr>
      <w:r>
        <w:rPr>
          <w:rFonts w:hint="cs"/>
          <w:rtl/>
        </w:rPr>
        <w:t>ניגוד עניינים בקרב עובדי מדינה</w:t>
        <w:tab/>
        <w:tab/>
        <w:tab/>
        <w:tab/>
        <w:tab/>
        <w:tab/>
        <w:tab/>
      </w:r>
      <w:r>
        <w:rPr>
          <w:rFonts w:hint="cs"/>
          <w:rtl/>
        </w:rPr>
        <w:t>44</w:t>
      </w:r>
    </w:p>
    <w:p>
      <w:pPr>
        <w:spacing w:line="240" w:lineRule="auto"/>
        <w:ind w:left="0" w:right="0"/>
        <w:jc w:val="both"/>
        <w:rPr>
          <w:rFonts w:hint="cs"/>
          <w:rtl/>
        </w:rPr>
      </w:pPr>
    </w:p>
    <w:p>
      <w:pPr>
        <w:spacing w:line="240" w:lineRule="auto"/>
        <w:ind w:left="0" w:right="0"/>
        <w:jc w:val="both"/>
        <w:rPr>
          <w:rtl/>
        </w:rPr>
      </w:pPr>
      <w:r>
        <w:rPr>
          <w:rFonts w:hint="cs"/>
          <w:u w:val="single"/>
          <w:rtl/>
        </w:rPr>
        <w:t>סיכום</w:t>
        <w:tab/>
      </w:r>
      <w:r>
        <w:rPr>
          <w:rFonts w:hint="cs"/>
          <w:rtl/>
        </w:rPr>
        <w:tab/>
        <w:tab/>
        <w:tab/>
        <w:tab/>
        <w:tab/>
        <w:tab/>
        <w:tab/>
        <w:tab/>
        <w:tab/>
        <w:tab/>
        <w:tab/>
        <w:t>47</w:t>
      </w:r>
    </w:p>
    <w:p>
      <w:pPr>
        <w:ind w:left="0" w:right="0"/>
        <w:jc w:val="both"/>
        <w:rPr>
          <w:rFonts w:hint="cs"/>
          <w:rtl/>
        </w:rPr>
      </w:pPr>
      <w:r>
        <w:rPr>
          <w:rtl/>
        </w:rPr>
        <w:br w:type="page"/>
      </w:r>
    </w:p>
    <w:p>
      <w:pPr>
        <w:ind w:left="0" w:right="0"/>
        <w:jc w:val="both"/>
        <w:rPr>
          <w:rFonts w:hint="cs"/>
          <w:rtl/>
        </w:rPr>
      </w:pPr>
    </w:p>
    <w:p>
      <w:pPr>
        <w:ind w:left="0" w:right="0"/>
        <w:jc w:val="both"/>
        <w:rPr>
          <w:rFonts w:hint="cs"/>
          <w:rtl/>
        </w:rPr>
      </w:pPr>
      <w:r>
        <w:rPr>
          <w:rtl/>
        </w:rPr>
        <w:br w:type="page"/>
      </w:r>
    </w:p>
    <w:p>
      <w:pPr>
        <w:pStyle w:val="1"/>
        <w:ind w:left="0" w:right="0"/>
        <w:jc w:val="center"/>
        <w:rPr>
          <w:rFonts w:hint="cs"/>
          <w:rtl/>
        </w:rPr>
      </w:pPr>
      <w:r>
        <w:rPr>
          <w:rFonts w:hint="cs"/>
          <w:rtl/>
        </w:rPr>
        <w:t>מבוא</w:t>
      </w:r>
    </w:p>
    <w:p>
      <w:pPr>
        <w:spacing w:line="240" w:lineRule="auto"/>
        <w:ind w:left="0" w:right="0"/>
        <w:jc w:val="both"/>
        <w:rPr>
          <w:rFonts w:hint="cs"/>
          <w:rtl/>
        </w:rPr>
      </w:pPr>
      <w:r>
        <w:rPr>
          <w:rFonts w:hint="cs"/>
          <w:rtl/>
        </w:rPr>
        <w:t>בחדשים האחרונים של שנת 1988 ובתחילת 1989 בדק משרד מבקר המדינה את תהליך מינוי דירקטורים בחברות ממשלתיות ובחברות בת ממשלתיות. הביקורת נערכה בנוגע למספר חברות העומדות לביקורת המדינה לפי סעיף 9(5) לחוק מבקר המדינה, התשי"ח -1958 (נוסח משולב).</w:t>
      </w:r>
    </w:p>
    <w:p>
      <w:pPr>
        <w:spacing w:line="240" w:lineRule="auto"/>
        <w:ind w:left="0" w:right="0"/>
        <w:jc w:val="both"/>
        <w:rPr>
          <w:rFonts w:hint="cs"/>
          <w:rtl/>
        </w:rPr>
      </w:pPr>
    </w:p>
    <w:p>
      <w:pPr>
        <w:spacing w:line="240" w:lineRule="auto"/>
        <w:ind w:left="0" w:right="0"/>
        <w:jc w:val="both"/>
        <w:rPr>
          <w:rtl/>
        </w:rPr>
      </w:pPr>
      <w:r>
        <w:rPr>
          <w:rFonts w:hint="cs"/>
          <w:rtl/>
        </w:rPr>
        <w:t>הממצאים שהועלו במהלך הביקורת, הובאו לידיעת שר האוצר הממונה, על פי חוק החברות הממשלתיות, התשל"ה - 1975, על מינוי הדירקטורים, ולידיעת הנהלת רשות החברות הממשלתיות. ממצאים חלקיים, הנוגעים לכל חברה בנפרד, הובאו לידיעת השר האחראי לענייני החברה. בדין וחשבון זה כלולים הממצאים העיקריים.</w:t>
      </w:r>
    </w:p>
    <w:p>
      <w:pPr>
        <w:pStyle w:val="1"/>
        <w:ind w:left="0" w:right="0"/>
        <w:jc w:val="center"/>
        <w:rPr>
          <w:rFonts w:hint="cs"/>
          <w:rtl/>
        </w:rPr>
      </w:pPr>
      <w:r>
        <w:rPr>
          <w:rtl/>
        </w:rPr>
        <w:br w:type="page"/>
      </w:r>
    </w:p>
    <w:p>
      <w:pPr>
        <w:ind w:left="0" w:right="0"/>
        <w:jc w:val="both"/>
        <w:rPr>
          <w:rFonts w:hint="cs"/>
          <w:rtl/>
        </w:rPr>
        <w:sectPr>
          <w:headerReference w:type="even" r:id="rId5"/>
          <w:headerReference w:type="default" r:id="rId6"/>
          <w:pgSz w:w="11906" w:h="16838" w:code="9"/>
          <w:pgMar w:top="1701" w:right="1985" w:bottom="1588" w:left="1701" w:header="709" w:footer="709" w:gutter="0"/>
          <w:pgNumType w:start="1"/>
          <w:cols w:space="720"/>
          <w:bidi/>
          <w:rtlGutter/>
          <w:docGrid w:linePitch="196"/>
        </w:sectPr>
      </w:pPr>
    </w:p>
    <w:p>
      <w:pPr>
        <w:pStyle w:val="1"/>
        <w:ind w:left="0" w:right="0"/>
        <w:jc w:val="center"/>
        <w:rPr>
          <w:rFonts w:hint="cs"/>
          <w:rtl/>
        </w:rPr>
      </w:pPr>
      <w:r>
        <w:rPr>
          <w:rFonts w:hint="cs"/>
          <w:rtl/>
        </w:rPr>
        <w:t>אחריות על החברות</w:t>
      </w:r>
    </w:p>
    <w:p>
      <w:pPr>
        <w:spacing w:line="240" w:lineRule="auto"/>
        <w:ind w:left="0" w:right="0"/>
        <w:jc w:val="both"/>
        <w:rPr>
          <w:rFonts w:hint="cs"/>
          <w:rtl/>
        </w:rPr>
      </w:pPr>
      <w:r>
        <w:rPr>
          <w:rFonts w:hint="cs"/>
          <w:rtl/>
        </w:rPr>
        <w:t>חוק החברות הממשלתיות, התשל"ה -1975 (להלן - החוק) מסדיר, בין היתר, את דרך מינוים של דירקטורים בחברה ממשלתית, בחברת בת ממשלתית ובחברה מעורבת כמשמעותן בחוק. החוק קובע, כי דירקטור מטעם המדינה בחברה ממשלתית או מעורבת יתמנה בידי השר שנקבע כאחראי לעניני החברה, יחד עם שר האוצר (להלן - השרים), לאחר התיעצות עם רשות החברות הממשלתיות (להלן - הרשות). דירקטור בחברת בת ממשלתית מטעם חברת האם מתמנה בידי הדירקטוריון של חברת האם; המינוי טעון אישור השרים, לאחר התיעצות עם הרשות. על מינוי דירקטורים בחברה שהתאגדה מחוץ לישראל חלים אותם כללים, במידה שאינם עומדים בסתירה למסמכי היסוד של החברה או לחוקי הארץ שבה התאגדו.</w:t>
      </w:r>
    </w:p>
    <w:p>
      <w:pPr>
        <w:spacing w:line="240" w:lineRule="auto"/>
        <w:ind w:left="0" w:right="0"/>
        <w:jc w:val="both"/>
        <w:rPr>
          <w:rFonts w:hint="cs"/>
          <w:rtl/>
        </w:rPr>
      </w:pPr>
    </w:p>
    <w:p>
      <w:pPr>
        <w:spacing w:line="240" w:lineRule="auto"/>
        <w:ind w:left="0" w:right="0"/>
        <w:jc w:val="both"/>
        <w:rPr>
          <w:rFonts w:hint="cs"/>
          <w:rtl/>
        </w:rPr>
      </w:pPr>
      <w:r>
        <w:rPr>
          <w:rFonts w:hint="cs"/>
          <w:rtl/>
        </w:rPr>
        <w:t xml:space="preserve">מנתוני הרשות לתחילת מארס 1989 עולה שהממשלה קבעה 16 שרים אחראים לעניני 169 חברות. בשתי חברות האחריות משותפת לשני שרים, ובחברה אחת האחריות משותפת לשלושה שרים. השר האחראי לעניני חברה ממשלתית אחראי גם לעניני חברות הבת שלה. </w:t>
      </w:r>
    </w:p>
    <w:p>
      <w:pPr>
        <w:spacing w:line="240" w:lineRule="auto"/>
        <w:ind w:left="0" w:right="0"/>
        <w:jc w:val="both"/>
        <w:rPr>
          <w:rFonts w:hint="cs"/>
          <w:rtl/>
        </w:rPr>
      </w:pPr>
    </w:p>
    <w:p>
      <w:pPr>
        <w:spacing w:line="240" w:lineRule="auto"/>
        <w:ind w:left="0" w:right="0"/>
        <w:jc w:val="both"/>
        <w:rPr>
          <w:rFonts w:hint="cs"/>
          <w:rtl/>
        </w:rPr>
      </w:pPr>
      <w:r>
        <w:rPr>
          <w:rFonts w:hint="cs"/>
          <w:rtl/>
        </w:rPr>
        <w:t>להלן פירוט מספר החברות לפי סוגיהן והשרים האחראים להן. חברות באחריות משותפת של מספר שרים פורטו בטבלה רק פעם אחת:</w:t>
      </w:r>
    </w:p>
    <w:p>
      <w:pPr>
        <w:spacing w:line="240" w:lineRule="auto"/>
        <w:ind w:left="0" w:right="0"/>
        <w:jc w:val="both"/>
        <w:rPr>
          <w:rFonts w:hint="cs"/>
          <w:rtl/>
        </w:rPr>
      </w:pPr>
      <w:r>
        <w:rPr>
          <w:rtl/>
        </w:rPr>
        <w:br w:type="page"/>
      </w:r>
    </w:p>
    <w:tbl>
      <w:tblPr>
        <w:tblW w:w="0" w:type="auto"/>
        <w:jc w:val="righ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
      <w:tblGrid>
        <w:gridCol w:w="1065"/>
        <w:gridCol w:w="973"/>
        <w:gridCol w:w="936"/>
        <w:gridCol w:w="4440"/>
      </w:tblGrid>
      <w:tr>
        <w:tblPrEx>
          <w:tblW w:w="0" w:type="auto"/>
          <w:jc w:val="righ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jc w:val="right"/>
        </w:trPr>
        <w:tc>
          <w:tcPr>
            <w:tcW w:w="1065" w:type="dxa"/>
            <w:vAlign w:val="bottom"/>
          </w:tcPr>
          <w:p>
            <w:pPr>
              <w:spacing w:line="240" w:lineRule="auto"/>
              <w:ind w:left="0" w:right="0"/>
              <w:jc w:val="both"/>
              <w:rPr>
                <w:rFonts w:hint="cs"/>
                <w:sz w:val="20"/>
                <w:szCs w:val="20"/>
                <w:rtl/>
              </w:rPr>
            </w:pPr>
          </w:p>
          <w:p>
            <w:pPr>
              <w:spacing w:line="240" w:lineRule="auto"/>
              <w:ind w:left="0" w:right="0"/>
              <w:jc w:val="both"/>
              <w:rPr>
                <w:rFonts w:hint="cs"/>
                <w:sz w:val="20"/>
                <w:szCs w:val="20"/>
              </w:rPr>
            </w:pPr>
            <w:r>
              <w:rPr>
                <w:rFonts w:hint="cs"/>
                <w:sz w:val="20"/>
                <w:szCs w:val="20"/>
                <w:rtl/>
              </w:rPr>
              <w:t>סה"כ</w:t>
            </w:r>
          </w:p>
        </w:tc>
        <w:tc>
          <w:tcPr>
            <w:tcW w:w="973" w:type="dxa"/>
            <w:vAlign w:val="bottom"/>
          </w:tcPr>
          <w:p>
            <w:pPr>
              <w:spacing w:line="240" w:lineRule="auto"/>
              <w:ind w:left="0" w:right="0"/>
              <w:jc w:val="both"/>
              <w:rPr>
                <w:rFonts w:hint="cs"/>
                <w:sz w:val="20"/>
                <w:szCs w:val="20"/>
              </w:rPr>
            </w:pPr>
            <w:r>
              <w:rPr>
                <w:rFonts w:hint="cs"/>
                <w:sz w:val="20"/>
                <w:szCs w:val="20"/>
                <w:rtl/>
              </w:rPr>
              <w:t>חברות מעורבות</w:t>
            </w:r>
          </w:p>
        </w:tc>
        <w:tc>
          <w:tcPr>
            <w:tcW w:w="936" w:type="dxa"/>
            <w:vAlign w:val="bottom"/>
          </w:tcPr>
          <w:p>
            <w:pPr>
              <w:spacing w:line="240" w:lineRule="auto"/>
              <w:ind w:left="0" w:right="0"/>
              <w:jc w:val="both"/>
              <w:rPr>
                <w:rFonts w:hint="cs"/>
                <w:sz w:val="20"/>
                <w:szCs w:val="20"/>
              </w:rPr>
            </w:pPr>
            <w:r>
              <w:rPr>
                <w:rFonts w:hint="cs"/>
                <w:sz w:val="20"/>
                <w:szCs w:val="20"/>
                <w:rtl/>
              </w:rPr>
              <w:t>חברות בת</w:t>
            </w:r>
          </w:p>
        </w:tc>
        <w:tc>
          <w:tcPr>
            <w:tcW w:w="4440" w:type="dxa"/>
            <w:vAlign w:val="bottom"/>
          </w:tcPr>
          <w:p>
            <w:pPr>
              <w:spacing w:line="240" w:lineRule="auto"/>
              <w:ind w:left="0" w:right="0"/>
              <w:jc w:val="both"/>
              <w:rPr>
                <w:rFonts w:hint="cs"/>
                <w:sz w:val="20"/>
                <w:szCs w:val="20"/>
              </w:rPr>
            </w:pPr>
            <w:r>
              <w:rPr>
                <w:rFonts w:hint="cs"/>
                <w:sz w:val="20"/>
                <w:szCs w:val="20"/>
                <w:rtl/>
              </w:rPr>
              <w:t xml:space="preserve">השר האחראי                          חברות  ממשלתיות </w:t>
            </w:r>
          </w:p>
        </w:tc>
      </w:tr>
      <w:tr>
        <w:tblPrEx>
          <w:tblW w:w="0" w:type="auto"/>
          <w:jc w:val="right"/>
          <w:tblInd w:w="0" w:type="dxa"/>
          <w:tblCellMar>
            <w:left w:w="108" w:type="dxa"/>
            <w:right w:w="108" w:type="dxa"/>
          </w:tblCellMar>
          <w:tblLook w:val="0000"/>
        </w:tblPrEx>
        <w:trPr>
          <w:jc w:val="right"/>
        </w:trPr>
        <w:tc>
          <w:tcPr>
            <w:tcW w:w="1065" w:type="dxa"/>
          </w:tcPr>
          <w:p>
            <w:pPr>
              <w:spacing w:line="240" w:lineRule="auto"/>
              <w:ind w:left="0" w:right="0"/>
              <w:jc w:val="both"/>
              <w:rPr>
                <w:rFonts w:hint="cs"/>
                <w:sz w:val="20"/>
                <w:szCs w:val="20"/>
              </w:rPr>
            </w:pPr>
            <w:r>
              <w:rPr>
                <w:rFonts w:hint="cs"/>
                <w:sz w:val="20"/>
                <w:szCs w:val="20"/>
                <w:rtl/>
              </w:rPr>
              <w:t>34</w:t>
            </w:r>
          </w:p>
        </w:tc>
        <w:tc>
          <w:tcPr>
            <w:tcW w:w="973" w:type="dxa"/>
          </w:tcPr>
          <w:p>
            <w:pPr>
              <w:spacing w:line="240" w:lineRule="auto"/>
              <w:ind w:left="0" w:right="0"/>
              <w:jc w:val="both"/>
              <w:rPr>
                <w:rFonts w:hint="cs"/>
                <w:sz w:val="20"/>
                <w:szCs w:val="20"/>
              </w:rPr>
            </w:pPr>
            <w:r>
              <w:rPr>
                <w:rFonts w:hint="cs"/>
                <w:sz w:val="20"/>
                <w:szCs w:val="20"/>
                <w:rtl/>
              </w:rPr>
              <w:t>4</w:t>
            </w:r>
          </w:p>
        </w:tc>
        <w:tc>
          <w:tcPr>
            <w:tcW w:w="936" w:type="dxa"/>
          </w:tcPr>
          <w:p>
            <w:pPr>
              <w:spacing w:line="240" w:lineRule="auto"/>
              <w:ind w:left="0" w:right="0"/>
              <w:jc w:val="both"/>
              <w:rPr>
                <w:rFonts w:hint="cs"/>
                <w:sz w:val="20"/>
                <w:szCs w:val="20"/>
              </w:rPr>
            </w:pPr>
            <w:r>
              <w:rPr>
                <w:rFonts w:hint="cs"/>
                <w:sz w:val="20"/>
                <w:szCs w:val="20"/>
                <w:rtl/>
              </w:rPr>
              <w:t>23</w:t>
            </w:r>
          </w:p>
        </w:tc>
        <w:tc>
          <w:tcPr>
            <w:tcW w:w="4440" w:type="dxa"/>
          </w:tcPr>
          <w:p>
            <w:pPr>
              <w:spacing w:line="240" w:lineRule="auto"/>
              <w:ind w:left="0" w:right="0"/>
              <w:jc w:val="both"/>
              <w:rPr>
                <w:rFonts w:hint="cs"/>
                <w:sz w:val="20"/>
                <w:szCs w:val="20"/>
              </w:rPr>
            </w:pPr>
            <w:r>
              <w:rPr>
                <w:rFonts w:hint="cs"/>
                <w:sz w:val="20"/>
                <w:szCs w:val="20"/>
                <w:rtl/>
              </w:rPr>
              <w:t>שר התעשייה והמסחר                              7</w:t>
            </w:r>
          </w:p>
        </w:tc>
      </w:tr>
      <w:tr>
        <w:tblPrEx>
          <w:tblW w:w="0" w:type="auto"/>
          <w:jc w:val="right"/>
          <w:tblInd w:w="0" w:type="dxa"/>
          <w:tblCellMar>
            <w:left w:w="108" w:type="dxa"/>
            <w:right w:w="108" w:type="dxa"/>
          </w:tblCellMar>
          <w:tblLook w:val="0000"/>
        </w:tblPrEx>
        <w:trPr>
          <w:jc w:val="right"/>
        </w:trPr>
        <w:tc>
          <w:tcPr>
            <w:tcW w:w="1065" w:type="dxa"/>
          </w:tcPr>
          <w:p>
            <w:pPr>
              <w:spacing w:line="240" w:lineRule="auto"/>
              <w:ind w:left="0" w:right="0"/>
              <w:jc w:val="both"/>
              <w:rPr>
                <w:rFonts w:hint="cs"/>
                <w:sz w:val="20"/>
                <w:szCs w:val="20"/>
                <w:rtl/>
              </w:rPr>
            </w:pPr>
            <w:r>
              <w:rPr>
                <w:rFonts w:hint="cs"/>
                <w:sz w:val="20"/>
                <w:szCs w:val="20"/>
                <w:rtl/>
              </w:rPr>
              <w:t>24(*)</w:t>
            </w:r>
          </w:p>
        </w:tc>
        <w:tc>
          <w:tcPr>
            <w:tcW w:w="973" w:type="dxa"/>
          </w:tcPr>
          <w:p>
            <w:pPr>
              <w:spacing w:line="240" w:lineRule="auto"/>
              <w:ind w:left="0" w:right="0"/>
              <w:jc w:val="both"/>
              <w:rPr>
                <w:rFonts w:hint="cs"/>
                <w:sz w:val="20"/>
                <w:szCs w:val="20"/>
                <w:rtl/>
              </w:rPr>
            </w:pPr>
            <w:r>
              <w:rPr>
                <w:rFonts w:hint="cs"/>
                <w:sz w:val="20"/>
                <w:szCs w:val="20"/>
                <w:rtl/>
              </w:rPr>
              <w:t>5</w:t>
            </w:r>
          </w:p>
        </w:tc>
        <w:tc>
          <w:tcPr>
            <w:tcW w:w="936" w:type="dxa"/>
          </w:tcPr>
          <w:p>
            <w:pPr>
              <w:spacing w:line="240" w:lineRule="auto"/>
              <w:ind w:left="0" w:right="0"/>
              <w:jc w:val="both"/>
              <w:rPr>
                <w:rFonts w:hint="cs"/>
                <w:sz w:val="20"/>
                <w:szCs w:val="20"/>
                <w:rtl/>
              </w:rPr>
            </w:pPr>
            <w:r>
              <w:rPr>
                <w:rFonts w:hint="cs"/>
                <w:sz w:val="20"/>
                <w:szCs w:val="20"/>
                <w:rtl/>
              </w:rPr>
              <w:t>1</w:t>
            </w:r>
          </w:p>
        </w:tc>
        <w:tc>
          <w:tcPr>
            <w:tcW w:w="4440" w:type="dxa"/>
          </w:tcPr>
          <w:p>
            <w:pPr>
              <w:spacing w:line="240" w:lineRule="auto"/>
              <w:ind w:left="0" w:right="0"/>
              <w:jc w:val="both"/>
              <w:rPr>
                <w:rFonts w:hint="cs"/>
                <w:sz w:val="20"/>
                <w:szCs w:val="20"/>
                <w:rtl/>
              </w:rPr>
            </w:pPr>
            <w:r>
              <w:rPr>
                <w:rFonts w:hint="cs"/>
                <w:sz w:val="20"/>
                <w:szCs w:val="20"/>
                <w:rtl/>
              </w:rPr>
              <w:t>שר האוצר                                                 18</w:t>
            </w:r>
          </w:p>
        </w:tc>
      </w:tr>
      <w:tr>
        <w:tblPrEx>
          <w:tblW w:w="0" w:type="auto"/>
          <w:jc w:val="right"/>
          <w:tblInd w:w="0" w:type="dxa"/>
          <w:tblCellMar>
            <w:left w:w="108" w:type="dxa"/>
            <w:right w:w="108" w:type="dxa"/>
          </w:tblCellMar>
          <w:tblLook w:val="0000"/>
        </w:tblPrEx>
        <w:trPr>
          <w:jc w:val="right"/>
        </w:trPr>
        <w:tc>
          <w:tcPr>
            <w:tcW w:w="1065" w:type="dxa"/>
          </w:tcPr>
          <w:p>
            <w:pPr>
              <w:spacing w:line="240" w:lineRule="auto"/>
              <w:ind w:left="0" w:right="0"/>
              <w:jc w:val="both"/>
              <w:rPr>
                <w:rFonts w:hint="cs"/>
                <w:sz w:val="20"/>
                <w:szCs w:val="20"/>
                <w:rtl/>
              </w:rPr>
            </w:pPr>
            <w:r>
              <w:rPr>
                <w:rFonts w:hint="cs"/>
                <w:sz w:val="20"/>
                <w:szCs w:val="20"/>
                <w:rtl/>
              </w:rPr>
              <w:t>20</w:t>
            </w:r>
          </w:p>
        </w:tc>
        <w:tc>
          <w:tcPr>
            <w:tcW w:w="973" w:type="dxa"/>
          </w:tcPr>
          <w:p>
            <w:pPr>
              <w:spacing w:line="240" w:lineRule="auto"/>
              <w:ind w:left="0" w:right="0"/>
              <w:jc w:val="both"/>
              <w:rPr>
                <w:rFonts w:hint="cs"/>
                <w:sz w:val="20"/>
                <w:szCs w:val="20"/>
                <w:rtl/>
              </w:rPr>
            </w:pPr>
            <w:r>
              <w:rPr>
                <w:rFonts w:hint="cs"/>
                <w:sz w:val="20"/>
                <w:szCs w:val="20"/>
                <w:rtl/>
              </w:rPr>
              <w:t>0</w:t>
            </w:r>
          </w:p>
        </w:tc>
        <w:tc>
          <w:tcPr>
            <w:tcW w:w="936" w:type="dxa"/>
          </w:tcPr>
          <w:p>
            <w:pPr>
              <w:spacing w:line="240" w:lineRule="auto"/>
              <w:ind w:left="0" w:right="0"/>
              <w:jc w:val="both"/>
              <w:rPr>
                <w:rFonts w:hint="cs"/>
                <w:sz w:val="20"/>
                <w:szCs w:val="20"/>
                <w:rtl/>
              </w:rPr>
            </w:pPr>
            <w:r>
              <w:rPr>
                <w:rFonts w:hint="cs"/>
                <w:sz w:val="20"/>
                <w:szCs w:val="20"/>
                <w:rtl/>
              </w:rPr>
              <w:t>11</w:t>
            </w:r>
          </w:p>
        </w:tc>
        <w:tc>
          <w:tcPr>
            <w:tcW w:w="4440" w:type="dxa"/>
          </w:tcPr>
          <w:p>
            <w:pPr>
              <w:spacing w:line="240" w:lineRule="auto"/>
              <w:ind w:left="0" w:right="0"/>
              <w:jc w:val="both"/>
              <w:rPr>
                <w:rFonts w:hint="cs"/>
                <w:sz w:val="20"/>
                <w:szCs w:val="20"/>
                <w:rtl/>
              </w:rPr>
            </w:pPr>
            <w:r>
              <w:rPr>
                <w:rFonts w:hint="cs"/>
                <w:sz w:val="20"/>
                <w:szCs w:val="20"/>
                <w:rtl/>
              </w:rPr>
              <w:t>שר האנרגיה והתשתית                             9(**)</w:t>
            </w:r>
          </w:p>
        </w:tc>
      </w:tr>
      <w:tr>
        <w:tblPrEx>
          <w:tblW w:w="0" w:type="auto"/>
          <w:jc w:val="right"/>
          <w:tblInd w:w="0" w:type="dxa"/>
          <w:tblCellMar>
            <w:left w:w="108" w:type="dxa"/>
            <w:right w:w="108" w:type="dxa"/>
          </w:tblCellMar>
          <w:tblLook w:val="0000"/>
        </w:tblPrEx>
        <w:trPr>
          <w:jc w:val="right"/>
        </w:trPr>
        <w:tc>
          <w:tcPr>
            <w:tcW w:w="1065" w:type="dxa"/>
          </w:tcPr>
          <w:p>
            <w:pPr>
              <w:spacing w:line="240" w:lineRule="auto"/>
              <w:ind w:left="0" w:right="0"/>
              <w:jc w:val="both"/>
              <w:rPr>
                <w:rFonts w:hint="cs"/>
                <w:sz w:val="20"/>
                <w:szCs w:val="20"/>
                <w:rtl/>
              </w:rPr>
            </w:pPr>
            <w:r>
              <w:rPr>
                <w:rFonts w:hint="cs"/>
                <w:sz w:val="20"/>
                <w:szCs w:val="20"/>
                <w:rtl/>
              </w:rPr>
              <w:t>14</w:t>
            </w:r>
          </w:p>
        </w:tc>
        <w:tc>
          <w:tcPr>
            <w:tcW w:w="973" w:type="dxa"/>
          </w:tcPr>
          <w:p>
            <w:pPr>
              <w:spacing w:line="240" w:lineRule="auto"/>
              <w:ind w:left="0" w:right="0"/>
              <w:jc w:val="both"/>
              <w:rPr>
                <w:rFonts w:hint="cs"/>
                <w:sz w:val="20"/>
                <w:szCs w:val="20"/>
                <w:rtl/>
              </w:rPr>
            </w:pPr>
            <w:r>
              <w:rPr>
                <w:rFonts w:hint="cs"/>
                <w:sz w:val="20"/>
                <w:szCs w:val="20"/>
                <w:rtl/>
              </w:rPr>
              <w:t>1</w:t>
            </w:r>
          </w:p>
        </w:tc>
        <w:tc>
          <w:tcPr>
            <w:tcW w:w="936" w:type="dxa"/>
          </w:tcPr>
          <w:p>
            <w:pPr>
              <w:spacing w:line="240" w:lineRule="auto"/>
              <w:ind w:left="0" w:right="0"/>
              <w:jc w:val="both"/>
              <w:rPr>
                <w:rFonts w:hint="cs"/>
                <w:sz w:val="20"/>
                <w:szCs w:val="20"/>
                <w:rtl/>
              </w:rPr>
            </w:pPr>
            <w:r>
              <w:rPr>
                <w:rFonts w:hint="cs"/>
                <w:sz w:val="20"/>
                <w:szCs w:val="20"/>
                <w:rtl/>
              </w:rPr>
              <w:t>0</w:t>
            </w:r>
          </w:p>
        </w:tc>
        <w:tc>
          <w:tcPr>
            <w:tcW w:w="4440" w:type="dxa"/>
          </w:tcPr>
          <w:p>
            <w:pPr>
              <w:spacing w:line="240" w:lineRule="auto"/>
              <w:ind w:left="0" w:right="0"/>
              <w:jc w:val="both"/>
              <w:rPr>
                <w:rFonts w:hint="cs"/>
                <w:sz w:val="20"/>
                <w:szCs w:val="20"/>
                <w:rtl/>
              </w:rPr>
            </w:pPr>
            <w:r>
              <w:rPr>
                <w:rFonts w:hint="cs"/>
                <w:sz w:val="20"/>
                <w:szCs w:val="20"/>
                <w:rtl/>
              </w:rPr>
              <w:t>שר הבינוי והשיכון                                    13(***)</w:t>
            </w:r>
          </w:p>
        </w:tc>
      </w:tr>
      <w:tr>
        <w:tblPrEx>
          <w:tblW w:w="0" w:type="auto"/>
          <w:jc w:val="right"/>
          <w:tblInd w:w="0" w:type="dxa"/>
          <w:tblCellMar>
            <w:left w:w="108" w:type="dxa"/>
            <w:right w:w="108" w:type="dxa"/>
          </w:tblCellMar>
          <w:tblLook w:val="0000"/>
        </w:tblPrEx>
        <w:trPr>
          <w:jc w:val="right"/>
        </w:trPr>
        <w:tc>
          <w:tcPr>
            <w:tcW w:w="1065" w:type="dxa"/>
          </w:tcPr>
          <w:p>
            <w:pPr>
              <w:spacing w:line="240" w:lineRule="auto"/>
              <w:ind w:left="0" w:right="0"/>
              <w:jc w:val="both"/>
              <w:rPr>
                <w:rFonts w:hint="cs"/>
                <w:sz w:val="20"/>
                <w:szCs w:val="20"/>
                <w:rtl/>
              </w:rPr>
            </w:pPr>
            <w:r>
              <w:rPr>
                <w:rFonts w:hint="cs"/>
                <w:sz w:val="20"/>
                <w:szCs w:val="20"/>
                <w:rtl/>
              </w:rPr>
              <w:t>14</w:t>
            </w:r>
          </w:p>
        </w:tc>
        <w:tc>
          <w:tcPr>
            <w:tcW w:w="973" w:type="dxa"/>
          </w:tcPr>
          <w:p>
            <w:pPr>
              <w:spacing w:line="240" w:lineRule="auto"/>
              <w:ind w:left="0" w:right="0"/>
              <w:jc w:val="both"/>
              <w:rPr>
                <w:rFonts w:hint="cs"/>
                <w:sz w:val="20"/>
                <w:szCs w:val="20"/>
                <w:rtl/>
              </w:rPr>
            </w:pPr>
            <w:r>
              <w:rPr>
                <w:rFonts w:hint="cs"/>
                <w:sz w:val="20"/>
                <w:szCs w:val="20"/>
                <w:rtl/>
              </w:rPr>
              <w:t>5</w:t>
            </w:r>
          </w:p>
        </w:tc>
        <w:tc>
          <w:tcPr>
            <w:tcW w:w="936" w:type="dxa"/>
          </w:tcPr>
          <w:p>
            <w:pPr>
              <w:spacing w:line="240" w:lineRule="auto"/>
              <w:ind w:left="0" w:right="0"/>
              <w:jc w:val="both"/>
              <w:rPr>
                <w:rFonts w:hint="cs"/>
                <w:sz w:val="20"/>
                <w:szCs w:val="20"/>
                <w:rtl/>
              </w:rPr>
            </w:pPr>
            <w:r>
              <w:rPr>
                <w:rFonts w:hint="cs"/>
                <w:sz w:val="20"/>
                <w:szCs w:val="20"/>
                <w:rtl/>
              </w:rPr>
              <w:t>2</w:t>
            </w:r>
          </w:p>
        </w:tc>
        <w:tc>
          <w:tcPr>
            <w:tcW w:w="4440" w:type="dxa"/>
          </w:tcPr>
          <w:p>
            <w:pPr>
              <w:spacing w:line="240" w:lineRule="auto"/>
              <w:ind w:left="0" w:right="0"/>
              <w:jc w:val="both"/>
              <w:rPr>
                <w:rFonts w:hint="cs"/>
                <w:sz w:val="20"/>
                <w:szCs w:val="20"/>
                <w:rtl/>
              </w:rPr>
            </w:pPr>
            <w:r>
              <w:rPr>
                <w:rFonts w:hint="cs"/>
                <w:sz w:val="20"/>
                <w:szCs w:val="20"/>
                <w:rtl/>
              </w:rPr>
              <w:t>שר החקלאות                                           7</w:t>
            </w:r>
          </w:p>
        </w:tc>
      </w:tr>
      <w:tr>
        <w:tblPrEx>
          <w:tblW w:w="0" w:type="auto"/>
          <w:jc w:val="right"/>
          <w:tblInd w:w="0" w:type="dxa"/>
          <w:tblCellMar>
            <w:left w:w="108" w:type="dxa"/>
            <w:right w:w="108" w:type="dxa"/>
          </w:tblCellMar>
          <w:tblLook w:val="0000"/>
        </w:tblPrEx>
        <w:trPr>
          <w:jc w:val="right"/>
        </w:trPr>
        <w:tc>
          <w:tcPr>
            <w:tcW w:w="1065" w:type="dxa"/>
          </w:tcPr>
          <w:p>
            <w:pPr>
              <w:spacing w:line="240" w:lineRule="auto"/>
              <w:ind w:left="0" w:right="0"/>
              <w:jc w:val="both"/>
              <w:rPr>
                <w:rFonts w:hint="cs"/>
                <w:sz w:val="20"/>
                <w:szCs w:val="20"/>
                <w:rtl/>
              </w:rPr>
            </w:pPr>
            <w:r>
              <w:rPr>
                <w:rFonts w:hint="cs"/>
                <w:sz w:val="20"/>
                <w:szCs w:val="20"/>
                <w:rtl/>
              </w:rPr>
              <w:t>13</w:t>
            </w:r>
          </w:p>
        </w:tc>
        <w:tc>
          <w:tcPr>
            <w:tcW w:w="973" w:type="dxa"/>
          </w:tcPr>
          <w:p>
            <w:pPr>
              <w:spacing w:line="240" w:lineRule="auto"/>
              <w:ind w:left="0" w:right="0"/>
              <w:jc w:val="both"/>
              <w:rPr>
                <w:rFonts w:hint="cs"/>
                <w:sz w:val="20"/>
                <w:szCs w:val="20"/>
                <w:rtl/>
              </w:rPr>
            </w:pPr>
            <w:r>
              <w:rPr>
                <w:rFonts w:hint="cs"/>
                <w:sz w:val="20"/>
                <w:szCs w:val="20"/>
                <w:rtl/>
              </w:rPr>
              <w:t>1</w:t>
            </w:r>
          </w:p>
        </w:tc>
        <w:tc>
          <w:tcPr>
            <w:tcW w:w="936" w:type="dxa"/>
          </w:tcPr>
          <w:p>
            <w:pPr>
              <w:spacing w:line="240" w:lineRule="auto"/>
              <w:ind w:left="0" w:right="0"/>
              <w:jc w:val="both"/>
              <w:rPr>
                <w:rFonts w:hint="cs"/>
                <w:sz w:val="20"/>
                <w:szCs w:val="20"/>
                <w:rtl/>
              </w:rPr>
            </w:pPr>
            <w:r>
              <w:rPr>
                <w:rFonts w:hint="cs"/>
                <w:sz w:val="20"/>
                <w:szCs w:val="20"/>
                <w:rtl/>
              </w:rPr>
              <w:t>5</w:t>
            </w:r>
          </w:p>
        </w:tc>
        <w:tc>
          <w:tcPr>
            <w:tcW w:w="4440" w:type="dxa"/>
          </w:tcPr>
          <w:p>
            <w:pPr>
              <w:spacing w:line="240" w:lineRule="auto"/>
              <w:ind w:left="0" w:right="0"/>
              <w:jc w:val="both"/>
              <w:rPr>
                <w:rFonts w:hint="cs"/>
                <w:sz w:val="20"/>
                <w:szCs w:val="20"/>
                <w:rtl/>
              </w:rPr>
            </w:pPr>
            <w:r>
              <w:rPr>
                <w:rFonts w:hint="cs"/>
                <w:sz w:val="20"/>
                <w:szCs w:val="20"/>
                <w:rtl/>
              </w:rPr>
              <w:t>שר התחבורה                                            7(****)</w:t>
            </w:r>
          </w:p>
        </w:tc>
      </w:tr>
      <w:tr>
        <w:tblPrEx>
          <w:tblW w:w="0" w:type="auto"/>
          <w:jc w:val="right"/>
          <w:tblInd w:w="0" w:type="dxa"/>
          <w:tblCellMar>
            <w:left w:w="108" w:type="dxa"/>
            <w:right w:w="108" w:type="dxa"/>
          </w:tblCellMar>
          <w:tblLook w:val="0000"/>
        </w:tblPrEx>
        <w:trPr>
          <w:jc w:val="right"/>
        </w:trPr>
        <w:tc>
          <w:tcPr>
            <w:tcW w:w="1065" w:type="dxa"/>
          </w:tcPr>
          <w:p>
            <w:pPr>
              <w:spacing w:line="240" w:lineRule="auto"/>
              <w:ind w:left="0" w:right="0"/>
              <w:jc w:val="both"/>
              <w:rPr>
                <w:rFonts w:hint="cs"/>
                <w:sz w:val="20"/>
                <w:szCs w:val="20"/>
                <w:rtl/>
              </w:rPr>
            </w:pPr>
            <w:r>
              <w:rPr>
                <w:rFonts w:hint="cs"/>
                <w:sz w:val="20"/>
                <w:szCs w:val="20"/>
                <w:rtl/>
              </w:rPr>
              <w:t>13</w:t>
            </w:r>
          </w:p>
        </w:tc>
        <w:tc>
          <w:tcPr>
            <w:tcW w:w="973" w:type="dxa"/>
          </w:tcPr>
          <w:p>
            <w:pPr>
              <w:spacing w:line="240" w:lineRule="auto"/>
              <w:ind w:left="0" w:right="0"/>
              <w:jc w:val="both"/>
              <w:rPr>
                <w:rFonts w:hint="cs"/>
                <w:sz w:val="20"/>
                <w:szCs w:val="20"/>
                <w:rtl/>
              </w:rPr>
            </w:pPr>
            <w:r>
              <w:rPr>
                <w:rFonts w:hint="cs"/>
                <w:sz w:val="20"/>
                <w:szCs w:val="20"/>
                <w:rtl/>
              </w:rPr>
              <w:t>1</w:t>
            </w:r>
          </w:p>
        </w:tc>
        <w:tc>
          <w:tcPr>
            <w:tcW w:w="936" w:type="dxa"/>
          </w:tcPr>
          <w:p>
            <w:pPr>
              <w:spacing w:line="240" w:lineRule="auto"/>
              <w:ind w:left="0" w:right="0"/>
              <w:jc w:val="both"/>
              <w:rPr>
                <w:rFonts w:hint="cs"/>
                <w:sz w:val="20"/>
                <w:szCs w:val="20"/>
                <w:rtl/>
              </w:rPr>
            </w:pPr>
            <w:r>
              <w:rPr>
                <w:rFonts w:hint="cs"/>
                <w:sz w:val="20"/>
                <w:szCs w:val="20"/>
                <w:rtl/>
              </w:rPr>
              <w:t>4</w:t>
            </w:r>
          </w:p>
        </w:tc>
        <w:tc>
          <w:tcPr>
            <w:tcW w:w="4440" w:type="dxa"/>
          </w:tcPr>
          <w:p>
            <w:pPr>
              <w:spacing w:line="240" w:lineRule="auto"/>
              <w:ind w:left="0" w:right="0"/>
              <w:jc w:val="both"/>
              <w:rPr>
                <w:rFonts w:hint="cs"/>
                <w:sz w:val="20"/>
                <w:szCs w:val="20"/>
                <w:rtl/>
              </w:rPr>
            </w:pPr>
            <w:r>
              <w:rPr>
                <w:rFonts w:hint="cs"/>
                <w:sz w:val="20"/>
                <w:szCs w:val="20"/>
                <w:rtl/>
              </w:rPr>
              <w:t>שר הבטחון                                               8(</w:t>
            </w:r>
            <w:r>
              <w:rPr>
                <w:rFonts w:hint="cs"/>
                <w:sz w:val="20"/>
                <w:szCs w:val="20"/>
                <w:rtl/>
              </w:rPr>
              <w:t>*****)</w:t>
            </w:r>
          </w:p>
        </w:tc>
      </w:tr>
      <w:tr>
        <w:tblPrEx>
          <w:tblW w:w="0" w:type="auto"/>
          <w:jc w:val="right"/>
          <w:tblInd w:w="0" w:type="dxa"/>
          <w:tblCellMar>
            <w:left w:w="108" w:type="dxa"/>
            <w:right w:w="108" w:type="dxa"/>
          </w:tblCellMar>
          <w:tblLook w:val="0000"/>
        </w:tblPrEx>
        <w:trPr>
          <w:jc w:val="right"/>
        </w:trPr>
        <w:tc>
          <w:tcPr>
            <w:tcW w:w="1065" w:type="dxa"/>
          </w:tcPr>
          <w:p>
            <w:pPr>
              <w:spacing w:line="240" w:lineRule="auto"/>
              <w:ind w:left="0" w:right="0"/>
              <w:jc w:val="both"/>
              <w:rPr>
                <w:rFonts w:hint="cs"/>
                <w:sz w:val="20"/>
                <w:szCs w:val="20"/>
                <w:rtl/>
              </w:rPr>
            </w:pPr>
            <w:r>
              <w:rPr>
                <w:rFonts w:hint="cs"/>
                <w:sz w:val="20"/>
                <w:szCs w:val="20"/>
                <w:rtl/>
              </w:rPr>
              <w:t>12</w:t>
            </w:r>
          </w:p>
        </w:tc>
        <w:tc>
          <w:tcPr>
            <w:tcW w:w="973" w:type="dxa"/>
          </w:tcPr>
          <w:p>
            <w:pPr>
              <w:spacing w:line="240" w:lineRule="auto"/>
              <w:ind w:left="0" w:right="0"/>
              <w:jc w:val="both"/>
              <w:rPr>
                <w:rFonts w:hint="cs"/>
                <w:sz w:val="20"/>
                <w:szCs w:val="20"/>
                <w:rtl/>
              </w:rPr>
            </w:pPr>
            <w:r>
              <w:rPr>
                <w:rFonts w:hint="cs"/>
                <w:sz w:val="20"/>
                <w:szCs w:val="20"/>
                <w:rtl/>
              </w:rPr>
              <w:t>7</w:t>
            </w:r>
          </w:p>
        </w:tc>
        <w:tc>
          <w:tcPr>
            <w:tcW w:w="936" w:type="dxa"/>
          </w:tcPr>
          <w:p>
            <w:pPr>
              <w:spacing w:line="240" w:lineRule="auto"/>
              <w:ind w:left="0" w:right="0"/>
              <w:jc w:val="both"/>
              <w:rPr>
                <w:rFonts w:hint="cs"/>
                <w:sz w:val="20"/>
                <w:szCs w:val="20"/>
                <w:rtl/>
              </w:rPr>
            </w:pPr>
            <w:r>
              <w:rPr>
                <w:rFonts w:hint="cs"/>
                <w:sz w:val="20"/>
                <w:szCs w:val="20"/>
                <w:rtl/>
              </w:rPr>
              <w:t>0</w:t>
            </w:r>
          </w:p>
        </w:tc>
        <w:tc>
          <w:tcPr>
            <w:tcW w:w="4440" w:type="dxa"/>
          </w:tcPr>
          <w:p>
            <w:pPr>
              <w:spacing w:line="240" w:lineRule="auto"/>
              <w:ind w:left="0" w:right="0"/>
              <w:jc w:val="both"/>
              <w:rPr>
                <w:rFonts w:hint="cs"/>
                <w:sz w:val="20"/>
                <w:szCs w:val="20"/>
                <w:rtl/>
              </w:rPr>
            </w:pPr>
            <w:r>
              <w:rPr>
                <w:rFonts w:hint="cs"/>
                <w:sz w:val="20"/>
                <w:szCs w:val="20"/>
                <w:rtl/>
              </w:rPr>
              <w:t>שר החינוך והתרבות                                 5</w:t>
            </w:r>
          </w:p>
        </w:tc>
      </w:tr>
      <w:tr>
        <w:tblPrEx>
          <w:tblW w:w="0" w:type="auto"/>
          <w:jc w:val="right"/>
          <w:tblInd w:w="0" w:type="dxa"/>
          <w:tblCellMar>
            <w:left w:w="108" w:type="dxa"/>
            <w:right w:w="108" w:type="dxa"/>
          </w:tblCellMar>
          <w:tblLook w:val="0000"/>
        </w:tblPrEx>
        <w:trPr>
          <w:jc w:val="right"/>
        </w:trPr>
        <w:tc>
          <w:tcPr>
            <w:tcW w:w="1065" w:type="dxa"/>
          </w:tcPr>
          <w:p>
            <w:pPr>
              <w:spacing w:line="240" w:lineRule="auto"/>
              <w:ind w:left="0" w:right="0"/>
              <w:jc w:val="both"/>
              <w:rPr>
                <w:rFonts w:hint="cs"/>
                <w:sz w:val="20"/>
                <w:szCs w:val="20"/>
                <w:rtl/>
              </w:rPr>
            </w:pPr>
            <w:r>
              <w:rPr>
                <w:rFonts w:hint="cs"/>
                <w:sz w:val="20"/>
                <w:szCs w:val="20"/>
                <w:rtl/>
              </w:rPr>
              <w:t>11</w:t>
            </w:r>
          </w:p>
        </w:tc>
        <w:tc>
          <w:tcPr>
            <w:tcW w:w="973" w:type="dxa"/>
          </w:tcPr>
          <w:p>
            <w:pPr>
              <w:spacing w:line="240" w:lineRule="auto"/>
              <w:ind w:left="0" w:right="0"/>
              <w:jc w:val="both"/>
              <w:rPr>
                <w:rFonts w:hint="cs"/>
                <w:sz w:val="20"/>
                <w:szCs w:val="20"/>
                <w:rtl/>
              </w:rPr>
            </w:pPr>
            <w:r>
              <w:rPr>
                <w:rFonts w:hint="cs"/>
                <w:sz w:val="20"/>
                <w:szCs w:val="20"/>
                <w:rtl/>
              </w:rPr>
              <w:t>1</w:t>
            </w:r>
          </w:p>
        </w:tc>
        <w:tc>
          <w:tcPr>
            <w:tcW w:w="936" w:type="dxa"/>
          </w:tcPr>
          <w:p>
            <w:pPr>
              <w:spacing w:line="240" w:lineRule="auto"/>
              <w:ind w:left="0" w:right="0"/>
              <w:jc w:val="both"/>
              <w:rPr>
                <w:rFonts w:hint="cs"/>
                <w:sz w:val="20"/>
                <w:szCs w:val="20"/>
                <w:rtl/>
              </w:rPr>
            </w:pPr>
            <w:r>
              <w:rPr>
                <w:rFonts w:hint="cs"/>
                <w:sz w:val="20"/>
                <w:szCs w:val="20"/>
                <w:rtl/>
              </w:rPr>
              <w:t>1</w:t>
            </w:r>
          </w:p>
        </w:tc>
        <w:tc>
          <w:tcPr>
            <w:tcW w:w="4440" w:type="dxa"/>
          </w:tcPr>
          <w:p>
            <w:pPr>
              <w:spacing w:line="240" w:lineRule="auto"/>
              <w:ind w:left="0" w:right="0"/>
              <w:jc w:val="both"/>
              <w:rPr>
                <w:rFonts w:hint="cs"/>
                <w:sz w:val="20"/>
                <w:szCs w:val="20"/>
                <w:rtl/>
              </w:rPr>
            </w:pPr>
            <w:r>
              <w:rPr>
                <w:rFonts w:hint="cs"/>
                <w:sz w:val="20"/>
                <w:szCs w:val="20"/>
                <w:rtl/>
              </w:rPr>
              <w:t>שר התיירות                                             9</w:t>
            </w:r>
          </w:p>
        </w:tc>
      </w:tr>
      <w:tr>
        <w:tblPrEx>
          <w:tblW w:w="0" w:type="auto"/>
          <w:jc w:val="right"/>
          <w:tblInd w:w="0" w:type="dxa"/>
          <w:tblCellMar>
            <w:left w:w="108" w:type="dxa"/>
            <w:right w:w="108" w:type="dxa"/>
          </w:tblCellMar>
          <w:tblLook w:val="0000"/>
        </w:tblPrEx>
        <w:trPr>
          <w:jc w:val="right"/>
        </w:trPr>
        <w:tc>
          <w:tcPr>
            <w:tcW w:w="1065" w:type="dxa"/>
          </w:tcPr>
          <w:p>
            <w:pPr>
              <w:spacing w:line="240" w:lineRule="auto"/>
              <w:ind w:left="0" w:right="0"/>
              <w:jc w:val="both"/>
              <w:rPr>
                <w:rFonts w:hint="cs"/>
                <w:sz w:val="20"/>
                <w:szCs w:val="20"/>
                <w:rtl/>
              </w:rPr>
            </w:pPr>
            <w:r>
              <w:rPr>
                <w:rFonts w:hint="cs"/>
                <w:sz w:val="20"/>
                <w:szCs w:val="20"/>
                <w:rtl/>
              </w:rPr>
              <w:t>14</w:t>
            </w:r>
          </w:p>
        </w:tc>
        <w:tc>
          <w:tcPr>
            <w:tcW w:w="973" w:type="dxa"/>
          </w:tcPr>
          <w:p>
            <w:pPr>
              <w:spacing w:line="240" w:lineRule="auto"/>
              <w:ind w:left="0" w:right="0"/>
              <w:jc w:val="both"/>
              <w:rPr>
                <w:rFonts w:hint="cs"/>
                <w:sz w:val="20"/>
                <w:szCs w:val="20"/>
                <w:rtl/>
              </w:rPr>
            </w:pPr>
            <w:r>
              <w:rPr>
                <w:rFonts w:hint="cs"/>
                <w:sz w:val="20"/>
                <w:szCs w:val="20"/>
                <w:rtl/>
              </w:rPr>
              <w:t>5</w:t>
            </w:r>
          </w:p>
        </w:tc>
        <w:tc>
          <w:tcPr>
            <w:tcW w:w="936" w:type="dxa"/>
          </w:tcPr>
          <w:p>
            <w:pPr>
              <w:spacing w:line="240" w:lineRule="auto"/>
              <w:ind w:left="0" w:right="0"/>
              <w:jc w:val="both"/>
              <w:rPr>
                <w:rFonts w:hint="cs"/>
                <w:sz w:val="20"/>
                <w:szCs w:val="20"/>
                <w:rtl/>
              </w:rPr>
            </w:pPr>
            <w:r>
              <w:rPr>
                <w:rFonts w:hint="cs"/>
                <w:sz w:val="20"/>
                <w:szCs w:val="20"/>
                <w:rtl/>
              </w:rPr>
              <w:t>2</w:t>
            </w:r>
          </w:p>
        </w:tc>
        <w:tc>
          <w:tcPr>
            <w:tcW w:w="4440" w:type="dxa"/>
          </w:tcPr>
          <w:p>
            <w:pPr>
              <w:spacing w:line="240" w:lineRule="auto"/>
              <w:ind w:left="0" w:right="0"/>
              <w:jc w:val="both"/>
              <w:rPr>
                <w:rFonts w:hint="cs"/>
                <w:sz w:val="20"/>
                <w:szCs w:val="20"/>
                <w:rtl/>
              </w:rPr>
            </w:pPr>
            <w:r>
              <w:rPr>
                <w:rFonts w:hint="cs"/>
                <w:sz w:val="20"/>
                <w:szCs w:val="20"/>
                <w:rtl/>
              </w:rPr>
              <w:t>שרים שבאחריותם עד חמש חברות          7</w:t>
            </w:r>
          </w:p>
        </w:tc>
      </w:tr>
      <w:tr>
        <w:tblPrEx>
          <w:tblW w:w="0" w:type="auto"/>
          <w:jc w:val="right"/>
          <w:tblInd w:w="0" w:type="dxa"/>
          <w:tblCellMar>
            <w:left w:w="108" w:type="dxa"/>
            <w:right w:w="108" w:type="dxa"/>
          </w:tblCellMar>
          <w:tblLook w:val="0000"/>
        </w:tblPrEx>
        <w:trPr>
          <w:jc w:val="right"/>
        </w:trPr>
        <w:tc>
          <w:tcPr>
            <w:tcW w:w="1065" w:type="dxa"/>
          </w:tcPr>
          <w:p>
            <w:pPr>
              <w:spacing w:line="240" w:lineRule="auto"/>
              <w:ind w:left="0" w:right="0"/>
              <w:jc w:val="both"/>
              <w:rPr>
                <w:rFonts w:hint="cs"/>
                <w:sz w:val="20"/>
                <w:szCs w:val="20"/>
                <w:rtl/>
              </w:rPr>
            </w:pPr>
            <w:r>
              <w:rPr>
                <w:rFonts w:hint="cs"/>
                <w:sz w:val="20"/>
                <w:szCs w:val="20"/>
                <w:rtl/>
              </w:rPr>
              <w:t>169</w:t>
            </w:r>
          </w:p>
        </w:tc>
        <w:tc>
          <w:tcPr>
            <w:tcW w:w="973" w:type="dxa"/>
          </w:tcPr>
          <w:p>
            <w:pPr>
              <w:spacing w:line="240" w:lineRule="auto"/>
              <w:ind w:left="0" w:right="0"/>
              <w:jc w:val="both"/>
              <w:rPr>
                <w:rFonts w:hint="cs"/>
                <w:sz w:val="20"/>
                <w:szCs w:val="20"/>
                <w:rtl/>
              </w:rPr>
            </w:pPr>
            <w:r>
              <w:rPr>
                <w:rFonts w:hint="cs"/>
                <w:sz w:val="20"/>
                <w:szCs w:val="20"/>
                <w:rtl/>
              </w:rPr>
              <w:t>30</w:t>
            </w:r>
          </w:p>
        </w:tc>
        <w:tc>
          <w:tcPr>
            <w:tcW w:w="936" w:type="dxa"/>
          </w:tcPr>
          <w:p>
            <w:pPr>
              <w:spacing w:line="240" w:lineRule="auto"/>
              <w:ind w:left="0" w:right="0"/>
              <w:jc w:val="both"/>
              <w:rPr>
                <w:rFonts w:hint="cs"/>
                <w:sz w:val="20"/>
                <w:szCs w:val="20"/>
                <w:rtl/>
              </w:rPr>
            </w:pPr>
            <w:r>
              <w:rPr>
                <w:rFonts w:hint="cs"/>
                <w:sz w:val="20"/>
                <w:szCs w:val="20"/>
                <w:rtl/>
              </w:rPr>
              <w:t>49</w:t>
            </w:r>
          </w:p>
        </w:tc>
        <w:tc>
          <w:tcPr>
            <w:tcW w:w="4440" w:type="dxa"/>
          </w:tcPr>
          <w:p>
            <w:pPr>
              <w:spacing w:line="240" w:lineRule="auto"/>
              <w:ind w:left="0" w:right="0"/>
              <w:jc w:val="both"/>
              <w:rPr>
                <w:rFonts w:hint="cs"/>
                <w:sz w:val="20"/>
                <w:szCs w:val="20"/>
                <w:rtl/>
              </w:rPr>
            </w:pPr>
            <w:r>
              <w:rPr>
                <w:rFonts w:hint="cs"/>
                <w:sz w:val="20"/>
                <w:szCs w:val="20"/>
                <w:rtl/>
              </w:rPr>
              <w:t>סה"כ                                                        90</w:t>
            </w:r>
          </w:p>
        </w:tc>
      </w:tr>
    </w:tbl>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sz w:val="18"/>
          <w:szCs w:val="20"/>
          <w:rtl/>
        </w:rPr>
      </w:pPr>
      <w:r>
        <w:rPr>
          <w:rFonts w:hint="cs"/>
          <w:sz w:val="18"/>
          <w:szCs w:val="20"/>
          <w:rtl/>
        </w:rPr>
        <w:t>------------</w:t>
      </w:r>
    </w:p>
    <w:p>
      <w:pPr>
        <w:pStyle w:val="FootnoteText"/>
        <w:ind w:left="567" w:right="0"/>
        <w:jc w:val="both"/>
        <w:rPr>
          <w:rFonts w:hint="cs"/>
          <w:rtl/>
        </w:rPr>
      </w:pPr>
      <w:r>
        <w:rPr>
          <w:rFonts w:hint="cs"/>
          <w:rtl/>
        </w:rPr>
        <w:t>(*)</w:t>
        <w:tab/>
        <w:t>12 מהחברות הן קרנות השתלמות.</w:t>
      </w:r>
    </w:p>
    <w:p>
      <w:pPr>
        <w:pStyle w:val="FootnoteText"/>
        <w:ind w:left="567" w:right="0"/>
        <w:jc w:val="both"/>
        <w:rPr>
          <w:rFonts w:hint="cs"/>
          <w:rtl/>
        </w:rPr>
      </w:pPr>
      <w:r>
        <w:rPr>
          <w:rFonts w:hint="cs"/>
          <w:rtl/>
        </w:rPr>
        <w:t>(**)</w:t>
        <w:tab/>
        <w:t>בחברה אחת אחריות משותפת עם שר התעשייה והמסחר.</w:t>
      </w:r>
    </w:p>
    <w:p>
      <w:pPr>
        <w:pStyle w:val="FootnoteText"/>
        <w:ind w:left="567" w:right="0"/>
        <w:jc w:val="both"/>
        <w:rPr>
          <w:rFonts w:hint="cs"/>
          <w:rtl/>
        </w:rPr>
      </w:pPr>
      <w:r>
        <w:rPr>
          <w:rFonts w:hint="cs"/>
          <w:rtl/>
        </w:rPr>
        <w:t>(***)</w:t>
        <w:tab/>
        <w:t>בחברה אחת אחריות משותפת עם שר החקלאות.</w:t>
      </w:r>
    </w:p>
    <w:p>
      <w:pPr>
        <w:pStyle w:val="FootnoteText"/>
        <w:ind w:left="567" w:right="0"/>
        <w:jc w:val="both"/>
        <w:rPr>
          <w:rFonts w:hint="cs"/>
          <w:rtl/>
        </w:rPr>
      </w:pPr>
      <w:r>
        <w:rPr>
          <w:rFonts w:hint="cs"/>
          <w:rtl/>
        </w:rPr>
        <w:t>(****)</w:t>
        <w:tab/>
        <w:t>בשתי חברות, המופעלות ע"י כונס הנכסים הרשמי, אין דירקטוריונים פעילים.</w:t>
      </w:r>
    </w:p>
    <w:p>
      <w:pPr>
        <w:pStyle w:val="FootnoteText"/>
        <w:ind w:left="567" w:right="0"/>
        <w:jc w:val="both"/>
        <w:rPr>
          <w:rFonts w:hint="cs"/>
          <w:rtl/>
        </w:rPr>
      </w:pPr>
      <w:r>
        <w:rPr>
          <w:rFonts w:hint="cs"/>
          <w:rtl/>
        </w:rPr>
        <w:t>(*****)</w:t>
        <w:tab/>
        <w:t>בחברה אחת אחריות משותפת עם שר החינוך והתרבות ושר התחבורה.</w:t>
      </w:r>
    </w:p>
    <w:p>
      <w:pPr>
        <w:spacing w:line="240" w:lineRule="auto"/>
        <w:ind w:left="0" w:right="0"/>
        <w:jc w:val="both"/>
        <w:rPr>
          <w:rFonts w:hint="cs"/>
          <w:rtl/>
        </w:rPr>
      </w:pPr>
      <w:r>
        <w:rPr>
          <w:sz w:val="18"/>
          <w:szCs w:val="20"/>
          <w:rtl/>
        </w:rPr>
        <w:br w:type="page"/>
      </w:r>
      <w:r>
        <w:rPr>
          <w:rFonts w:hint="cs"/>
          <w:rtl/>
        </w:rPr>
        <w:t>משרד מבקר המדינה בדק בתיקי הרשות, בחודשים אוקטובר - דצמבר 1988, את הנושאים הבאים: תהליך מינוי דירקטור, כישורי הדירקטור, תקופת הכהונה, זיקתם הפוליטית - השתייכותם למרכזי המפלגות: הליכוד (תנועת החברות והמפלגה הליברלית) ומפלגת העבודה הישראלית - וניגוד ענינים בקרב דירקטורים עובדי מדינה(*). הבדיקה הקיפה בעיקר חברות באחריות שר התעשייה והמסחר, שר האנרגיה והתשתית ושר התחבורה, האחראים על מספר רב של חברות עסקיות. מספר נתונים עודכנו לתחילת מארס 1989.</w:t>
      </w: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sz w:val="18"/>
          <w:szCs w:val="20"/>
          <w:rtl/>
        </w:rPr>
      </w:pPr>
      <w:r>
        <w:rPr>
          <w:rFonts w:hint="cs"/>
          <w:sz w:val="18"/>
          <w:szCs w:val="20"/>
          <w:rtl/>
        </w:rPr>
        <w:t>-----------------</w:t>
      </w:r>
    </w:p>
    <w:p>
      <w:pPr>
        <w:pStyle w:val="FootnoteText"/>
        <w:spacing w:line="240" w:lineRule="auto"/>
        <w:ind w:left="567" w:right="0"/>
        <w:jc w:val="both"/>
        <w:rPr>
          <w:rFonts w:hint="cs"/>
          <w:sz w:val="18"/>
          <w:rtl/>
        </w:rPr>
      </w:pPr>
      <w:r>
        <w:rPr>
          <w:rFonts w:hint="cs"/>
          <w:sz w:val="14"/>
          <w:szCs w:val="16"/>
          <w:rtl/>
        </w:rPr>
        <w:t>(*)</w:t>
        <w:tab/>
      </w:r>
      <w:r>
        <w:rPr>
          <w:rFonts w:hint="cs"/>
          <w:sz w:val="18"/>
          <w:rtl/>
        </w:rPr>
        <w:t>בנושאים אלה, ראה גם דוח שנתי 31, עמ' 144, הפרק על דירקטורים בחברות ממשלתיות.</w:t>
      </w:r>
    </w:p>
    <w:p>
      <w:pPr>
        <w:spacing w:line="240" w:lineRule="auto"/>
        <w:ind w:left="0" w:right="0"/>
        <w:jc w:val="center"/>
        <w:rPr>
          <w:rFonts w:hint="cs"/>
          <w:sz w:val="36"/>
          <w:szCs w:val="36"/>
          <w:rtl/>
        </w:rPr>
      </w:pPr>
      <w:r>
        <w:rPr>
          <w:rtl/>
        </w:rPr>
        <w:br w:type="page"/>
      </w:r>
      <w:r>
        <w:rPr>
          <w:rFonts w:hint="cs"/>
          <w:sz w:val="36"/>
          <w:szCs w:val="36"/>
          <w:rtl/>
        </w:rPr>
        <w:t>תהליך מינוי דירקטור</w:t>
      </w:r>
    </w:p>
    <w:p>
      <w:pPr>
        <w:spacing w:line="240" w:lineRule="auto"/>
        <w:ind w:left="0" w:right="0"/>
        <w:jc w:val="center"/>
        <w:rPr>
          <w:rFonts w:hint="cs"/>
          <w:sz w:val="36"/>
          <w:szCs w:val="36"/>
          <w:rtl/>
        </w:rPr>
      </w:pPr>
      <w:r>
        <w:rPr>
          <w:rFonts w:hint="cs"/>
          <w:sz w:val="36"/>
          <w:szCs w:val="36"/>
          <w:rtl/>
        </w:rPr>
        <w:t>------------------------</w:t>
      </w:r>
    </w:p>
    <w:p>
      <w:pPr>
        <w:spacing w:line="240" w:lineRule="auto"/>
        <w:ind w:left="0" w:right="0"/>
        <w:jc w:val="both"/>
        <w:rPr>
          <w:rFonts w:hint="cs"/>
          <w:rtl/>
        </w:rPr>
      </w:pPr>
      <w:r>
        <w:rPr>
          <w:rFonts w:hint="cs"/>
          <w:rtl/>
        </w:rPr>
        <w:t>חוק החברות הממשלתיות קובע, כי דירקטור מטעם המדינה בחברה ממשלתית או מעורבת יתמנה בידי השרים (דהינו השר האחראי לחברה ושר האוצר) לאחר התייעצות עם הרשות. הנחיית היועץ המשפטי לממשלה מנובמבר 1981 קובעת, שללא קיום חובת ההתייעצות ברשות, אין למינוי הדירקטור תוקף.</w:t>
      </w:r>
    </w:p>
    <w:p>
      <w:pPr>
        <w:spacing w:line="240" w:lineRule="auto"/>
        <w:ind w:left="0" w:right="0"/>
        <w:jc w:val="both"/>
        <w:rPr>
          <w:rFonts w:hint="cs"/>
          <w:rtl/>
        </w:rPr>
      </w:pPr>
    </w:p>
    <w:p>
      <w:pPr>
        <w:spacing w:line="240" w:lineRule="auto"/>
        <w:ind w:left="0" w:right="0"/>
        <w:jc w:val="both"/>
        <w:rPr>
          <w:rFonts w:hint="cs"/>
          <w:rtl/>
        </w:rPr>
      </w:pPr>
      <w:r>
        <w:rPr>
          <w:rFonts w:hint="cs"/>
          <w:rtl/>
        </w:rPr>
        <w:t>תהליך המינוי של דירקטור תחילתו בהצגת המועמד של השר לרשות והגשת שאלון לגביו. השאלון כולל את פרטיו האישיים של המועמד, תפקידו במקום עבודתו, מקומות עבודה קודמים, השכלה והשתלמויות מקצועיות, חברות בדירקטוריונים ובהנהלות של חברות וקורות חיים. עוד כולל השאלון את הצהרת המועמד על העדר ניגוד עניינים בין כהונתו כדירקטור בחברה הנדונה לבין עיסוקיו וקשריו האחרים, והתחייבות להודיע לרשות על כל שינוי העשוי להשפיע על מעמדו כדירקטור ובמיוחד מבחינת ניגוד עניינים. במידת הצורך מוזמן המועמד לראיון עם עובדי הרשות.</w:t>
      </w:r>
    </w:p>
    <w:p>
      <w:pPr>
        <w:spacing w:line="240" w:lineRule="auto"/>
        <w:ind w:left="0" w:right="0"/>
        <w:jc w:val="both"/>
        <w:rPr>
          <w:rFonts w:hint="cs"/>
          <w:rtl/>
        </w:rPr>
      </w:pPr>
    </w:p>
    <w:p>
      <w:pPr>
        <w:spacing w:line="240" w:lineRule="auto"/>
        <w:ind w:left="0" w:right="0"/>
        <w:jc w:val="both"/>
        <w:rPr>
          <w:rFonts w:hint="cs"/>
          <w:rtl/>
        </w:rPr>
      </w:pPr>
      <w:r>
        <w:rPr>
          <w:rFonts w:hint="cs"/>
          <w:rtl/>
        </w:rPr>
        <w:t xml:space="preserve">צוות של עובדי הרשות (להלן - צוות הבדיקה) מכין את חוות הדעת על גבי טופס "בחינת מועמד </w:t>
      </w:r>
    </w:p>
    <w:p>
      <w:pPr>
        <w:spacing w:line="240" w:lineRule="auto"/>
        <w:ind w:left="0" w:right="0"/>
        <w:jc w:val="both"/>
        <w:rPr>
          <w:rFonts w:hint="cs"/>
          <w:rtl/>
        </w:rPr>
      </w:pPr>
      <w:r>
        <w:rPr>
          <w:rFonts w:hint="cs"/>
          <w:rtl/>
        </w:rPr>
        <w:t>לדירקטוריון", הכולל שלושה חלקים:</w:t>
      </w:r>
    </w:p>
    <w:p>
      <w:pPr>
        <w:spacing w:line="240" w:lineRule="auto"/>
        <w:ind w:left="0" w:right="0"/>
        <w:jc w:val="both"/>
        <w:rPr>
          <w:rFonts w:hint="cs"/>
          <w:rtl/>
        </w:rPr>
      </w:pPr>
    </w:p>
    <w:p>
      <w:pPr>
        <w:spacing w:line="240" w:lineRule="auto"/>
        <w:ind w:left="0" w:right="0"/>
        <w:jc w:val="both"/>
        <w:rPr>
          <w:rFonts w:hint="cs"/>
          <w:rtl/>
        </w:rPr>
      </w:pPr>
      <w:r>
        <w:rPr>
          <w:rFonts w:hint="cs"/>
          <w:rtl/>
        </w:rPr>
        <w:t>(1)</w:t>
        <w:tab/>
        <w:t>הדירקטוריון-מספר חברי הדירקטוריון, הרכבו הקיים והרצוי;</w:t>
      </w:r>
    </w:p>
    <w:p>
      <w:pPr>
        <w:spacing w:line="240" w:lineRule="auto"/>
        <w:ind w:left="0" w:right="0"/>
        <w:jc w:val="both"/>
        <w:rPr>
          <w:rFonts w:hint="cs"/>
          <w:rtl/>
        </w:rPr>
      </w:pPr>
      <w:r>
        <w:rPr>
          <w:rFonts w:hint="cs"/>
          <w:rtl/>
        </w:rPr>
        <w:t>(2)</w:t>
        <w:tab/>
        <w:t>המועמד-כישוריו וחברותו בדירקטוריונים אחרים;</w:t>
      </w:r>
    </w:p>
    <w:p>
      <w:pPr>
        <w:spacing w:line="240" w:lineRule="auto"/>
        <w:ind w:left="0" w:right="0"/>
        <w:jc w:val="both"/>
        <w:rPr>
          <w:rFonts w:hint="cs"/>
          <w:rtl/>
        </w:rPr>
      </w:pPr>
      <w:r>
        <w:rPr>
          <w:rFonts w:hint="cs"/>
          <w:rtl/>
        </w:rPr>
        <w:t>(3)</w:t>
        <w:tab/>
        <w:t>חוות דעת-התאמת המועמד לתפקידו, ניגוד עניינים, המלצה בעניין המינוי.</w:t>
      </w:r>
    </w:p>
    <w:p>
      <w:pPr>
        <w:spacing w:line="240" w:lineRule="auto"/>
        <w:ind w:left="0" w:right="0"/>
        <w:jc w:val="both"/>
        <w:rPr>
          <w:rFonts w:hint="cs"/>
          <w:rtl/>
        </w:rPr>
      </w:pPr>
    </w:p>
    <w:p>
      <w:pPr>
        <w:spacing w:line="240" w:lineRule="auto"/>
        <w:ind w:left="0" w:right="0"/>
        <w:jc w:val="both"/>
        <w:rPr>
          <w:rFonts w:hint="cs"/>
          <w:rtl/>
        </w:rPr>
      </w:pPr>
      <w:r>
        <w:rPr>
          <w:rtl/>
        </w:rPr>
        <w:br w:type="page"/>
      </w:r>
    </w:p>
    <w:p>
      <w:pPr>
        <w:spacing w:line="240" w:lineRule="auto"/>
        <w:ind w:left="0" w:right="0"/>
        <w:jc w:val="both"/>
        <w:rPr>
          <w:rFonts w:hint="cs"/>
          <w:rtl/>
        </w:rPr>
      </w:pPr>
      <w:r>
        <w:rPr>
          <w:rFonts w:hint="cs"/>
          <w:rtl/>
        </w:rPr>
        <w:t>על חוות הדעת חותמים ארבעת חברי צוות הבדיקה: רפרנט, המכהן כנציג הרשות בדירקטוריון החברה (כל רפרנט מופקד על כ-20 חברות), מנהל החטיבה האחראי על הרפרנט(*), היועץ המשפטי של הרשות, מנהל הרשות או סגנו. על פי חוות הדעת קובעת הרשות את המלצתה, לחיוב או לשלילה.</w:t>
      </w:r>
    </w:p>
    <w:p>
      <w:pPr>
        <w:spacing w:line="240" w:lineRule="auto"/>
        <w:ind w:left="0" w:right="0"/>
        <w:jc w:val="both"/>
        <w:rPr>
          <w:rFonts w:hint="cs"/>
          <w:rtl/>
        </w:rPr>
      </w:pPr>
    </w:p>
    <w:p>
      <w:pPr>
        <w:spacing w:line="240" w:lineRule="auto"/>
        <w:ind w:left="0" w:right="0"/>
        <w:jc w:val="both"/>
        <w:rPr>
          <w:rFonts w:hint="cs"/>
          <w:rtl/>
        </w:rPr>
      </w:pPr>
      <w:r>
        <w:rPr>
          <w:rFonts w:hint="cs"/>
          <w:rtl/>
        </w:rPr>
        <w:t>הרשות מעבירה אל השרים את המלצתה בעניין מינוי המועמד. יודגש שהשרים אינם חייבים לאמץ את עמדת הרשות ולאחר קיום חובת ההתייעצות הם רשאים לפעול פי שיקול דעתם. כתב המינוי הנושא את התאריך של חתימת השר האחראי, מועבר על ידי הרשות לדירקטור והעתקו אל החברה הנוגעת בדבר. תוקף המינוי, על פי החוק, הוא מיום מסירת כתב המינוי לחברה, זולת אם נקבעו בו מועד אחר.</w:t>
      </w:r>
    </w:p>
    <w:p>
      <w:pPr>
        <w:spacing w:line="240" w:lineRule="auto"/>
        <w:ind w:left="0" w:right="0"/>
        <w:jc w:val="both"/>
        <w:rPr>
          <w:rFonts w:hint="cs"/>
          <w:rtl/>
        </w:rPr>
      </w:pPr>
    </w:p>
    <w:p>
      <w:pPr>
        <w:spacing w:line="240" w:lineRule="auto"/>
        <w:ind w:left="0" w:right="0"/>
        <w:jc w:val="both"/>
        <w:rPr>
          <w:rFonts w:hint="cs"/>
          <w:rtl/>
        </w:rPr>
      </w:pPr>
      <w:r>
        <w:rPr>
          <w:rFonts w:hint="cs"/>
          <w:rtl/>
        </w:rPr>
        <w:t>בדיקת תהליך מינוי הדירקטורים העלתה את הממצאים הבאים:</w:t>
      </w:r>
    </w:p>
    <w:p>
      <w:pPr>
        <w:spacing w:before="240" w:line="240" w:lineRule="auto"/>
        <w:ind w:left="0" w:right="0"/>
        <w:jc w:val="both"/>
        <w:rPr>
          <w:rFonts w:hint="cs"/>
          <w:rtl/>
        </w:rPr>
      </w:pPr>
      <w:r>
        <w:rPr>
          <w:rFonts w:hint="cs"/>
          <w:rtl/>
        </w:rPr>
        <w:t>(1)</w:t>
        <w:tab/>
        <w:t xml:space="preserve">בחלק מטפסי "בחינת מועמד לדירקטוריון" לא הוקפד על נתונים מלאים: בחלק הראשון לא הקפיד הרפרנט למלא פרטים על הרכב הדירקטוריון, בחלק השני לא נרשמו פרטים מלאים על כישורי המועמד, ולעתים לא נרשם פרט כלשהו. לדברי הרשות, נהגו כך רק כאשר המועמד היה מוכר לרפרנט. בחלק השלישי ללא הקפידו, בדרך כלל, לציין את התאמת המועמד לכהונת דירקטור ולעתים אף חסרה המלצת צוות הבדיקה. לעתים נרשמה, בצד המלצה למנותו, הסתייגות מהתאמת המועמד לתפקיד, ללא </w:t>
      </w:r>
    </w:p>
    <w:p>
      <w:pPr>
        <w:spacing w:before="240" w:line="240" w:lineRule="auto"/>
        <w:ind w:left="0" w:right="0"/>
        <w:jc w:val="both"/>
        <w:rPr>
          <w:rFonts w:hint="cs"/>
          <w:rtl/>
        </w:rPr>
      </w:pPr>
    </w:p>
    <w:p>
      <w:pPr>
        <w:spacing w:before="240" w:line="240" w:lineRule="auto"/>
        <w:ind w:left="0" w:right="0"/>
        <w:jc w:val="both"/>
        <w:rPr>
          <w:rFonts w:hint="cs"/>
          <w:rtl/>
        </w:rPr>
      </w:pPr>
    </w:p>
    <w:p>
      <w:pPr>
        <w:pStyle w:val="FootnoteText"/>
        <w:spacing w:line="240" w:lineRule="auto"/>
        <w:ind w:left="567" w:right="0"/>
        <w:jc w:val="both"/>
        <w:rPr>
          <w:rFonts w:hint="cs"/>
          <w:rtl/>
        </w:rPr>
      </w:pPr>
      <w:r>
        <w:rPr>
          <w:rFonts w:hint="cs"/>
          <w:rtl/>
        </w:rPr>
        <w:t>---------------</w:t>
      </w:r>
    </w:p>
    <w:p>
      <w:pPr>
        <w:pStyle w:val="FootnoteText"/>
        <w:spacing w:line="240" w:lineRule="auto"/>
        <w:ind w:left="567" w:right="0"/>
        <w:jc w:val="both"/>
        <w:rPr>
          <w:rtl/>
        </w:rPr>
      </w:pPr>
      <w:r>
        <w:rPr>
          <w:rFonts w:hint="cs"/>
          <w:rtl/>
        </w:rPr>
        <w:t>(*)</w:t>
        <w:tab/>
        <w:t>לעיתים משמש מנהל החטיבה כרפרנט.</w:t>
      </w:r>
    </w:p>
    <w:p>
      <w:pPr>
        <w:spacing w:before="240" w:line="240" w:lineRule="auto"/>
        <w:ind w:left="0" w:right="0"/>
        <w:jc w:val="both"/>
        <w:rPr>
          <w:rFonts w:hint="cs"/>
          <w:rtl/>
        </w:rPr>
      </w:pPr>
      <w:r>
        <w:rPr>
          <w:rtl/>
        </w:rPr>
        <w:br w:type="page"/>
      </w:r>
      <w:r>
        <w:rPr>
          <w:rFonts w:hint="cs"/>
          <w:rtl/>
        </w:rPr>
        <w:t>הסבר ליישוב הסתירה. במספר טפסים חסרו חתימותיהם של אחד או שניים מחברי צוות הבדיקה. הרשות הסבירה למשרד מבקר המדינה, כי הדבר נבע מהעדרו של חבר הצוות - שחתימתו חסרה - בשל שירות מילואים, מחלה או חופשה. לדעת הביקורת, יש לנמק זאת על גבי הטופס.</w:t>
      </w:r>
    </w:p>
    <w:p>
      <w:pPr>
        <w:spacing w:before="240" w:line="240" w:lineRule="auto"/>
        <w:ind w:left="0" w:right="0"/>
        <w:jc w:val="both"/>
        <w:rPr>
          <w:rFonts w:hint="cs"/>
          <w:rtl/>
        </w:rPr>
      </w:pPr>
      <w:r>
        <w:rPr>
          <w:rFonts w:hint="cs"/>
          <w:rtl/>
        </w:rPr>
        <w:t>הרשות הסבירה למשרד מבקר המדינה, כי, ככלל, משמש הטופס כלי עזר ולא מטרה בפני עצמה, ולכן לא ייחסה חשיבות למילוי כל פרטיו. לדעת הביקורת, מהווה הטופס מרכיב חשוב בתהליך מינויו של דירקטור, ואין בהיכרות אישית עם הרפרנט או בנימוקים טכניים כדי להצדיק אי הקפדה על מילויו כדרוש.</w:t>
      </w:r>
    </w:p>
    <w:p>
      <w:pPr>
        <w:spacing w:before="240" w:line="240" w:lineRule="auto"/>
        <w:ind w:left="0" w:right="0"/>
        <w:jc w:val="both"/>
        <w:rPr>
          <w:rFonts w:hint="cs"/>
          <w:rtl/>
        </w:rPr>
      </w:pPr>
      <w:r>
        <w:rPr>
          <w:rFonts w:hint="cs"/>
          <w:rtl/>
        </w:rPr>
        <w:t>(2)</w:t>
        <w:tab/>
        <w:t>החוק מחייב את השרים להיוועץ ברשות, קודם המינוי. ברם נמצא כי, בדרך כלל, השרים האחראים אינם נוהגים כן. הם שולחים לרשות את השאלון האישי של המועמד יחד עם כתב מינוי חתום הנושא את תאריך החתימה. הרשות הסבירה, כי לטענת השרים האחראים אין הדבר נוגד את החוק, מאחר שכתב מינוי הנושא חתימה אחת בלבד אינו תקף. עוד הסבירה הרשות, כי לאחר קבלת כתב המינוי היא מכינה את חוות דעתה ומעבירה אותה אל שר האוצר לשם חתימה על כתב המינוי. לדעת הביקורת, גם אם ההליך, כמתואר לעיל, אינו מנוגד להוראות החוק, יש בו כדי להשפיע על שיקול דעתה של הרשות ולהכביד עליה לגבש חוות דעת אובייקטיבית.</w:t>
      </w:r>
    </w:p>
    <w:p>
      <w:pPr>
        <w:spacing w:before="240" w:line="240" w:lineRule="auto"/>
        <w:ind w:left="0" w:right="0"/>
        <w:jc w:val="both"/>
        <w:rPr>
          <w:rFonts w:hint="cs"/>
          <w:rtl/>
        </w:rPr>
      </w:pPr>
      <w:r>
        <w:rPr>
          <w:rFonts w:hint="cs"/>
          <w:rtl/>
        </w:rPr>
        <w:t>לעתים מקבלת הרשות את השאלון האישי של המועמד בד בבד עם כתב מינוי הנושא את חתימות השר הנוגע בדבר ושר האוצר. כאמור, כבר קבע היועץ המשפטי לממשלה, שללא התהליך של התייעצות, המינוי בטל</w:t>
      </w:r>
    </w:p>
    <w:p>
      <w:pPr>
        <w:spacing w:before="240" w:line="240" w:lineRule="auto"/>
        <w:ind w:left="0" w:right="0"/>
        <w:jc w:val="both"/>
        <w:rPr>
          <w:rFonts w:hint="cs"/>
          <w:rtl/>
        </w:rPr>
      </w:pPr>
      <w:r>
        <w:rPr>
          <w:rtl/>
        </w:rPr>
        <w:br w:type="page"/>
      </w:r>
      <w:r>
        <w:rPr>
          <w:rFonts w:hint="cs"/>
          <w:rtl/>
        </w:rPr>
        <w:t>מעיקרו. הביקורת העלתה 14 כתבי מינוי שהרשות הכינה לגביהם, אמנם תוך מחאה, חוות דעת למפרע. מתוך 14 כתבי המינוי, חמישה היו לחברי מרכז תנועת החירות בליכוד, ארבעה לחברי מכרז מפלגת העבודה ושניים לחברי מרכז המפלגה הליברלית בליכוד; לגבי שלושה לא נמצא שהם חברי מרכזי מפלגות. לדעת הביקורת, יש בקיום תהליך התייעצות בדיעבד משום פגיעה בחוק והתעלמות מן ההיבט הענייני של חוסר התועלת.</w:t>
      </w:r>
    </w:p>
    <w:p>
      <w:pPr>
        <w:spacing w:before="240" w:line="240" w:lineRule="auto"/>
        <w:ind w:left="0" w:right="0"/>
        <w:jc w:val="both"/>
        <w:rPr>
          <w:rFonts w:hint="cs"/>
          <w:rtl/>
        </w:rPr>
      </w:pPr>
      <w:r>
        <w:rPr>
          <w:rFonts w:hint="cs"/>
          <w:rtl/>
        </w:rPr>
        <w:t>הביקורת העלתה, שבידי הרשות מצויים מספר כתבי מינוי לדירקטורים הנושאים חתימת השרים, שהגיעו ללא שאלונים אישיים של המועמדים. בקשת הרשות לקבל את השאלונים לא נענתה, ולכן היא לא הכינה חוות דעת ולא העבירה את כתבי המינוי לדירקטורים ואת העתקיהם לחברות. מאחר שהמינוי נכנס לתוקף במועד בו מעבירה הרשות את כתב המינוי לחברה, לא מימשו הדירקטורים את כתבי המינוי, שחלקם הגיעו לרשות עוד ביולי 1987.</w:t>
      </w:r>
    </w:p>
    <w:p>
      <w:pPr>
        <w:spacing w:before="240" w:line="240" w:lineRule="auto"/>
        <w:ind w:left="0" w:right="0"/>
        <w:jc w:val="both"/>
        <w:rPr>
          <w:rFonts w:hint="cs"/>
          <w:rtl/>
        </w:rPr>
      </w:pPr>
      <w:r>
        <w:rPr>
          <w:rFonts w:hint="cs"/>
          <w:rtl/>
        </w:rPr>
        <w:t>(3)</w:t>
        <w:tab/>
        <w:t>הביקורת העלתה גם מקרים, שכתבי מינוי הגיעו אל דירקטורים במישרין, ללא ידיעת הרשות: ביולי 1987 הגיעו לבתי הזיקוק לנפט בע"מ (להלן - בז"ן) כתבי מינוי של שני דירקטורים. באותו חודש התקיימה ישיבת דירקטוריון בהשתתפות הדירקטורים החדשים. לאחר הישיבה הגיע אל יו"ר הדירקטוריון מכתב ממנהל הרשות, בו נאמר כי נודע לרשות שלחברה הגיעו כתבי מינוי של דירקטורים שלא באמצעותה וללא מכתב לוואי ממנה; לגבי מינויים אלו לא קוימה חובת ההתייעצות כחוק, ובלעדיה אין להם תוקף. מנהל הרשות הזהיר את החברה, לבל תכלול אנשים אלה (שמינוים הגיע שלא באמצעות הרשות) בין חברי הדירקטוריון ולבל תזמינם לישיבות או</w:t>
      </w:r>
    </w:p>
    <w:p>
      <w:pPr>
        <w:spacing w:before="240" w:line="240" w:lineRule="auto"/>
        <w:ind w:left="0" w:right="0"/>
        <w:jc w:val="both"/>
        <w:rPr>
          <w:rFonts w:hint="cs"/>
          <w:rtl/>
        </w:rPr>
      </w:pPr>
      <w:r>
        <w:rPr>
          <w:rtl/>
        </w:rPr>
        <w:br w:type="page"/>
      </w:r>
      <w:r>
        <w:rPr>
          <w:rFonts w:hint="cs"/>
          <w:rtl/>
        </w:rPr>
        <w:t>לכל פעילות אחרת של הדירקטוריון. בתגובה הודיעה בז"ן לרשות, כי לא היתה מודעת לכך, שהמינויים בוצעו ללא חוות דעת של הרשות וכי הזמנתם של מקבלי כתבי המינוי לישיבת הדירקטוריון נבעה מדרישתם להשתתף בישיבה על סמך כתבי המינוי שקבלו.</w:t>
      </w:r>
    </w:p>
    <w:p>
      <w:pPr>
        <w:spacing w:before="240" w:line="240" w:lineRule="auto"/>
        <w:ind w:left="0" w:right="0"/>
        <w:jc w:val="both"/>
        <w:rPr>
          <w:rFonts w:hint="cs"/>
          <w:rtl/>
        </w:rPr>
      </w:pPr>
      <w:r>
        <w:rPr>
          <w:rFonts w:hint="cs"/>
          <w:rtl/>
        </w:rPr>
        <w:t>חתימת השרים על המינוי לפני קיום חובת ההתייעצות כמתואר גרמה לרשות קשיים במישור המעשי של ביצוע תהליך ההתייעצות. לדעת הביקורת, הדרך הנכונה לקיום הוראות החוק ולמניעת התקלות שהתגלו היא, שהשרים יעבירו לרשות את הצעתם למינוי המועמד לכהונת דירקטור בצירוף השאלון הממולא כדבעי ויימנעו מהעברה מראש של כתב מינוי חתום. רק לאחר שהרשות גיבשה והעבירה לשר הנוגע בדבר את חוות דעתה, יש מקום להוציא את כתב המינוי.</w:t>
      </w:r>
    </w:p>
    <w:p>
      <w:pPr>
        <w:spacing w:before="240" w:line="240" w:lineRule="auto"/>
        <w:ind w:left="0" w:right="0"/>
        <w:jc w:val="both"/>
        <w:rPr>
          <w:rFonts w:hint="cs"/>
          <w:rtl/>
        </w:rPr>
      </w:pPr>
    </w:p>
    <w:p>
      <w:pPr>
        <w:pStyle w:val="3"/>
        <w:spacing w:line="240" w:lineRule="auto"/>
        <w:ind w:left="0" w:right="0"/>
        <w:jc w:val="left"/>
        <w:rPr>
          <w:rFonts w:hint="cs"/>
          <w:rtl/>
        </w:rPr>
      </w:pPr>
      <w:r>
        <w:rPr>
          <w:rFonts w:hint="cs"/>
          <w:rtl/>
        </w:rPr>
        <w:t>מינוי דירקטור בחברת בת</w:t>
      </w:r>
    </w:p>
    <w:p>
      <w:pPr>
        <w:spacing w:before="240" w:line="240" w:lineRule="auto"/>
        <w:ind w:left="0" w:right="0"/>
        <w:jc w:val="both"/>
        <w:rPr>
          <w:rtl/>
        </w:rPr>
      </w:pPr>
      <w:r>
        <w:rPr>
          <w:rFonts w:hint="cs"/>
          <w:rtl/>
        </w:rPr>
        <w:t>דירקטור בחברת בת ממשלתית מטעם חברת האם מתמנה בידי דירקטוריון חברת האם(*), והמינוי טעון אישור השרים לאחר התייעצות עם הרשות. תהליך מינוי זה מטיל על הדירקטוריון של חברת האם חובה לבדוק היטב את כישוריו ויכולתו של המועמד, שהרי כאן - בניגוד למצב בחברה הממשלתית - נכנסת הרשות לתמונה בשלב הביניים שבין החלטת הדירקטוריון של חברת האם על המינוי לבין אישורו בידי השרים.</w:t>
      </w:r>
    </w:p>
    <w:p>
      <w:pPr>
        <w:spacing w:before="240" w:line="240" w:lineRule="auto"/>
        <w:ind w:left="0" w:right="0"/>
        <w:jc w:val="both"/>
        <w:rPr>
          <w:rFonts w:hint="cs"/>
          <w:rtl/>
        </w:rPr>
      </w:pPr>
    </w:p>
    <w:p>
      <w:pPr>
        <w:spacing w:before="240" w:line="240" w:lineRule="auto"/>
        <w:ind w:left="0" w:right="0"/>
        <w:jc w:val="both"/>
        <w:rPr>
          <w:rFonts w:hint="cs"/>
          <w:rtl/>
        </w:rPr>
      </w:pPr>
    </w:p>
    <w:p>
      <w:pPr>
        <w:spacing w:before="240" w:line="240" w:lineRule="auto"/>
        <w:ind w:left="0" w:right="0"/>
        <w:jc w:val="both"/>
        <w:rPr>
          <w:rFonts w:hint="cs"/>
          <w:rtl/>
        </w:rPr>
      </w:pPr>
    </w:p>
    <w:p>
      <w:pPr>
        <w:spacing w:before="240" w:line="240" w:lineRule="auto"/>
        <w:ind w:left="0" w:right="0"/>
        <w:jc w:val="both"/>
        <w:rPr>
          <w:rFonts w:hint="cs"/>
          <w:rtl/>
        </w:rPr>
      </w:pPr>
    </w:p>
    <w:p>
      <w:pPr>
        <w:spacing w:before="240" w:line="240" w:lineRule="auto"/>
        <w:ind w:left="0" w:right="0"/>
        <w:jc w:val="both"/>
        <w:rPr>
          <w:rFonts w:hint="cs"/>
          <w:rtl/>
        </w:rPr>
      </w:pPr>
    </w:p>
    <w:p>
      <w:pPr>
        <w:spacing w:before="240" w:line="240" w:lineRule="auto"/>
        <w:ind w:left="0" w:right="0"/>
        <w:jc w:val="both"/>
        <w:rPr>
          <w:rFonts w:hint="cs"/>
          <w:rtl/>
        </w:rPr>
      </w:pPr>
    </w:p>
    <w:p>
      <w:pPr>
        <w:spacing w:before="240" w:line="240" w:lineRule="auto"/>
        <w:ind w:left="0" w:right="0"/>
        <w:jc w:val="both"/>
        <w:rPr>
          <w:rFonts w:hint="cs"/>
          <w:rtl/>
        </w:rPr>
      </w:pPr>
    </w:p>
    <w:p>
      <w:pPr>
        <w:pStyle w:val="FootnoteText"/>
        <w:spacing w:line="240" w:lineRule="auto"/>
        <w:ind w:left="567" w:right="0"/>
        <w:jc w:val="both"/>
        <w:rPr>
          <w:rFonts w:hint="cs"/>
          <w:rtl/>
        </w:rPr>
      </w:pPr>
      <w:r>
        <w:rPr>
          <w:rFonts w:hint="cs"/>
          <w:rtl/>
        </w:rPr>
        <w:t>---------------</w:t>
      </w:r>
    </w:p>
    <w:p>
      <w:pPr>
        <w:pStyle w:val="FootnoteText"/>
        <w:spacing w:line="240" w:lineRule="auto"/>
        <w:ind w:left="567" w:right="0"/>
        <w:jc w:val="both"/>
        <w:rPr>
          <w:rtl/>
        </w:rPr>
      </w:pPr>
      <w:r>
        <w:rPr>
          <w:rFonts w:hint="cs"/>
          <w:rtl/>
        </w:rPr>
        <w:t>(*)</w:t>
        <w:tab/>
        <w:t>בנושא זה ראה דו"ח על הביקורת בפז נכסים (ישראל) בע"מ, מינואר 1986, עמ' 17.7.</w:t>
      </w:r>
    </w:p>
    <w:p>
      <w:pPr>
        <w:spacing w:before="240" w:line="240" w:lineRule="auto"/>
        <w:ind w:left="0" w:right="0"/>
        <w:jc w:val="both"/>
        <w:rPr>
          <w:rFonts w:hint="cs"/>
          <w:rtl/>
        </w:rPr>
      </w:pPr>
      <w:r>
        <w:rPr>
          <w:rtl/>
        </w:rPr>
        <w:br w:type="page"/>
      </w:r>
      <w:r>
        <w:rPr>
          <w:rFonts w:hint="cs"/>
          <w:rtl/>
        </w:rPr>
        <w:t>1.</w:t>
        <w:tab/>
        <w:t>הביקורת העלתה מקרים לא מועטים של מינוי דירקטורים לחברות בת על ידי הדירקטוריונים של חברות האם, בלא שנבדקו כישורי המועמדים והתאמתם לכהונה. באחד המקרים, ביוני  1986, מינה דירקטוריון כימיקלים לישראל בע"מ (להלן - כי"ל) 25 דירקטורים לחברות הבת של הקונצרן. במהלך הישיבה הסתייג דירקטור (עובד מדינה במשרד האוצר) מכך שדירקטורים בחברת אם מחליטים על מינוי דירקטורים בחברות בת ללא ידיעה מספקת בדבר כישוריהם והתאמתם לתפקיד. במהלך ישיבת הדירקטוריון חיווה היועץ המשפטי של כי"ל את דעתו, כי דירקטור המצביע בעד מינוי לכהונת דירקטור בחברת בת, בלא שבדק את כישוריו של המועמד ואת התאמתו לתפקידו, אינו מפעיל כראוי את סמכותו ומגלה חוסר אחריות.</w:t>
      </w:r>
    </w:p>
    <w:p>
      <w:pPr>
        <w:spacing w:before="240" w:line="240" w:lineRule="auto"/>
        <w:ind w:left="0" w:right="0"/>
        <w:jc w:val="both"/>
        <w:rPr>
          <w:rFonts w:hint="cs"/>
          <w:rtl/>
        </w:rPr>
      </w:pPr>
      <w:r>
        <w:rPr>
          <w:rFonts w:hint="cs"/>
          <w:rtl/>
        </w:rPr>
        <w:t>בעקבות כך ביקשו דירקטורים של כי"ל חוות דעת משפטית מן הרשות. בספטמבר 1986 חיווה היועץ המשפטי של הרשות את דעתו שאכן מוטלת על הדירקטורים אחריות והמליץ בפני יו"ר דירקטוריון כי"ל לקבוע נוהל למינוי דירקטור בחברת בת. על פי הנוהל, ימלא כל מועמד שאלון, אליו תצורף חוות דעתה של הנהלת כי"ל על כישורי המועמד ותרומתו האפשרית לעבודת הדירקטוריון; השאלון וחוות הדעת יופצו בקרב הדירקטורים של כי"ל לפני הדיון במינוי. מידע זה יאפשר דיון עניני במינויים. בדצמבר 1986 החליט דירקטוריון כי"ל לאמץ את המלצת היועץ המשפטי של הרשות, תוך שינוי, לפיו תימסר לדירקטוריון חוות הדעת של הנהלת כי"ל בעל פה.</w:t>
      </w:r>
    </w:p>
    <w:p>
      <w:pPr>
        <w:spacing w:before="240" w:line="240" w:lineRule="auto"/>
        <w:ind w:left="0" w:right="0"/>
        <w:jc w:val="both"/>
        <w:rPr>
          <w:rFonts w:hint="cs"/>
          <w:rtl/>
        </w:rPr>
      </w:pPr>
      <w:r>
        <w:rPr>
          <w:rFonts w:hint="cs"/>
          <w:rtl/>
        </w:rPr>
        <w:t>לדעת הביקורת, מן הראוי שהרשות תיזום את הנהגתו של נוהל כזה בכל החברות ותעמוד על כך שחוות הדעת של הנהלת החברה תימסר לדירקטורים בכתב.</w:t>
      </w:r>
    </w:p>
    <w:p>
      <w:pPr>
        <w:spacing w:before="240" w:line="240" w:lineRule="auto"/>
        <w:ind w:left="0" w:right="0"/>
        <w:jc w:val="both"/>
        <w:rPr>
          <w:rFonts w:hint="cs"/>
          <w:rtl/>
        </w:rPr>
      </w:pPr>
      <w:r>
        <w:rPr>
          <w:rtl/>
        </w:rPr>
        <w:br w:type="page"/>
      </w:r>
      <w:r>
        <w:rPr>
          <w:rFonts w:hint="cs"/>
          <w:rtl/>
        </w:rPr>
        <w:t>2.</w:t>
        <w:tab/>
        <w:t>במסגרת בדיקת ההחלטות למינוי דירקטורים בחברות בת העלתה הביקורת, כי ביולי 1986 נדונו בדירקטוריון תש"ת, חברה למפעלי תיירות ושירותי תעופה בע"מ(*) הצעות למינוי שבעה מועמדים של שר התחבורה לכהונת דירקטורים בחברות בת של תש"ת, כולם חברי מרכז תנועת החירות בליכוד. הנתונים שנמסרו לדירקטוריון על המועמדים כללו את עיסוקיהם בלבד. נציגי הנהלת אל-על ביקשו למנוע את מינוי המועמדים האמורים בחברות נכדה. מאחר שלדעתם עדיף למנות דירקטורים מקרב עובדי חברת אל - על או עובדי תש"ת. בשל מומחיותם בתחומי פעילותן של חברות נכדה. עמדת הנהלת אל-על נתמכה בידי הרשות. שר התחבורה, שהשתתף בדיון, הסביר כי הצעתו להגדיל את מספר הדירקטורים מקרב הציבור נועדה להגביר את משקלם בדירקטוריונים משום רגישותם לכספי ציבור. בסיכום הדיון החליט דירקטוריון תש"ת למנות את כל מועמדי שר התחבורה.</w:t>
      </w:r>
    </w:p>
    <w:p>
      <w:pPr>
        <w:spacing w:before="240" w:line="240" w:lineRule="auto"/>
        <w:ind w:left="0" w:right="0"/>
        <w:jc w:val="both"/>
        <w:rPr>
          <w:rFonts w:hint="cs"/>
          <w:rtl/>
        </w:rPr>
      </w:pPr>
      <w:r>
        <w:rPr>
          <w:rFonts w:hint="cs"/>
          <w:rtl/>
        </w:rPr>
        <w:t>לדעת הביקורת מינוי שבעה מועמדים שכולם חברי מרכז אותה מפלגה, אינה הדרך הנאותה לחיזוק משקלם של נציגי הציבור בדירקטוריון. מן הראוי שנציגי הציבור ייבחרו וימונו ללא כל זיקה להשקפתם הפוליטית.</w:t>
      </w:r>
    </w:p>
    <w:p>
      <w:pPr>
        <w:spacing w:before="240" w:line="240" w:lineRule="auto"/>
        <w:ind w:left="0" w:right="0"/>
        <w:jc w:val="both"/>
        <w:rPr>
          <w:rFonts w:hint="cs"/>
          <w:rtl/>
        </w:rPr>
      </w:pPr>
    </w:p>
    <w:p>
      <w:pPr>
        <w:spacing w:before="240" w:line="240" w:lineRule="auto"/>
        <w:ind w:left="0" w:right="0"/>
        <w:jc w:val="both"/>
        <w:rPr>
          <w:rFonts w:hint="cs"/>
          <w:rtl/>
        </w:rPr>
      </w:pPr>
    </w:p>
    <w:p>
      <w:pPr>
        <w:spacing w:before="240" w:line="240" w:lineRule="auto"/>
        <w:ind w:left="0" w:right="0"/>
        <w:jc w:val="both"/>
        <w:rPr>
          <w:rFonts w:hint="cs"/>
          <w:rtl/>
        </w:rPr>
      </w:pPr>
    </w:p>
    <w:p>
      <w:pPr>
        <w:pStyle w:val="FootnoteText"/>
        <w:spacing w:line="240" w:lineRule="auto"/>
        <w:ind w:left="567" w:right="0"/>
        <w:jc w:val="both"/>
        <w:rPr>
          <w:rFonts w:hint="cs"/>
          <w:rtl/>
        </w:rPr>
      </w:pPr>
      <w:r>
        <w:rPr>
          <w:rFonts w:hint="cs"/>
          <w:rtl/>
        </w:rPr>
        <w:t>________</w:t>
      </w:r>
    </w:p>
    <w:p>
      <w:pPr>
        <w:pStyle w:val="FootnoteText"/>
        <w:spacing w:line="240" w:lineRule="auto"/>
        <w:ind w:left="567" w:right="0"/>
        <w:jc w:val="both"/>
        <w:rPr>
          <w:rFonts w:hint="cs"/>
          <w:sz w:val="18"/>
          <w:rtl/>
        </w:rPr>
      </w:pPr>
      <w:r>
        <w:rPr>
          <w:rFonts w:hint="cs"/>
          <w:sz w:val="18"/>
          <w:rtl/>
        </w:rPr>
        <w:t xml:space="preserve"> (*)</w:t>
        <w:tab/>
        <w:t>חברת בת של אל-על, נתיבי אוויר לישראל בע"מ.</w:t>
      </w:r>
    </w:p>
    <w:p>
      <w:pPr>
        <w:spacing w:before="240" w:line="240" w:lineRule="auto"/>
        <w:ind w:left="0" w:right="0"/>
        <w:jc w:val="both"/>
        <w:rPr>
          <w:rFonts w:hint="cs"/>
          <w:rtl/>
        </w:rPr>
      </w:pPr>
      <w:r>
        <w:rPr>
          <w:rtl/>
        </w:rPr>
        <w:br w:type="page"/>
      </w:r>
      <w:r>
        <w:rPr>
          <w:rFonts w:hint="cs"/>
          <w:rtl/>
        </w:rPr>
        <w:t>3.</w:t>
        <w:tab/>
        <w:t>לאחר שקיבלה אישור כתב מינוי חתום בידי השרים, ביקשה הרשות את השר הממונה לפסול את המינוי בגלל ניגוד עניינים, אך נתקלה בסירוב. להלן הפרטים: ב-3.8.88 חתמו שר האנרגיה והתשתית ושר האוצר על אישור למינוי דירקטור (חבר מרכז מפלגת העבודה) בלפידות, חברת מחפשי נפט לישראל בע"מ(*) לאחר מכן, ב-8.9.88, החליט דירקטוריון חברת האם למנותו וצוות הבדיקה החל בהכנת חוות הדעת. במהלך הבדיקה קבע היועץ המשפטי של הרשות כי עלול להיווצר מצב של ניגוד עניינים בין עבודתו הקבועה של המועמד, המשמש רכז איגוד מקצועי, לבין תפקידו כדירקטור (בנושא זה ראה גם להלן). אי לכך המליצה הרשות בפני השרים שלא למנותו.</w:t>
      </w:r>
    </w:p>
    <w:p>
      <w:pPr>
        <w:spacing w:before="240" w:line="240" w:lineRule="auto"/>
        <w:ind w:left="0" w:right="0"/>
        <w:jc w:val="both"/>
        <w:rPr>
          <w:rFonts w:hint="cs"/>
          <w:rtl/>
        </w:rPr>
      </w:pPr>
      <w:r>
        <w:rPr>
          <w:rFonts w:hint="cs"/>
          <w:rtl/>
        </w:rPr>
        <w:t>באוקטובר אותה שנה הודיע יועץ שר האנרגיה והתשתית לרשות, כי השר דוחה את המלצתה, הואיל ולדעתו כשיר המועמד מכל הבחינות לכהן כדירקטור בלפידות. עוד נאמר בהודעת יועץ השר כי ב-3.8.88, זמן רב לפני הכנת חוות הדעת על ידי הרשות, כבר אושר המינוי על ידי השרים על פי החוק ואי לכך הסוגיה אקדמית בלבד. עד לסיום הביקורת בסוף 1988 לא העבירה הרשות את אישור המינוי לדירקטור.</w:t>
      </w:r>
    </w:p>
    <w:p>
      <w:pPr>
        <w:spacing w:before="240" w:line="240" w:lineRule="auto"/>
        <w:ind w:left="0" w:right="0"/>
        <w:jc w:val="both"/>
        <w:rPr>
          <w:rFonts w:hint="cs"/>
          <w:rtl/>
        </w:rPr>
      </w:pPr>
    </w:p>
    <w:p>
      <w:pPr>
        <w:spacing w:before="240" w:line="240" w:lineRule="auto"/>
        <w:ind w:left="0" w:right="0"/>
        <w:jc w:val="both"/>
        <w:rPr>
          <w:rFonts w:hint="cs"/>
          <w:rtl/>
        </w:rPr>
      </w:pPr>
    </w:p>
    <w:p>
      <w:pPr>
        <w:spacing w:before="240" w:line="240" w:lineRule="auto"/>
        <w:ind w:left="0" w:right="0"/>
        <w:jc w:val="both"/>
        <w:rPr>
          <w:rFonts w:hint="cs"/>
          <w:rtl/>
        </w:rPr>
      </w:pPr>
    </w:p>
    <w:p>
      <w:pPr>
        <w:spacing w:before="240" w:line="240" w:lineRule="auto"/>
        <w:ind w:left="0" w:right="0"/>
        <w:jc w:val="both"/>
        <w:rPr>
          <w:rFonts w:hint="cs"/>
          <w:rtl/>
        </w:rPr>
      </w:pPr>
    </w:p>
    <w:p>
      <w:pPr>
        <w:spacing w:before="240" w:line="240" w:lineRule="auto"/>
        <w:ind w:left="0" w:right="0"/>
        <w:jc w:val="both"/>
        <w:rPr>
          <w:rFonts w:hint="cs"/>
          <w:rtl/>
        </w:rPr>
      </w:pPr>
    </w:p>
    <w:p>
      <w:pPr>
        <w:spacing w:before="240" w:line="240" w:lineRule="auto"/>
        <w:ind w:left="0" w:right="0"/>
        <w:jc w:val="both"/>
        <w:rPr>
          <w:rFonts w:hint="cs"/>
          <w:rtl/>
        </w:rPr>
      </w:pPr>
    </w:p>
    <w:p>
      <w:pPr>
        <w:spacing w:before="240" w:line="240" w:lineRule="auto"/>
        <w:ind w:left="0" w:right="0"/>
        <w:jc w:val="both"/>
        <w:rPr>
          <w:rFonts w:hint="cs"/>
          <w:rtl/>
        </w:rPr>
      </w:pPr>
    </w:p>
    <w:p>
      <w:pPr>
        <w:spacing w:before="240" w:line="240" w:lineRule="auto"/>
        <w:ind w:left="0" w:right="0"/>
        <w:jc w:val="both"/>
        <w:rPr>
          <w:rFonts w:hint="cs"/>
          <w:rtl/>
        </w:rPr>
      </w:pPr>
    </w:p>
    <w:p>
      <w:pPr>
        <w:spacing w:before="240" w:line="240" w:lineRule="auto"/>
        <w:ind w:left="0" w:right="0"/>
        <w:jc w:val="both"/>
        <w:rPr>
          <w:rFonts w:hint="cs"/>
          <w:rtl/>
        </w:rPr>
      </w:pPr>
    </w:p>
    <w:p>
      <w:pPr>
        <w:pStyle w:val="FootnoteText"/>
        <w:spacing w:line="240" w:lineRule="auto"/>
        <w:ind w:left="567" w:right="0"/>
        <w:jc w:val="both"/>
        <w:rPr>
          <w:rFonts w:hint="cs"/>
          <w:rtl/>
        </w:rPr>
      </w:pPr>
      <w:r>
        <w:rPr>
          <w:rFonts w:hint="cs"/>
          <w:rtl/>
        </w:rPr>
        <w:t>__</w:t>
      </w:r>
      <w:r>
        <w:rPr>
          <w:rFonts w:hint="cs"/>
          <w:rtl/>
        </w:rPr>
        <w:t>______</w:t>
      </w:r>
    </w:p>
    <w:p>
      <w:pPr>
        <w:pStyle w:val="FootnoteText"/>
        <w:spacing w:line="240" w:lineRule="auto"/>
        <w:ind w:left="567" w:right="0"/>
        <w:jc w:val="both"/>
        <w:rPr>
          <w:rFonts w:hint="cs"/>
          <w:sz w:val="18"/>
          <w:rtl/>
        </w:rPr>
      </w:pPr>
      <w:r>
        <w:rPr>
          <w:rFonts w:hint="cs"/>
          <w:sz w:val="18"/>
          <w:rtl/>
        </w:rPr>
        <w:t xml:space="preserve"> (*)</w:t>
        <w:tab/>
        <w:t>חברת בת של חברת הנפט הלאומית לישראל בע"מ.</w:t>
      </w:r>
    </w:p>
    <w:p>
      <w:pPr>
        <w:spacing w:before="240" w:line="240" w:lineRule="auto"/>
        <w:ind w:left="0" w:right="0"/>
        <w:jc w:val="both"/>
        <w:rPr>
          <w:rFonts w:hint="cs"/>
          <w:rtl/>
        </w:rPr>
      </w:pPr>
      <w:r>
        <w:rPr>
          <w:rtl/>
        </w:rPr>
        <w:br w:type="page"/>
      </w:r>
      <w:r>
        <w:rPr>
          <w:rFonts w:hint="cs"/>
          <w:rtl/>
        </w:rPr>
        <w:t>החלטת דירקטוריון חברת אם על מינוי דירקטור מטעמו בחברת בת מועברת על ידי הרשות אל השרים לשם אישורה. לאחר מכן הדירקטור אינו מקבל כתב מינוי מן הדירקטוריון שמינה אותו, אלא מקבל מן השרים, באמצעות הרשות, כתב אישור מינוי, שבו הם מאשרים את החלטת הדירקטוריון בדבר מינויו. הביקורת העלתה, כי במספר מקרים חתמו שר האנרגיה והתשתית ושר האוצר על כתבי מינוי לדירקטורים בחברות הבת לפידות ומג"ן, משאבי גז ונפט בע"מ(*), במקום על כתבי אישור למינוי כדרוש. לדעת הביקורת, יש חשיבות לשמירת ההיבט הפורמלי של מינויי דירקטורים בחברות בת, דבר שיאפשר שמירה על הוראות החוק בדבר סמכויות דירקטוריון חברת האם.</w:t>
      </w:r>
    </w:p>
    <w:p>
      <w:pPr>
        <w:spacing w:before="240" w:line="240" w:lineRule="auto"/>
        <w:ind w:left="0" w:right="0"/>
        <w:jc w:val="center"/>
        <w:rPr>
          <w:rFonts w:hint="cs"/>
          <w:rtl/>
        </w:rPr>
      </w:pPr>
    </w:p>
    <w:p>
      <w:pPr>
        <w:spacing w:before="240" w:line="240" w:lineRule="auto"/>
        <w:ind w:left="0" w:right="0"/>
        <w:jc w:val="center"/>
        <w:rPr>
          <w:rFonts w:hint="cs"/>
          <w:rtl/>
        </w:rPr>
      </w:pPr>
    </w:p>
    <w:p>
      <w:pPr>
        <w:spacing w:before="240" w:line="240" w:lineRule="auto"/>
        <w:ind w:left="0" w:right="0"/>
        <w:jc w:val="center"/>
        <w:rPr>
          <w:rFonts w:hint="cs"/>
          <w:rtl/>
        </w:rPr>
      </w:pPr>
    </w:p>
    <w:p>
      <w:pPr>
        <w:spacing w:before="240" w:line="240" w:lineRule="auto"/>
        <w:ind w:left="0" w:right="0"/>
        <w:jc w:val="center"/>
        <w:rPr>
          <w:rFonts w:hint="cs"/>
          <w:rtl/>
        </w:rPr>
      </w:pPr>
    </w:p>
    <w:p>
      <w:pPr>
        <w:spacing w:before="240" w:line="240" w:lineRule="auto"/>
        <w:ind w:left="0" w:right="0"/>
        <w:jc w:val="center"/>
        <w:rPr>
          <w:rFonts w:hint="cs"/>
          <w:rtl/>
        </w:rPr>
      </w:pPr>
    </w:p>
    <w:p>
      <w:pPr>
        <w:spacing w:before="240" w:line="240" w:lineRule="auto"/>
        <w:ind w:left="0" w:right="0"/>
        <w:jc w:val="center"/>
        <w:rPr>
          <w:rFonts w:hint="cs"/>
          <w:rtl/>
        </w:rPr>
      </w:pPr>
    </w:p>
    <w:p>
      <w:pPr>
        <w:spacing w:before="240" w:line="240" w:lineRule="auto"/>
        <w:ind w:left="0" w:right="0"/>
        <w:jc w:val="center"/>
        <w:rPr>
          <w:rFonts w:hint="cs"/>
          <w:rtl/>
        </w:rPr>
      </w:pPr>
    </w:p>
    <w:p>
      <w:pPr>
        <w:spacing w:before="240" w:line="240" w:lineRule="auto"/>
        <w:ind w:left="0" w:right="0"/>
        <w:jc w:val="center"/>
        <w:rPr>
          <w:rFonts w:hint="cs"/>
          <w:rtl/>
        </w:rPr>
      </w:pPr>
    </w:p>
    <w:p>
      <w:pPr>
        <w:spacing w:before="240" w:line="240" w:lineRule="auto"/>
        <w:ind w:left="0" w:right="0"/>
        <w:jc w:val="center"/>
        <w:rPr>
          <w:rFonts w:hint="cs"/>
          <w:rtl/>
        </w:rPr>
      </w:pPr>
    </w:p>
    <w:p>
      <w:pPr>
        <w:pStyle w:val="FootnoteText"/>
        <w:spacing w:line="240" w:lineRule="auto"/>
        <w:ind w:left="567" w:right="0"/>
        <w:jc w:val="both"/>
        <w:rPr>
          <w:rFonts w:hint="cs"/>
          <w:rtl/>
        </w:rPr>
      </w:pPr>
      <w:r>
        <w:rPr>
          <w:rFonts w:hint="cs"/>
          <w:rtl/>
        </w:rPr>
        <w:t>-------------</w:t>
      </w:r>
    </w:p>
    <w:p>
      <w:pPr>
        <w:pStyle w:val="FootnoteText"/>
        <w:spacing w:line="240" w:lineRule="auto"/>
        <w:ind w:left="567" w:right="0"/>
        <w:jc w:val="both"/>
        <w:rPr>
          <w:rFonts w:hint="cs"/>
          <w:sz w:val="18"/>
          <w:rtl/>
        </w:rPr>
      </w:pPr>
      <w:r>
        <w:rPr>
          <w:rFonts w:hint="cs"/>
          <w:sz w:val="18"/>
          <w:rtl/>
        </w:rPr>
        <w:t>(*)</w:t>
        <w:tab/>
        <w:t>חברת בת של חברת הנפט הלאומית לישראל בע"מ.</w:t>
      </w:r>
    </w:p>
    <w:p>
      <w:pPr>
        <w:spacing w:before="240" w:line="240" w:lineRule="auto"/>
        <w:ind w:left="0" w:right="0"/>
        <w:jc w:val="center"/>
        <w:rPr>
          <w:rFonts w:hint="cs"/>
          <w:rtl/>
        </w:rPr>
      </w:pPr>
      <w:r>
        <w:rPr>
          <w:rtl/>
        </w:rPr>
        <w:br w:type="page"/>
      </w:r>
    </w:p>
    <w:p>
      <w:pPr>
        <w:pStyle w:val="1"/>
        <w:spacing w:before="100" w:beforeAutospacing="1" w:after="100" w:afterAutospacing="1" w:line="240" w:lineRule="auto"/>
        <w:ind w:left="0" w:right="0"/>
        <w:jc w:val="center"/>
        <w:rPr>
          <w:rFonts w:hint="cs"/>
          <w:rtl/>
        </w:rPr>
      </w:pPr>
      <w:r>
        <w:rPr>
          <w:rFonts w:hint="cs"/>
          <w:rtl/>
        </w:rPr>
        <w:t>כישורי הדירקטור</w:t>
      </w:r>
    </w:p>
    <w:p>
      <w:pPr>
        <w:spacing w:before="100" w:beforeAutospacing="1" w:after="100" w:afterAutospacing="1" w:line="240" w:lineRule="auto"/>
        <w:ind w:left="0" w:right="0"/>
        <w:jc w:val="both"/>
        <w:rPr>
          <w:rFonts w:hint="cs"/>
          <w:rtl/>
        </w:rPr>
      </w:pPr>
      <w:r>
        <w:rPr>
          <w:rFonts w:hint="cs"/>
          <w:rtl/>
        </w:rPr>
        <w:t>חברה ממשלתית מוקמת לשם מילוי משימות ממלכתיות בצורה יעילה ותכליתית. לכן בחירת הדירקטורים צריכה לקחת בחשבון היבטים רבים ולהתבצע במשנה זהירות ותשומת לב. יש להבטיח שהדירקטורים יהיו בעלי מגוון כשירויות ומיומנויות, למען תקינותה המירבית של פעילות הדירקטוריון בניווט צורכי החברה וביצוע מוצלח של המוטל עליה. צמצום האוכלוסיה שמקירבה נבחרים הדירקטורים מצמצם את האפשרות לבחור את האנשים המתאימים ביותר.</w:t>
      </w:r>
    </w:p>
    <w:p>
      <w:pPr>
        <w:spacing w:before="240" w:line="240" w:lineRule="auto"/>
        <w:ind w:left="0" w:right="0"/>
        <w:jc w:val="both"/>
        <w:rPr>
          <w:rFonts w:hint="cs"/>
          <w:rtl/>
        </w:rPr>
      </w:pPr>
      <w:r>
        <w:rPr>
          <w:rFonts w:hint="cs"/>
          <w:rtl/>
        </w:rPr>
        <w:t>פעילותו היעילה של הדירקטוריון מותנית כאמור, בין היתר, בכישורי הדירקטורים המאיישים אותו. לכן יש להקפיד, שהכישורים של הדירקטורים יקיפו את מירב ההיבטים של פעילות החברה. בדיקת כישורי המועמדים צריכה להיעשות גם בהתחשב בהרכב המצוי של הדירקטוריון לעומת הרכבו הרצוי. נמצא שבטפסים רבים של חוות דעת הרשות לא הוקפד למלא את הסעיף הנוגע להרכב הדירקטוריון המוצע בחברה. עוד נמצא שבמקרים בהם צויין הרכב הדירקטוריון הרצוי מבחינת המקצועות הדרושים לעיסוקה העיקרי של החברה, לא התיחסה הרשות להיבט זה והמליצה על מינוי דירקטורים, גם כאשר כישוריהם לא היו בתחום המקצועות הדרושים לתפקיד.</w:t>
      </w:r>
    </w:p>
    <w:p>
      <w:pPr>
        <w:spacing w:before="240" w:line="240" w:lineRule="auto"/>
        <w:ind w:left="0" w:right="0"/>
        <w:jc w:val="both"/>
        <w:rPr>
          <w:rFonts w:hint="cs"/>
          <w:rtl/>
        </w:rPr>
      </w:pPr>
      <w:r>
        <w:rPr>
          <w:rtl/>
        </w:rPr>
        <w:br w:type="page"/>
      </w:r>
      <w:r>
        <w:rPr>
          <w:rFonts w:hint="cs"/>
          <w:rtl/>
        </w:rPr>
        <w:t xml:space="preserve">החוק, שנחקק כזכור בשנת 1975, מסמיך את שר האוצר לקבוע בתקנות, בהתייעצות עם הרשות ובאישור ועדת הכספים של הכנסת, הוראות בדבר כשירותו של דירקטור. שר האוצר לא השתמש במשך זמן רב בסמכות זו. במארס 1985 מינה היועץ המשפטי לממשלה ועדה בראשות מר מ. גבאי(*), כדי להכין קריטריונים לכשירותו של דירקטור מטעם המדינה. המלצות הוועדה מפברואר 1986 שימשו בסיס לתקנות החברות הממשלתיות (כשירותו של דירקטור מטעם המדינה), התשמ"ז -1987. </w:t>
      </w:r>
    </w:p>
    <w:p>
      <w:pPr>
        <w:spacing w:before="240" w:line="240" w:lineRule="auto"/>
        <w:ind w:left="0" w:right="0"/>
        <w:jc w:val="both"/>
        <w:rPr>
          <w:rFonts w:hint="cs"/>
          <w:rtl/>
        </w:rPr>
      </w:pPr>
      <w:r>
        <w:rPr>
          <w:rFonts w:hint="cs"/>
          <w:rtl/>
        </w:rPr>
        <w:t>בספטמבר 1987 הגיש שר האוצר את התקנות לאישור ועדת הכספים של הכנסת. בתקנות האמורות נדרש מועמד לדירקטור להיות, בין היתר בעל אחד הכישורים הבאים:</w:t>
      </w:r>
    </w:p>
    <w:p>
      <w:pPr>
        <w:spacing w:before="240" w:line="240" w:lineRule="auto"/>
        <w:ind w:left="0" w:right="0"/>
        <w:jc w:val="both"/>
        <w:rPr>
          <w:rFonts w:hint="cs"/>
          <w:rtl/>
        </w:rPr>
      </w:pPr>
      <w:r>
        <w:rPr>
          <w:rFonts w:hint="cs"/>
          <w:rtl/>
        </w:rPr>
        <w:tab/>
        <w:t>(א)</w:t>
        <w:tab/>
        <w:t>תואר בוגר באחד מאלה:</w:t>
      </w:r>
    </w:p>
    <w:p>
      <w:pPr>
        <w:spacing w:before="240" w:line="240" w:lineRule="auto"/>
        <w:ind w:left="0" w:right="0"/>
        <w:jc w:val="both"/>
        <w:rPr>
          <w:rFonts w:hint="cs"/>
          <w:rtl/>
        </w:rPr>
      </w:pPr>
      <w:r>
        <w:rPr>
          <w:rFonts w:hint="cs"/>
          <w:rtl/>
        </w:rPr>
        <w:tab/>
        <w:tab/>
        <w:t>כלכלה, מינהל עסקים, ראיית חשבון והנדסה;</w:t>
      </w:r>
    </w:p>
    <w:p>
      <w:pPr>
        <w:spacing w:before="240" w:line="240" w:lineRule="auto"/>
        <w:ind w:left="0" w:right="0"/>
        <w:jc w:val="both"/>
        <w:rPr>
          <w:rFonts w:hint="cs"/>
          <w:rtl/>
        </w:rPr>
      </w:pPr>
      <w:r>
        <w:rPr>
          <w:rFonts w:hint="cs"/>
          <w:rtl/>
        </w:rPr>
        <w:tab/>
        <w:t>(ב)</w:t>
        <w:tab/>
        <w:t>ניסיון משמעותי בתחום הניהול העסקי;</w:t>
      </w:r>
    </w:p>
    <w:p>
      <w:pPr>
        <w:spacing w:before="240" w:line="240" w:lineRule="auto"/>
        <w:ind w:left="0" w:right="0"/>
        <w:jc w:val="both"/>
        <w:rPr>
          <w:rFonts w:hint="cs"/>
          <w:rtl/>
        </w:rPr>
      </w:pPr>
      <w:r>
        <w:rPr>
          <w:rFonts w:hint="cs"/>
          <w:rtl/>
        </w:rPr>
        <w:tab/>
        <w:t>(ג)</w:t>
        <w:tab/>
        <w:t>עבודה בשירות הציבור בנושאים כלכליים או מסחריים;</w:t>
      </w:r>
    </w:p>
    <w:p>
      <w:pPr>
        <w:spacing w:before="240" w:line="240" w:lineRule="auto"/>
        <w:ind w:left="0" w:right="0"/>
        <w:jc w:val="both"/>
        <w:rPr>
          <w:rFonts w:hint="cs"/>
          <w:rtl/>
        </w:rPr>
      </w:pPr>
      <w:r>
        <w:rPr>
          <w:rFonts w:hint="cs"/>
          <w:rtl/>
        </w:rPr>
        <w:tab/>
        <w:t>(ד)</w:t>
        <w:tab/>
        <w:t>בעל מומחיות בתחום עיסוקה העיקרי של החברה.</w:t>
      </w:r>
    </w:p>
    <w:p>
      <w:pPr>
        <w:spacing w:before="240" w:line="240" w:lineRule="auto"/>
        <w:ind w:left="0" w:right="0"/>
        <w:jc w:val="both"/>
        <w:rPr>
          <w:rFonts w:hint="cs"/>
          <w:rtl/>
        </w:rPr>
      </w:pPr>
      <w:r>
        <w:rPr>
          <w:rFonts w:hint="cs"/>
          <w:rtl/>
        </w:rPr>
        <w:t>עד כה לא אישרה ועדת הכספים את התקנות.</w:t>
      </w:r>
    </w:p>
    <w:p>
      <w:pPr>
        <w:pStyle w:val="FootnoteText"/>
        <w:spacing w:line="240" w:lineRule="auto"/>
        <w:ind w:left="567" w:right="0"/>
        <w:jc w:val="both"/>
        <w:rPr>
          <w:rFonts w:hint="cs"/>
          <w:sz w:val="26"/>
          <w:szCs w:val="24"/>
          <w:rtl/>
        </w:rPr>
      </w:pPr>
    </w:p>
    <w:p>
      <w:pPr>
        <w:pStyle w:val="FootnoteText"/>
        <w:spacing w:line="240" w:lineRule="auto"/>
        <w:ind w:left="567" w:right="0"/>
        <w:jc w:val="both"/>
        <w:rPr>
          <w:rFonts w:hint="cs"/>
          <w:sz w:val="26"/>
          <w:szCs w:val="24"/>
          <w:rtl/>
        </w:rPr>
      </w:pPr>
    </w:p>
    <w:p>
      <w:pPr>
        <w:pStyle w:val="FootnoteText"/>
        <w:spacing w:line="240" w:lineRule="auto"/>
        <w:ind w:left="567" w:right="0"/>
        <w:jc w:val="both"/>
        <w:rPr>
          <w:rFonts w:hint="cs"/>
          <w:sz w:val="26"/>
          <w:szCs w:val="24"/>
          <w:rtl/>
        </w:rPr>
      </w:pPr>
    </w:p>
    <w:p>
      <w:pPr>
        <w:pStyle w:val="FootnoteText"/>
        <w:spacing w:line="240" w:lineRule="auto"/>
        <w:ind w:left="567" w:right="0"/>
        <w:jc w:val="both"/>
        <w:rPr>
          <w:rFonts w:hint="cs"/>
          <w:sz w:val="26"/>
          <w:szCs w:val="24"/>
          <w:rtl/>
        </w:rPr>
      </w:pPr>
    </w:p>
    <w:p>
      <w:pPr>
        <w:pStyle w:val="FootnoteText"/>
        <w:spacing w:line="240" w:lineRule="auto"/>
        <w:ind w:left="567" w:right="0"/>
        <w:jc w:val="both"/>
        <w:rPr>
          <w:rFonts w:hint="cs"/>
          <w:sz w:val="26"/>
          <w:szCs w:val="24"/>
          <w:rtl/>
        </w:rPr>
      </w:pPr>
    </w:p>
    <w:p>
      <w:pPr>
        <w:pStyle w:val="FootnoteText"/>
        <w:spacing w:line="240" w:lineRule="auto"/>
        <w:ind w:left="567" w:right="0"/>
        <w:jc w:val="both"/>
        <w:rPr>
          <w:rFonts w:hint="cs"/>
          <w:sz w:val="26"/>
          <w:szCs w:val="24"/>
          <w:rtl/>
        </w:rPr>
      </w:pPr>
    </w:p>
    <w:p>
      <w:pPr>
        <w:pStyle w:val="FootnoteText"/>
        <w:spacing w:line="240" w:lineRule="auto"/>
        <w:ind w:left="567" w:right="0"/>
        <w:jc w:val="both"/>
        <w:rPr>
          <w:rFonts w:hint="cs"/>
          <w:sz w:val="26"/>
          <w:szCs w:val="24"/>
          <w:rtl/>
        </w:rPr>
      </w:pPr>
      <w:r>
        <w:rPr>
          <w:rFonts w:hint="cs"/>
          <w:sz w:val="26"/>
          <w:szCs w:val="24"/>
          <w:rtl/>
        </w:rPr>
        <w:t>--------------</w:t>
      </w:r>
    </w:p>
    <w:p>
      <w:pPr>
        <w:pStyle w:val="FootnoteText"/>
        <w:spacing w:line="240" w:lineRule="auto"/>
        <w:ind w:left="567" w:right="0"/>
        <w:jc w:val="both"/>
        <w:rPr>
          <w:rFonts w:hint="cs"/>
          <w:sz w:val="18"/>
          <w:rtl/>
        </w:rPr>
      </w:pPr>
      <w:r>
        <w:rPr>
          <w:rFonts w:hint="cs"/>
          <w:sz w:val="18"/>
          <w:rtl/>
        </w:rPr>
        <w:t>(*)</w:t>
        <w:tab/>
        <w:t>מנכ"ל משרד המשפטים בעבר ונציב שירות המדינה כיום.</w:t>
      </w:r>
    </w:p>
    <w:p>
      <w:pPr>
        <w:spacing w:before="240" w:line="240" w:lineRule="auto"/>
        <w:ind w:left="0" w:right="0"/>
        <w:jc w:val="both"/>
        <w:rPr>
          <w:rFonts w:hint="cs"/>
          <w:rtl/>
        </w:rPr>
      </w:pPr>
      <w:r>
        <w:rPr>
          <w:rtl/>
        </w:rPr>
        <w:br w:type="page"/>
      </w:r>
      <w:r>
        <w:rPr>
          <w:rFonts w:hint="cs"/>
          <w:rtl/>
        </w:rPr>
        <w:t>על הפנייה מטעם משרד מבקר המדינה הגיב שר האוצר הקודם לאמור:</w:t>
      </w:r>
    </w:p>
    <w:p>
      <w:pPr>
        <w:spacing w:before="240" w:line="240" w:lineRule="auto"/>
        <w:ind w:left="567" w:right="0" w:firstLine="3"/>
        <w:jc w:val="both"/>
        <w:rPr>
          <w:rFonts w:hint="cs"/>
          <w:rtl/>
        </w:rPr>
      </w:pPr>
      <w:r>
        <w:rPr>
          <w:rFonts w:hint="cs"/>
          <w:rtl/>
        </w:rPr>
        <w:t>"באשר למינוי דירקטורים בחברות ממשלתיות, אכן מסורת רבת שנים הייתה למנות, בדרך כלל, את נציגי הציבור מקרב המפלגות שהשרים הממונים נמנים עליהן. תחום זה היה פרוץ, בין השאר, משום שלא נקבעו כללים בדבר הכשירות והאחריות של הדירקטור ומשום שתודעת הכשירות לא היתה תמיד נחלת הממנים או המתמנים.</w:t>
        <w:tab/>
      </w:r>
    </w:p>
    <w:p>
      <w:pPr>
        <w:spacing w:before="240" w:line="240" w:lineRule="auto"/>
        <w:ind w:left="567" w:right="0" w:firstLine="3"/>
        <w:jc w:val="both"/>
        <w:rPr>
          <w:rFonts w:hint="cs"/>
          <w:rtl/>
        </w:rPr>
      </w:pPr>
      <w:r>
        <w:rPr>
          <w:rFonts w:hint="cs"/>
          <w:rtl/>
        </w:rPr>
        <w:t>בהכירי בקיומה של בעייה זו, לא היססתי ולא התמהמהתי לחתום על התקנות כפי שהוגשו לי על ידי הצוות שניסח אותן בעקבות המלצות וועדת מאיר גבאי בנושא זה. לפי מיטב ידיעתי, תקנות אלה לא אושרו עד היום על ידי וועדת הכספים של הכנסת, ויש להצטער על כך".</w:t>
      </w:r>
    </w:p>
    <w:p>
      <w:pPr>
        <w:spacing w:before="240" w:line="240" w:lineRule="auto"/>
        <w:ind w:left="0" w:right="0"/>
        <w:jc w:val="both"/>
        <w:rPr>
          <w:rFonts w:hint="cs"/>
          <w:rtl/>
        </w:rPr>
      </w:pPr>
      <w:r>
        <w:rPr>
          <w:rFonts w:hint="cs"/>
          <w:rtl/>
        </w:rPr>
        <w:t>כל עוד לא אושרו התקנות, קובעת הרשות על פי שיקוליה היא אם כישוריהם של המועמדים מתאימים לתפקיד. מצב זה של חוסר קריטריונים הוליך למינויים כדלקמן:</w:t>
      </w:r>
    </w:p>
    <w:p>
      <w:pPr>
        <w:spacing w:before="240" w:line="240" w:lineRule="auto"/>
        <w:ind w:left="0" w:right="0"/>
        <w:jc w:val="both"/>
        <w:rPr>
          <w:rFonts w:hint="cs"/>
          <w:rtl/>
        </w:rPr>
      </w:pPr>
      <w:r>
        <w:rPr>
          <w:rFonts w:hint="cs"/>
          <w:rtl/>
        </w:rPr>
        <w:t>(1)</w:t>
        <w:tab/>
        <w:t xml:space="preserve">ביולי 1987 אישרו השרים את חידוש מינויו של דירקטור (חבר מרכז תנועת החירות בליכוד) בתש"ת. רק לאחר מכן הועבר עניין המינוי לרשות לשם קיום חובת ההתיעצות. באוקטובר 1987 המליצה הרשות לאשר את המינוי, אך בחוות דעתה לא פורטו כישורי המועמד והתאמתו לכהונת דירקטור בחברה האמורה (בשאלון האישי רשם המועמד, כי השכלתו "פורמלית" ועיסוקו בעל מוסך). ביוני 1988 העבירה רשות החברות את כתב אישור המינוי אל </w:t>
      </w:r>
    </w:p>
    <w:p>
      <w:pPr>
        <w:spacing w:before="240" w:line="240" w:lineRule="auto"/>
        <w:ind w:left="0" w:right="0"/>
        <w:jc w:val="both"/>
        <w:rPr>
          <w:rFonts w:hint="cs"/>
          <w:rtl/>
        </w:rPr>
      </w:pPr>
      <w:r>
        <w:rPr>
          <w:rtl/>
        </w:rPr>
        <w:br w:type="page"/>
      </w:r>
      <w:r>
        <w:rPr>
          <w:rFonts w:hint="cs"/>
          <w:rtl/>
        </w:rPr>
        <w:t>הדירקטור. הרשות הסבירה למשרד מבקר המדינה, כי המלצתה ניתנה על בסיס היכרותו של רפרנט הרשות את הדירקטור. לדעת הביקורת, במקרה כזה מן הראוי היה, שהדירקטור יוזמן לראיון על ידי צוות הבדיקה וכי החלטת הרשות תתבסס על חוות דעתם של חברי הצוות שתימסר בכתב.</w:t>
      </w:r>
    </w:p>
    <w:p>
      <w:pPr>
        <w:spacing w:before="240" w:line="240" w:lineRule="auto"/>
        <w:ind w:left="0" w:right="0"/>
        <w:jc w:val="both"/>
        <w:rPr>
          <w:rFonts w:hint="cs"/>
          <w:rtl/>
        </w:rPr>
      </w:pPr>
      <w:r>
        <w:rPr>
          <w:rFonts w:hint="cs"/>
          <w:rtl/>
        </w:rPr>
        <w:t>(2)</w:t>
        <w:tab/>
        <w:t>ביוני 1987 הגיש צוות הבדיקה חוות דעת על מועמד (חברת מרכז תנועת החירות בליכוד) להמשך כהונה כדירקטור במל"מ מערכות בע"מ, העוסקת בפיתוח מערכות מידע ממוחשבות ומתן שרותי מחשב. בחוות הדעת נקבע שהמועמד אינו מתאים לתפקיד בגלל עיסוקו - מתווך בבורסת היהלומים ברמת גן - ובגלל העדר השכלה או נסיון בתחום הרלבנטי לחברה טכנולוגית. מנהל הרשות לא אימץ את חוות הדעת והמליץ על חידוש המינוי. ביולי 1987 אישר שר האוצר האחראי על החברה את המינוי ובאוקטובר אותה שנה בחר הדירקטוריון את הדירקטור האמור ליו"ר הדירקטוריון. החוק קובע, שהבחירה לתפקיד יו"ר הדירקטוריון טעונה אישור השרים, לאחר התייעצות עם הרשות. בנובמבר אותה שנה אישר השר, על פי המלצת הרשות, את הבחירה. הביקורת העלתה, שהמלצת הרשות ניתנה בלא חוות דעת לגבי כישורי המועמד לכהונת יו"ר הדירקטוריון.</w:t>
      </w:r>
    </w:p>
    <w:p>
      <w:pPr>
        <w:spacing w:before="240" w:line="240" w:lineRule="auto"/>
        <w:ind w:left="0" w:right="0"/>
        <w:jc w:val="both"/>
        <w:rPr>
          <w:rFonts w:hint="cs"/>
          <w:rtl/>
        </w:rPr>
      </w:pPr>
      <w:r>
        <w:rPr>
          <w:rFonts w:hint="cs"/>
          <w:rtl/>
        </w:rPr>
        <w:t>(3)</w:t>
        <w:tab/>
        <w:t>בפברואר 1987 מונתה דירקטור ( חברת מרכז מפלגת העבודה) בחברת החשמל לישראל בע"מ. כישוריה, כפי שצוינו בשאלון האישי, היו: השכלה - סמינר למורים; ניסיון - הנהלת מוסדות ציבור. צוות הבדיקה קבע בינואר 1987, כי המועמדת אינה מתאימה לחברה בעלת</w:t>
      </w:r>
    </w:p>
    <w:p>
      <w:pPr>
        <w:spacing w:before="240" w:line="240" w:lineRule="auto"/>
        <w:ind w:left="0" w:right="0"/>
        <w:jc w:val="both"/>
        <w:rPr>
          <w:rFonts w:hint="cs"/>
          <w:rtl/>
        </w:rPr>
      </w:pPr>
      <w:r>
        <w:rPr>
          <w:rtl/>
        </w:rPr>
        <w:br w:type="page"/>
      </w:r>
      <w:r>
        <w:rPr>
          <w:rFonts w:hint="cs"/>
          <w:rtl/>
        </w:rPr>
        <w:t>אופי עיסקי, אך מנהל הרשות לא אימץ את חוות הדעת והמליץ על המינוי. מנהל הרשות הסביר למשרד מבקר המדינה, שהחלטתו התקבלה בעקבות ראיון שערך אחד מחברי צוות הבדיקה למועמת.</w:t>
      </w:r>
    </w:p>
    <w:p>
      <w:pPr>
        <w:spacing w:before="240" w:line="240" w:lineRule="auto"/>
        <w:ind w:left="0" w:right="0"/>
        <w:jc w:val="both"/>
        <w:rPr>
          <w:rFonts w:hint="cs"/>
          <w:rtl/>
        </w:rPr>
      </w:pPr>
      <w:r>
        <w:rPr>
          <w:rFonts w:hint="cs"/>
          <w:rtl/>
        </w:rPr>
        <w:t>(4)</w:t>
        <w:tab/>
        <w:t>באוקטובר 1986 אישרו השרים, על פי המלצת הרשות, את מינויו של דירקטור (חברת מרכז תנועת החירות בליכוד) בחברות הבת של כי"ל: מפעלי תובלה בע"מ וכתר תובלה בע"מ. בחוות הדעת ציין צוות הבדיקה, כי לנוכח כישורי המועמד (השכלה-תיכונית, עיסוק - עמיל מכס) לא ניתן לקבוע את התאמתו לכהונת דירקטור. בעקבות חוות הדעת הוזמן המועמד לראיון עם צוות הבדיקה ונקבע, שהמועמד אינו נראה מתאים לתפקיד ואין למנותו. מנהל הרשות לא קיבל את חוות הדעת והמליץ בפני הרשות על המינוי. הביקורת העלתה כי הדירקטור האמור מונה לפני כן, ב-1985, על פי הנחיות השר, כעובד בכיר בדשנים וחומרים כימיים בע"מ. אך נוכח התנגדות העובדים, שכללה גם עתירה לבג"ץ, לא יצא אז המינוי אל הפועל.</w:t>
      </w:r>
    </w:p>
    <w:p>
      <w:pPr>
        <w:spacing w:before="240" w:line="240" w:lineRule="auto"/>
        <w:ind w:left="0" w:right="0"/>
        <w:jc w:val="both"/>
        <w:rPr>
          <w:rFonts w:hint="cs"/>
          <w:rtl/>
        </w:rPr>
      </w:pPr>
      <w:r>
        <w:rPr>
          <w:rFonts w:hint="cs"/>
          <w:rtl/>
        </w:rPr>
        <w:t>ביולי 1986 אישרו השרים, על פי המלצת הרשות, את מינויו של דירקטור (חבר מרכז תנועת החירות בליכוד) בחברת חרסית וחול דך בנגב בע"מ. ההמלצה עמדה בסתירה לחוות דעת צוות הבדיקה שלא למנותו כדירקטור (כישורי המועמד שצויינו בשאלון האישי היו: השכלה תיכונית ועיסוקו מסחר בחמרי בניה). בתיקי הרשות לא נמצאה כל הנמקה להמלצה שניתנה. הרשות הסבירה למשרד מבקר המדינה, כי מספר מועמדים לדירקטורים בחברות בת של כי"ל, שנפסלו על ידי צוות הבדיקה, הוזמנו לראיון עם מנהל הרשות ויו"ר דירקטוריון</w:t>
      </w:r>
    </w:p>
    <w:p>
      <w:pPr>
        <w:spacing w:before="240" w:line="240" w:lineRule="auto"/>
        <w:ind w:left="0" w:right="0"/>
        <w:jc w:val="both"/>
        <w:rPr>
          <w:rFonts w:hint="cs"/>
          <w:rtl/>
        </w:rPr>
      </w:pPr>
      <w:r>
        <w:rPr>
          <w:rtl/>
        </w:rPr>
        <w:br w:type="page"/>
      </w:r>
      <w:r>
        <w:rPr>
          <w:rFonts w:hint="cs"/>
          <w:rtl/>
        </w:rPr>
        <w:t>כי"ל. בעקבות הראיון החליט מנהל הרשות להמליץ על מינוי חלק מהם, מאחר שלפי התרשמותו הם בכל זאת מתאימים. לדעת הביקורת, מן הראוי שבמקרים כאלה יצורפו אל חוות הדעת הנימוקים לאישור המינוי.</w:t>
      </w:r>
    </w:p>
    <w:p>
      <w:pPr>
        <w:spacing w:before="240" w:line="240" w:lineRule="auto"/>
        <w:ind w:left="0" w:right="0"/>
        <w:jc w:val="both"/>
        <w:rPr>
          <w:rFonts w:hint="cs"/>
          <w:rtl/>
        </w:rPr>
      </w:pPr>
      <w:r>
        <w:rPr>
          <w:rFonts w:hint="cs"/>
          <w:rtl/>
        </w:rPr>
        <w:t>(5)</w:t>
        <w:tab/>
        <w:t>ביולי 1987 מונה מנהל מרכז קהילתי (חבר מרכז המפלגה הליברלית בליכוד) לכהונת דירקטור בחברת עשות אשקלון תעשיות בע"מ, העוסקת בייצור מערכות לטנקים ומערכות תמסורת לתעופה. בחוות הדעת צויין, בלא פירוט והנמקה, שכישוריו מתקבלים על הדעת. לא נקבע, אם המועמד מתאים לכהונת דירקטור בחברה זו. על חוות הדעת לא חתמו מנהל הרשות או סגנו, כפי שמחייב נוהל הרשות.</w:t>
      </w:r>
    </w:p>
    <w:p>
      <w:pPr>
        <w:spacing w:before="240" w:line="240" w:lineRule="auto"/>
        <w:ind w:left="0" w:right="0"/>
        <w:jc w:val="both"/>
        <w:rPr>
          <w:rFonts w:hint="cs"/>
          <w:rtl/>
        </w:rPr>
      </w:pPr>
      <w:r>
        <w:rPr>
          <w:rFonts w:hint="cs"/>
          <w:rtl/>
        </w:rPr>
        <w:t>(6)</w:t>
        <w:tab/>
        <w:t>בשנים 1986 - 1988 המליצה הרשות בפני השרים לאשר את מינוים של שלושה מועמדים (חברי מרכז תנועת החירות בליכוד) כדירקטורים במכון היהלומים בע"מ: גמלאי, ח"כ לשעבר; עובד מדינה בכיר לשעבר; עובד בזק, החברה הישראלית לתקשורת בע"מ. ההמלצות ניתנו בניגוד לחוות דעת צוות הבדיקה, לפיה דרושים לחברה זו דירקטורים המתמצאים ביהלומים, באבטחת יהלומים ובכלכלה, ידע והתמחות החסרים למועמדים אלה ועל כן אינם מתאימים לכהונה.</w:t>
      </w:r>
    </w:p>
    <w:p>
      <w:pPr>
        <w:spacing w:before="240" w:line="240" w:lineRule="auto"/>
        <w:ind w:left="0" w:right="0"/>
        <w:jc w:val="both"/>
        <w:rPr>
          <w:rFonts w:hint="cs"/>
          <w:rtl/>
        </w:rPr>
      </w:pPr>
      <w:r>
        <w:rPr>
          <w:rFonts w:hint="cs"/>
          <w:rtl/>
        </w:rPr>
        <w:t>(7)</w:t>
        <w:tab/>
        <w:t>באפריל 1986 מינה שר האוצר דירקטור (חבר מרכז המפלגה הליברלית בליכוד) בחברה הממשלתית למדליות ומטבעות בע"מ. בחוות הדעת, שהוכנה לאחר המינוי, צוין, שהנסיון וההשכלה של המועמד אינם נראים מתאימים לחברה וכי חסרים בחברה דירקטורים בתחומים: כלכלה, מינהל עסקים, שיווק, נומיסמטיקה. סגן מנהל הרשות אישר</w:t>
      </w:r>
    </w:p>
    <w:p>
      <w:pPr>
        <w:spacing w:before="240" w:line="240" w:lineRule="auto"/>
        <w:ind w:left="0" w:right="0"/>
        <w:jc w:val="both"/>
        <w:rPr>
          <w:rFonts w:hint="cs"/>
          <w:rtl/>
        </w:rPr>
      </w:pPr>
      <w:r>
        <w:rPr>
          <w:rtl/>
        </w:rPr>
        <w:br w:type="page"/>
      </w:r>
      <w:r>
        <w:rPr>
          <w:rFonts w:hint="cs"/>
          <w:rtl/>
        </w:rPr>
        <w:t>גם הוא שהמועמד אינו מתאים לכהונת דירקטור. מנהל הרשות לא אימץ את חוות הדעת וקבע, לאחר ראיון עם המועמד, כי על פי התרשמותו הוא מתאים לכהונת דירקטור בחברה ויש להמשיך בהליכי המינוי. במאי 1986 העבירה הרשות את כתב המינוי לדירקטור ולחברה.</w:t>
      </w:r>
    </w:p>
    <w:p>
      <w:pPr>
        <w:spacing w:before="240" w:line="240" w:lineRule="auto"/>
        <w:ind w:left="0" w:right="0"/>
        <w:jc w:val="both"/>
        <w:rPr>
          <w:rFonts w:hint="cs"/>
          <w:rtl/>
        </w:rPr>
      </w:pPr>
      <w:r>
        <w:rPr>
          <w:rFonts w:hint="cs"/>
          <w:rtl/>
        </w:rPr>
        <w:t>(8)</w:t>
        <w:tab/>
        <w:t>ביולי 1987 אישרו השרים, על פי המלצת הרשות, את מינוים של ארבעה דירקטורים (חברי מרכז מפלגת העבודה) במכון למחקרי נפט וגיאופיסיקה, אשר מקצועותיהם לא היו ממגוון המקצועות הרלבנטיים לעיסוקה של החברה. שלושה מהם היו מזכירי מועצות פועלים והרביעי - חבר הוועד הפועל של ההסתדרות. הביקורת העלתה, שדירקטורים אלה מיעטו להשתתף בישיבות הדירקטוריון, והחברה נקטה צעדים, להפסקת כהונתם, לאחר שנעדרו בשנת 1988 מארבע ישיבות ברציפות.</w:t>
      </w:r>
    </w:p>
    <w:p>
      <w:pPr>
        <w:spacing w:before="240" w:line="240" w:lineRule="auto"/>
        <w:ind w:left="0" w:right="0"/>
        <w:jc w:val="both"/>
        <w:rPr>
          <w:rFonts w:hint="cs"/>
          <w:rtl/>
        </w:rPr>
      </w:pPr>
      <w:r>
        <w:rPr>
          <w:rFonts w:hint="cs"/>
          <w:rtl/>
        </w:rPr>
        <w:t>(9)</w:t>
        <w:tab/>
        <w:t>הביקורת העלתה מקרה אחד של דירקטור (חבר מרכז מפלגת העבודה) שהתפטר מכהונתו לאחר שהגיע בעצמו למסקנה שכישוריו אינם מתאימים לתפקיד. להלן הפרטים: בתקופת ינואר - אוגוסט 1986 כיהן הדירקטור, שעיסוקו ראשות עיריה, במג"ן. באוגוסט הגיש מכתב התפטרות בציינו שאינו מתמצא בתחום פעילותה של החברה, באשר הנושא אינו במסגרת עיסוקו ומעבר להבנתו. הוא הביע את נכונותו לכהן כדירקטור בחברה שבה יוכל לתרום לקידומה.</w:t>
      </w:r>
    </w:p>
    <w:p>
      <w:pPr>
        <w:spacing w:before="240" w:line="240" w:lineRule="auto"/>
        <w:ind w:left="0" w:right="0"/>
        <w:jc w:val="both"/>
        <w:rPr>
          <w:rFonts w:hint="cs"/>
          <w:rtl/>
        </w:rPr>
      </w:pPr>
      <w:r>
        <w:rPr>
          <w:rtl/>
        </w:rPr>
        <w:br w:type="page"/>
      </w:r>
      <w:r>
        <w:rPr>
          <w:rFonts w:hint="cs"/>
          <w:rtl/>
        </w:rPr>
        <w:t>הרשות הודיעה למשרד מבקר המדינה, כי מאחר שנושא הרכב הדירקטוריון אינו מעוגן בחוק, לא הצליחו ניסיונותיה לכלול בדירקטוריונים דירקטורים בעלי מקצועות במגוון יותר רחב. למעשה אין מניעה לכך, שהמלצות הרשות לשרים בנוגע למינוי דירקטורים יכללו גם המלצות להרכב הדירקטוריון הרצוי, ולמגוון המקצועות הדרוש לעיסוקה של החברה. לדעת הביקורת, מן הראוי שהרשות, בבואם להחליט על המינוי, ישקלו גם המלצות אלו העשויות לתרום לשיפור יכולתו של הדירקטוריון במילוי תפקידיו המגוונים.</w:t>
      </w:r>
    </w:p>
    <w:p>
      <w:pPr>
        <w:pStyle w:val="1"/>
        <w:spacing w:before="100" w:beforeAutospacing="1" w:after="100" w:afterAutospacing="1" w:line="240" w:lineRule="auto"/>
        <w:ind w:left="0" w:right="0"/>
        <w:jc w:val="center"/>
        <w:rPr>
          <w:rFonts w:hint="cs"/>
          <w:rtl/>
        </w:rPr>
      </w:pPr>
      <w:r>
        <w:rPr>
          <w:rtl/>
        </w:rPr>
        <w:br w:type="page"/>
      </w:r>
      <w:r>
        <w:rPr>
          <w:rFonts w:hint="cs"/>
          <w:rtl/>
        </w:rPr>
        <w:t>תקופת הכהונה</w:t>
      </w:r>
    </w:p>
    <w:p>
      <w:pPr>
        <w:pStyle w:val="3"/>
        <w:spacing w:line="240" w:lineRule="auto"/>
        <w:ind w:left="0" w:right="0"/>
        <w:jc w:val="left"/>
        <w:rPr>
          <w:rFonts w:hint="cs"/>
          <w:rtl/>
        </w:rPr>
      </w:pPr>
      <w:r>
        <w:rPr>
          <w:rFonts w:hint="cs"/>
          <w:rtl/>
        </w:rPr>
        <w:t>תוקף המיני</w:t>
      </w:r>
    </w:p>
    <w:p>
      <w:pPr>
        <w:spacing w:before="240" w:line="240" w:lineRule="auto"/>
        <w:ind w:left="0" w:right="0"/>
        <w:jc w:val="both"/>
        <w:rPr>
          <w:rFonts w:hint="cs"/>
          <w:rtl/>
        </w:rPr>
      </w:pPr>
      <w:r>
        <w:rPr>
          <w:rFonts w:hint="cs"/>
          <w:rtl/>
        </w:rPr>
        <w:t>תוקף מינויו של דירקטור נקבע על ידי השרים בכתב המינוי, בדרך כלל, למשך שלוש שנים מתאריך כתב המינוי. כיוון שמועד כניסת המינוי לתוקף חל, על פי החוק, מיום מסירת כתב המינוי על ידי הרשות לחברה, יוצא שבפועל קצרה תקופת המינוי משלוש שנים. מצב זה יצר חילוקי דיעות עם החברות סביב מועד כניסת המינוי לתוקף. לדוגמה: בפברואר 1988 דרשה הרשות מחברת החשמל לישראל שלא לרשום השתתפות דירקטור בדיוני הדירקטוריון שנערכו ב-21.1.88, מפני שכתב מינויו נשלח על ידי הרשות לאחר מועד זה. חברת החשמל לא הסכימה לקביעת הרשות וטענה, כי כינסת המינוי לתוקף חל ביולי 1987, המועד שנקבע בכתב המינוי. אי לכך זכאי היה הדירקטור להשתתף בדיונים.</w:t>
      </w:r>
    </w:p>
    <w:p>
      <w:pPr>
        <w:spacing w:before="240" w:line="240" w:lineRule="auto"/>
        <w:ind w:left="0" w:right="0"/>
        <w:jc w:val="both"/>
        <w:rPr>
          <w:rFonts w:hint="cs"/>
          <w:rtl/>
        </w:rPr>
      </w:pPr>
      <w:r>
        <w:rPr>
          <w:rFonts w:hint="cs"/>
          <w:rtl/>
        </w:rPr>
        <w:t xml:space="preserve">כאשר דירקטור מתמנה בחברת בת ממשלתית, קובעים השרים בכתב אישור מינויו שתוקף המינוי הוא לשלוש שנים מיום החלטת הדירקטוריון של חברת האם. הביקורת העלתה מספר רב של כתבי מינוי שנמסרו על ידי הרשות לדירקטורים ולחברות זמן רב לאחר מועד החלטת דירקטוריון חברת האם. מאחר שעל פי החוק תוקף המינוי הוא מיום מסירת כתב המינוי לחברה, הביא הדבר לצמצום תקופת הכהונה. באחד המקרים מונה דירקטור בספטמבר 1984; כתב המינוי נשלח אליו רק ביוני 1987, ולדירקטור נותרו אפוא עד לסיום כהונתו שלושה חודשים בלבד. לדעת הביקורת, מן הראוי שהשרים יקבעו את תוקף המינוי, בתיאום עם הרשות, על פי מועד מסירת כתב המינוי לחברה, דבר </w:t>
      </w:r>
    </w:p>
    <w:p>
      <w:pPr>
        <w:spacing w:before="240" w:line="240" w:lineRule="auto"/>
        <w:ind w:left="0" w:right="0"/>
        <w:jc w:val="both"/>
        <w:rPr>
          <w:rFonts w:hint="cs"/>
          <w:rtl/>
        </w:rPr>
      </w:pPr>
      <w:r>
        <w:rPr>
          <w:rtl/>
        </w:rPr>
        <w:br w:type="page"/>
      </w:r>
      <w:r>
        <w:rPr>
          <w:rFonts w:hint="cs"/>
          <w:rtl/>
        </w:rPr>
        <w:t>שיאפשר לדירקטורים לכהן את מלוא תקופת הכהונה הרשומה בכתב המינוי. יצויין כי את התקלות שפורטו בפרק זה ניתן היה למנוע, אילו היו השרים מקפידים שלא להוציא כתבי מינוי או כתבי אישור מינוי, כל עוד לא תם תהליך ההתייעצות ברשות.</w:t>
      </w:r>
    </w:p>
    <w:p>
      <w:pPr>
        <w:spacing w:before="240" w:line="240" w:lineRule="auto"/>
        <w:ind w:left="0" w:right="0"/>
        <w:jc w:val="both"/>
        <w:rPr>
          <w:rFonts w:hint="cs"/>
          <w:rtl/>
        </w:rPr>
      </w:pPr>
    </w:p>
    <w:p>
      <w:pPr>
        <w:pStyle w:val="3"/>
        <w:spacing w:line="240" w:lineRule="auto"/>
        <w:ind w:left="0" w:right="0"/>
        <w:jc w:val="left"/>
        <w:rPr>
          <w:rFonts w:hint="cs"/>
          <w:rtl/>
        </w:rPr>
      </w:pPr>
      <w:r>
        <w:rPr>
          <w:rFonts w:hint="cs"/>
          <w:rtl/>
        </w:rPr>
        <w:t>חידוש כהונה</w:t>
      </w:r>
    </w:p>
    <w:p>
      <w:pPr>
        <w:spacing w:before="240" w:line="240" w:lineRule="auto"/>
        <w:ind w:left="0" w:right="0"/>
        <w:jc w:val="both"/>
        <w:rPr>
          <w:rFonts w:hint="cs"/>
          <w:rtl/>
        </w:rPr>
      </w:pPr>
      <w:r>
        <w:rPr>
          <w:rFonts w:hint="cs"/>
          <w:rtl/>
        </w:rPr>
        <w:t>דירקטור, שהתמנה לתקופת כהונה אחת (לא יותר משלוש שנים), ניתן (אך אין חייבים) למנותו מחדש ללא הגבלת מספר הכהונות. החלפת דירקטור בתום תקופת כהונה אחת, מחד נותנת אפשרות לסיים את כהונתו אם לא תרם לעבודת הדירקטוריון, אך מאידך גורמת לכך שיורדת לטמיון תקופת הלימוד וההיכרות שלו עם עבודת הדירקטוריון והחברה.</w:t>
      </w:r>
    </w:p>
    <w:p>
      <w:pPr>
        <w:spacing w:before="240" w:line="240" w:lineRule="auto"/>
        <w:ind w:left="0" w:right="0"/>
        <w:jc w:val="both"/>
        <w:rPr>
          <w:rFonts w:hint="cs"/>
          <w:rtl/>
        </w:rPr>
      </w:pPr>
      <w:r>
        <w:rPr>
          <w:rFonts w:hint="cs"/>
          <w:rtl/>
        </w:rPr>
        <w:t>הביקורת העלתה, שלקראת חידוש מינויו של דירקטור אין ברשות נוהל לבדיקה ולהערכה של תרומת הדירקטור לעבודת הדירקטוריון. הרשות הסבירה למשרד מבקר המדינה, כי אין לה סולם אובייקטיבי למדידת ביצועי הדירקטור ולכן היא מסתפקת בקביעתו של נציג הרשות בדירקטוריון. עוד הוסבר שהשרים הממנים, בדרך כלל מקבלים היזון חוזר ביחס למידת פעילות הדירקטורים ודואגים שלא לחדש את מינוייהם של דירקטורים בלתי מתאימים.</w:t>
      </w:r>
    </w:p>
    <w:p>
      <w:pPr>
        <w:spacing w:before="240" w:line="240" w:lineRule="auto"/>
        <w:ind w:left="0" w:right="0"/>
        <w:jc w:val="both"/>
        <w:rPr>
          <w:rFonts w:hint="cs"/>
          <w:rtl/>
        </w:rPr>
      </w:pPr>
      <w:r>
        <w:rPr>
          <w:rFonts w:hint="cs"/>
          <w:rtl/>
        </w:rPr>
        <w:t>לדעת הביקורת, מן הראוי שהקביעה של נציג הרשות ביחס להתאמת דירקטור להמשך כהונה תכלול הערכה מנומקת בכתב, המבוססת על תרומת הדירקטור לעבודת הדירקטוריון.</w:t>
      </w:r>
    </w:p>
    <w:p>
      <w:pPr>
        <w:spacing w:before="240" w:line="240" w:lineRule="auto"/>
        <w:ind w:left="0" w:right="0"/>
        <w:jc w:val="both"/>
        <w:rPr>
          <w:rFonts w:hint="cs"/>
          <w:rtl/>
        </w:rPr>
      </w:pPr>
      <w:r>
        <w:rPr>
          <w:rtl/>
        </w:rPr>
        <w:br w:type="page"/>
      </w:r>
      <w:r>
        <w:rPr>
          <w:rFonts w:hint="cs"/>
          <w:rtl/>
        </w:rPr>
        <w:t>מאחר שהרשות אינה מכינה, לקראת סיום כהונת הדירקטור, הערכה של תרומתו לעבודת הדירקטוריון, ערכה הביקורת בדיקה לגבי השתתפותם של מספר דירקטורים בעבודת הדירקטוריון כלהלן:</w:t>
      </w:r>
    </w:p>
    <w:p>
      <w:pPr>
        <w:spacing w:before="240" w:line="240" w:lineRule="auto"/>
        <w:ind w:left="0" w:right="0"/>
        <w:jc w:val="both"/>
        <w:rPr>
          <w:rFonts w:hint="cs"/>
          <w:rtl/>
        </w:rPr>
      </w:pPr>
      <w:r>
        <w:rPr>
          <w:rFonts w:hint="cs"/>
          <w:rtl/>
        </w:rPr>
        <w:t>(1)</w:t>
        <w:tab/>
        <w:t>בחברת אדום מחצבים בע"מ, הפעילה בתחום כרית מחצבים, כיהנו שני דירקטורים מקרב הציבור. מהפרוטוקולים של ישיבות הדירקטוריון עולה, כי דירקטורים אלו השתתפו לראשונה בישיבת הדירקטוריון בדצמבר 1986. דירקטור אחד - מהנדס תעשייה וניהול ומנהל מפעל אלקטרוניקה - נעדר ברציפות מכל הישיבות שהתקיימו לאחר מכן. דירקטור שני - עובד הוראה (חבר מרכז תנועת החירות בליכוד) - נכח אמנם במרבית ישיבות הדירקטוריון, אך לא נטל חלק בשום דיון ולא הביע עמדה בשום עניין מן העניינים שנדונו. הביקורת העלתה, כי בשעתו הסתייג הרפרנט מהמינוי, מבחינת כישורי המועמד, אך הרשות המליצה בלא הנמקה למנותו.</w:t>
      </w:r>
    </w:p>
    <w:p>
      <w:pPr>
        <w:spacing w:before="240" w:line="240" w:lineRule="auto"/>
        <w:ind w:left="0" w:right="0"/>
        <w:jc w:val="both"/>
        <w:rPr>
          <w:rtl/>
        </w:rPr>
      </w:pPr>
      <w:r>
        <w:rPr>
          <w:rFonts w:hint="cs"/>
          <w:rtl/>
        </w:rPr>
        <w:t>(2)</w:t>
        <w:tab/>
        <w:t xml:space="preserve">שני דירקטורים (חברי מרכז תנועת החירות - בליכוד) המכהנים כסגני ראשי עיריה, שמונו לכהונתם חברת חרסית וחול דך בנגב בע"מ ביוני 1986, נכחו בישיבת הדירקטוריון לראשונה בדצמבר אותה שנה. דירקטור אחד נכח בישיבה אחת נוספת במארס 1987, ונעדר מכל הישיבות שהתקיימו לאחר מכן. דירקטור שני נכח בשתי ישיבות במאי 1987 ובמארס 1988. מן הפרוטוקולים עולה, כי שני הדירקטורים לא נטלו חלק בשום דיון של הדירקטוריון. בתגובה על הביקורת הסבירה כי"ל, כי עניין השתתפותו של דירקטור בדיוני הדירקטוריון אינו משקף בהכרח את מלוא פעילותו כדירקטור. </w:t>
      </w:r>
    </w:p>
    <w:p>
      <w:pPr>
        <w:spacing w:before="240" w:line="240" w:lineRule="auto"/>
        <w:ind w:left="0" w:right="0"/>
        <w:jc w:val="both"/>
        <w:rPr>
          <w:rFonts w:hint="cs"/>
          <w:rtl/>
        </w:rPr>
      </w:pPr>
      <w:r>
        <w:rPr>
          <w:rtl/>
        </w:rPr>
        <w:br w:type="page"/>
      </w:r>
      <w:r>
        <w:rPr>
          <w:rFonts w:hint="cs"/>
          <w:rtl/>
        </w:rPr>
        <w:t>הביקורת אינה מקבלת תשובה זו. השתתפות בדיוני הדירקטוריון אמנם אינה בהכרח ממצה את פעילות הדירקטור, אך היא בוודאי חלק עיקרי מפעילות זו ודירקטור שאינו משתתף בדיוני הדירקטוריון אינו ממלא את תפקידו כראוי.</w:t>
      </w:r>
    </w:p>
    <w:p>
      <w:pPr>
        <w:spacing w:before="240" w:line="240" w:lineRule="auto"/>
        <w:ind w:left="0" w:right="0"/>
        <w:jc w:val="both"/>
        <w:rPr>
          <w:rFonts w:hint="cs"/>
          <w:rtl/>
        </w:rPr>
      </w:pPr>
      <w:r>
        <w:rPr>
          <w:rFonts w:hint="cs"/>
          <w:rtl/>
        </w:rPr>
        <w:t>בחוזר מנהל הרשות, ממאי 1986, בנושא נוכחות דירקטורים בישיבות דירקטוריונים בחברות הממשלתיות נקבע, כי כדי לבצע את הוראות החוק ולמנוע מצבים של אי-ודאות שיפגעו ביכולתו של דירקטוריון החברה לתפקד כהלכה, על יו"ר הדירקטוריון להודיע בכתב לכל דירקטור שיעדר משלוש ישיבות רצופות, או מחמש ישיבות במשך שנה אחת, שעם העדרות נוספת הוא יחדל לכהן כדירקטור בחברה. במקרה של העדרות רביעית רצופה מישיבות דירקטוריון, או שישית תוך שנה, יש להודיע לדירקטור בכתב, עם העתקים לשרים ולרשות, כי על פי החוק הוא חדל לכהן כדירקטור, זולת אם השרים, לאחר התייעצות עם הרשות, יקבעו שהיתה סיבה מוצדקת להעדרויותיו.</w:t>
      </w:r>
    </w:p>
    <w:p>
      <w:pPr>
        <w:spacing w:before="240" w:line="240" w:lineRule="auto"/>
        <w:ind w:left="0" w:right="0"/>
        <w:jc w:val="both"/>
        <w:rPr>
          <w:rFonts w:hint="cs"/>
          <w:rtl/>
        </w:rPr>
      </w:pPr>
      <w:r>
        <w:rPr>
          <w:rFonts w:hint="cs"/>
          <w:rtl/>
        </w:rPr>
        <w:t>ממסמכי הרשות עולה שלמרות העובדה ששלושת הדירקטורים דלעיל נעדרו ברציפות מישיבות דירקטוריון, לא ננקטו נגדם צעדים על פי החוק ועל פי הנוהל כאמור. רק בחודשים מארס - אפריל 1988 נשלחו אליהם מכתבים המודיעים להם על פקיעת כהונתם.</w:t>
      </w:r>
    </w:p>
    <w:p>
      <w:pPr>
        <w:pStyle w:val="1"/>
        <w:spacing w:before="100" w:beforeAutospacing="1" w:after="100" w:afterAutospacing="1" w:line="240" w:lineRule="auto"/>
        <w:ind w:left="0" w:right="0"/>
        <w:jc w:val="center"/>
        <w:rPr>
          <w:rFonts w:hint="cs"/>
          <w:rtl/>
        </w:rPr>
      </w:pPr>
      <w:r>
        <w:rPr>
          <w:rtl/>
        </w:rPr>
        <w:br w:type="page"/>
      </w:r>
      <w:r>
        <w:rPr>
          <w:rFonts w:hint="cs"/>
          <w:rtl/>
        </w:rPr>
        <w:t>העדר מנין חוקי (קוורום)</w:t>
      </w:r>
    </w:p>
    <w:p>
      <w:pPr>
        <w:spacing w:before="100" w:beforeAutospacing="1" w:after="100" w:afterAutospacing="1" w:line="240" w:lineRule="auto"/>
        <w:ind w:left="0" w:right="0"/>
        <w:jc w:val="both"/>
        <w:rPr>
          <w:rFonts w:hint="cs"/>
          <w:rtl/>
        </w:rPr>
      </w:pPr>
      <w:r>
        <w:rPr>
          <w:rFonts w:hint="cs"/>
          <w:rtl/>
        </w:rPr>
        <w:t>מינויו של דירקטור נעשה כאמור בידי השר האחראי (או השרים האחראים) לענייני החברה ושר האוצר(*). לעתים מתעכב המינוי זמן רב, כאשר בין השרים אין הסכמה לגבי המועמד. אחת התוצאות של העיכובים שתוארו לעיל היא מינויהם בו-זמנית של דירקטורים רבים. למשל, מבין 196 הדירקטורים שכיהנו באמצע דצמבר 1988 בקונצרן כי"ל, מונו 50 דירקטורים (מהם 10 חברי מרכז תנועת החירות בליכוד) ב-14.10.86 ו-67 דירקטורים (מהם 17 חברי מרכז תנועת החירות בליכוד ושניים חברי מרכז המפלגה הליברלית בליכוד) ב-1.7.87. כתוצאה מכך יש דירקטוריונים שתוקף מינויים של הדירקטורים שלהם, כולם או מרביתם, פג באותו מועד.</w:t>
      </w:r>
    </w:p>
    <w:p>
      <w:pPr>
        <w:spacing w:line="240" w:lineRule="auto"/>
        <w:ind w:left="0" w:right="0"/>
        <w:jc w:val="both"/>
        <w:rPr>
          <w:rFonts w:hint="cs"/>
          <w:rtl/>
        </w:rPr>
      </w:pPr>
      <w:r>
        <w:rPr>
          <w:rFonts w:hint="cs"/>
          <w:rtl/>
        </w:rPr>
        <w:t>אם אין מחדשים את המינויים ואין ממנים אחרים במקומם בעוד מועד, יורד מספר הדירקטורים מתחת למנין החוקי הקובע לקבלת ההחלטות. הדבר משתק את הדירקטוריונים ומביא את החברות להזדקק לאסיפות כלליות כדי לאשר החלטות הכרחיות לפעילותן(**).</w:t>
      </w:r>
    </w:p>
    <w:p>
      <w:pPr>
        <w:spacing w:before="240" w:line="240" w:lineRule="auto"/>
        <w:ind w:left="0" w:right="0"/>
        <w:jc w:val="both"/>
        <w:rPr>
          <w:rFonts w:hint="cs"/>
          <w:rtl/>
        </w:rPr>
      </w:pPr>
    </w:p>
    <w:p>
      <w:pPr>
        <w:spacing w:before="240" w:line="240" w:lineRule="auto"/>
        <w:ind w:left="0" w:right="0"/>
        <w:jc w:val="both"/>
        <w:rPr>
          <w:rFonts w:hint="cs"/>
          <w:rtl/>
        </w:rPr>
      </w:pPr>
    </w:p>
    <w:p>
      <w:pPr>
        <w:pStyle w:val="Header"/>
        <w:tabs>
          <w:tab w:val="clear" w:pos="4153"/>
          <w:tab w:val="clear" w:pos="8306"/>
        </w:tabs>
        <w:spacing w:before="240" w:line="240" w:lineRule="auto"/>
        <w:ind w:left="0" w:right="0"/>
        <w:jc w:val="both"/>
        <w:rPr>
          <w:rFonts w:hint="cs"/>
          <w:rtl/>
        </w:rPr>
      </w:pPr>
    </w:p>
    <w:p>
      <w:pPr>
        <w:pStyle w:val="FootnoteText"/>
        <w:spacing w:line="240" w:lineRule="auto"/>
        <w:ind w:left="567" w:right="0"/>
        <w:jc w:val="both"/>
        <w:rPr>
          <w:rFonts w:hint="cs"/>
          <w:rtl/>
        </w:rPr>
      </w:pPr>
      <w:r>
        <w:rPr>
          <w:rFonts w:hint="cs"/>
          <w:rtl/>
        </w:rPr>
        <w:t>-------------</w:t>
      </w:r>
    </w:p>
    <w:p>
      <w:pPr>
        <w:pStyle w:val="FootnoteText"/>
        <w:spacing w:line="240" w:lineRule="auto"/>
        <w:ind w:left="567" w:right="0"/>
        <w:jc w:val="both"/>
        <w:rPr>
          <w:rFonts w:hint="cs"/>
          <w:sz w:val="18"/>
          <w:rtl/>
        </w:rPr>
      </w:pPr>
      <w:r>
        <w:rPr>
          <w:rFonts w:hint="cs"/>
          <w:sz w:val="18"/>
          <w:rtl/>
        </w:rPr>
        <w:t>(*)</w:t>
        <w:tab/>
        <w:t>האמור לעיל אינו נוגע לחברה שאחראי לה שר האוצר עצמו</w:t>
      </w:r>
    </w:p>
    <w:p>
      <w:pPr>
        <w:pStyle w:val="FootnoteText"/>
        <w:spacing w:line="240" w:lineRule="auto"/>
        <w:ind w:left="567" w:right="0"/>
        <w:jc w:val="both"/>
        <w:rPr>
          <w:rFonts w:hint="cs"/>
          <w:rtl/>
        </w:rPr>
      </w:pPr>
      <w:r>
        <w:rPr>
          <w:rFonts w:hint="cs"/>
          <w:sz w:val="18"/>
          <w:rtl/>
        </w:rPr>
        <w:t>(**)</w:t>
        <w:tab/>
        <w:t xml:space="preserve">בנושא זה ראה דוח על הביקורת בערים </w:t>
      </w:r>
      <w:r>
        <w:rPr>
          <w:rFonts w:hint="cs"/>
          <w:rtl/>
        </w:rPr>
        <w:t>חברה לפיתוח עירוני בע"מ מיוני 1988, עמ' 7.</w:t>
      </w:r>
    </w:p>
    <w:p>
      <w:pPr>
        <w:spacing w:line="240" w:lineRule="auto"/>
        <w:ind w:left="0" w:right="0"/>
        <w:jc w:val="both"/>
        <w:rPr>
          <w:rFonts w:hint="cs"/>
          <w:rtl/>
        </w:rPr>
      </w:pPr>
      <w:r>
        <w:rPr>
          <w:rtl/>
        </w:rPr>
        <w:br w:type="page"/>
      </w:r>
      <w:r>
        <w:rPr>
          <w:rFonts w:hint="cs"/>
          <w:rtl/>
        </w:rPr>
        <w:t>1.</w:t>
        <w:tab/>
        <w:t>ביולי 1987 אישר דירקטוריון כי"ל רשימה ארוכה של מועמדים לכהונת דירקטורים בחברות בת של כי"ל. הרשימה הועברה על ידי הרשות לשרים, אך עד אוקטובר 1988 לא התקבלו אישוריהם. בתקופה זו פנה יו"ר כי"ל פעמים מספר אל שר האוצר כשר הממונה על ביצוע החוק ואל שר המסחר והתעשייה, האחראי לענייני החברות, וביקש את התערבותם לאישור המינויים בהקדם. ברם, הפנייה לא הועילה ודירקטוריונים רבים לא יכלו לפעול בתקופה זו בשל העדר מנין חוקי בישיבות הדירקטוריון, כלהלן:</w:t>
      </w:r>
    </w:p>
    <w:p>
      <w:pPr>
        <w:spacing w:before="240" w:line="240" w:lineRule="auto"/>
        <w:ind w:left="0" w:right="0"/>
        <w:jc w:val="both"/>
        <w:rPr>
          <w:rFonts w:hint="cs"/>
          <w:rtl/>
        </w:rPr>
      </w:pPr>
      <w:r>
        <w:rPr>
          <w:rFonts w:hint="cs"/>
          <w:rtl/>
        </w:rPr>
        <w:t>(1)</w:t>
        <w:tab/>
        <w:t>במאי 1985 הסתיימה כהונתם של שישה מבין שבעת הדירקטורים בחברת בת בקונצרן כי"ל. כמעט שלוש שנים לא היה מנין חוקי לישיבות הדירקטוריון עד למינוים של דירקטורים חדשים בפברואר 1988. בתקופה זו לא התקיימו ישיבות הדירקטוריון ולא ניתן היה להסמיך מורשי חתימה בשם החברה, לאשר מינויים של עובדים בכירים ולקבל החלטות חשובות שכללו, בין היתר, חלוקת דיבידנדים.</w:t>
      </w:r>
    </w:p>
    <w:p>
      <w:pPr>
        <w:spacing w:before="240" w:line="240" w:lineRule="auto"/>
        <w:ind w:left="0" w:right="0"/>
        <w:jc w:val="both"/>
        <w:rPr>
          <w:rtl/>
        </w:rPr>
      </w:pPr>
      <w:r>
        <w:rPr>
          <w:rFonts w:hint="cs"/>
          <w:rtl/>
        </w:rPr>
        <w:t>(2)</w:t>
        <w:tab/>
        <w:t xml:space="preserve">בדירקטוריון חברת תרכובות ברום בע"מ כיהנו בתקופת יולי 1987 - אוקטובר 1988 עובד מדינה אחד ושלושה דירקטורים מקרב הציבור: משפטן עצמאי (חבר מרכז תנועת החירות בליכוד); שמאי ביטוח - (חבר מרכז המפלגה הליברלית בליכוד); מורה לנהיגה (חבר מרכז תנועת החירות בליכוד). מאז מינוים היה דירקטוריון החברה מורכב מארבעת הדירקטורים האמורים בלבד, וכל ההחלטות על פעילות החברה בתחום התעשייה הכימית התקבלו על ידיהם. לעתים התכנס הדירקטוריון ללא מנין חוקי וקיבל החלטות חשובות שמבחינה חוקית אין להן תוקף. כך, למשל, בישיבה מ-17.3.88, שבה נכח דירקטור אחד בלבד, אושרו הדוחות הכספיים של החברה לשנת הכספים </w:t>
      </w:r>
    </w:p>
    <w:p>
      <w:pPr>
        <w:spacing w:before="240" w:line="240" w:lineRule="auto"/>
        <w:ind w:left="0" w:right="0"/>
        <w:jc w:val="both"/>
        <w:rPr>
          <w:rFonts w:hint="cs"/>
          <w:rtl/>
        </w:rPr>
      </w:pPr>
      <w:r>
        <w:rPr>
          <w:rtl/>
        </w:rPr>
        <w:br w:type="page"/>
      </w:r>
      <w:r>
        <w:rPr>
          <w:rFonts w:hint="cs"/>
          <w:rtl/>
        </w:rPr>
        <w:t>אפריל-דצמבר 1987. באפריל 1988 הודיעה חברת האם - כי"ל שעד שלא יאשרו השרים את המינויים של דירקטורים נוספים שנתבקשו לאשרם, אין לחברה פתרון לחוסר מנין חוקי. בפברואר 1989 הודיעה כי"ל, כי בחברת תרכובות ברום מונו דירקטורים נוספים ומספרם מגיע לשבעה.</w:t>
      </w:r>
    </w:p>
    <w:p>
      <w:pPr>
        <w:spacing w:before="240" w:line="240" w:lineRule="auto"/>
        <w:ind w:left="0" w:right="0"/>
        <w:jc w:val="both"/>
        <w:rPr>
          <w:rFonts w:hint="cs"/>
          <w:rtl/>
        </w:rPr>
      </w:pPr>
      <w:r>
        <w:rPr>
          <w:rFonts w:hint="cs"/>
          <w:rtl/>
        </w:rPr>
        <w:t>(3)</w:t>
        <w:tab/>
        <w:t>בספטמבר 1986 לא היה מנין חוקי בדירקטוריונים של חברות הבת של כי"ל כלהלן: חרסית וחול זך בע"מ, מכרות נחושת תמנע בע"מ, מפעלי תובלה בע"מ, כתר תובלה בע"מ, הנדסת התפלה בע"מ, פריקלאס ים המלח בע"מ. הביקורת העלתה, שבמועד האמור התכנס דירקטוריון חרסית וחול זך בהשתתפות דירקטור אחד וחמישה מועמדים לדירקטורים שמינוים טרם אושר. למרות שבהרכב זה לא היה מנין חוקי, התקבלו בישיבה מספר החלטות, שאחת מהן נגעה להקצבת 50,000 דולר למחקר. כיו"ר הדירקטוריון בפועל כיהן אחד מעובדי כי"ל ללא מינוי כדירקטור. במהלך הישיבה הודיע יו"ר הדירקטוריון האמור, כי על פי החלטת חברת האם ממשיך הדירקטוריון לתפקד כרגיל, למרות שמינוי המועמדים טרם אושר על ידי השרים. לדעת הביקורת, מן הראוי שחברה ממשלתית תפעל בקפדנות על פי הוראות החוק.</w:t>
      </w:r>
    </w:p>
    <w:p>
      <w:pPr>
        <w:spacing w:before="240" w:line="240" w:lineRule="auto"/>
        <w:ind w:left="0" w:right="0"/>
        <w:jc w:val="both"/>
        <w:rPr>
          <w:rtl/>
        </w:rPr>
      </w:pPr>
      <w:r>
        <w:rPr>
          <w:rFonts w:hint="cs"/>
          <w:rtl/>
        </w:rPr>
        <w:t xml:space="preserve">בדצמבר 1987 עדיין היו ללא מנין חוקי הדירקטוריונים בחברות הבת הבאות: דשנים וחומרים כימיים בע"מ, רותם דשנים בע"מ, פרסון חמרים כימיים בע"מ, כי"ל פרוייקטים בע"מ, כי"ל תעשיות בע"מ. בתגובה על הביקורת הודיעה כי"ל, שכדי למנוע נזקים כבדים לחברות הבת, נעשה שימוש בכינוס אסיפות כלליות או בכינוס </w:t>
      </w:r>
    </w:p>
    <w:p>
      <w:pPr>
        <w:spacing w:before="240" w:line="240" w:lineRule="auto"/>
        <w:ind w:left="0" w:right="0"/>
        <w:jc w:val="both"/>
        <w:rPr>
          <w:rFonts w:hint="cs"/>
          <w:rtl/>
        </w:rPr>
      </w:pPr>
      <w:r>
        <w:rPr>
          <w:rtl/>
        </w:rPr>
        <w:br w:type="page"/>
      </w:r>
      <w:r>
        <w:rPr>
          <w:rFonts w:hint="cs"/>
          <w:rtl/>
        </w:rPr>
        <w:t>דירקטוריון שחבריו מונו על ידי דירקטוריון כי"ל אך לא קיבלו את אישור השרים.</w:t>
      </w:r>
    </w:p>
    <w:p>
      <w:pPr>
        <w:spacing w:before="240" w:line="240" w:lineRule="auto"/>
        <w:ind w:left="0" w:right="0"/>
        <w:jc w:val="both"/>
        <w:rPr>
          <w:rFonts w:hint="cs"/>
          <w:rtl/>
        </w:rPr>
      </w:pPr>
      <w:r>
        <w:rPr>
          <w:rFonts w:hint="cs"/>
          <w:rtl/>
        </w:rPr>
        <w:t>2.</w:t>
        <w:tab/>
        <w:t>במספר מועדים בשנים 1984 - 1987 החליט דירקטוריון לפידות למנות שבעה דירקטורים לדירקטוריון חברת הבת מצדה חברה מאוחדת לקידוחי נפט בע"מ. דבר המינויים הועבר אל השרים לאישור, אך עד סיום הביקורת לא אושרו. מאז יוני 1987 כיהנו במצדה שני דירקטורים בלבד, מספר שהוא מתחת למניין החוקי הדרוש לקבלת החלטות בישיבות הדירקטוריון.</w:t>
      </w:r>
    </w:p>
    <w:p>
      <w:pPr>
        <w:spacing w:before="240" w:line="240" w:lineRule="auto"/>
        <w:ind w:left="0" w:right="0"/>
        <w:jc w:val="both"/>
        <w:rPr>
          <w:rFonts w:hint="cs"/>
          <w:rtl/>
        </w:rPr>
      </w:pPr>
      <w:r>
        <w:rPr>
          <w:rFonts w:hint="cs"/>
          <w:rtl/>
        </w:rPr>
        <w:t>באוקטובר 1985 נותרו בחברת מג"ן רק שני דירקטורים. הואיל ודרושים חמישה דירקטורים למנין חוקי, הושבתו ישיבות הדירקטוריון למשך כשנה עד למינוי דירקטורים נוספים להשלמת המנין החוקי הדרוש.</w:t>
      </w:r>
    </w:p>
    <w:p>
      <w:pPr>
        <w:spacing w:before="240" w:line="240" w:lineRule="auto"/>
        <w:ind w:left="0" w:right="0"/>
        <w:jc w:val="both"/>
        <w:rPr>
          <w:rFonts w:hint="cs"/>
          <w:rtl/>
        </w:rPr>
      </w:pPr>
      <w:r>
        <w:rPr>
          <w:rFonts w:hint="cs"/>
          <w:rtl/>
        </w:rPr>
        <w:t>3.</w:t>
        <w:tab/>
        <w:t>הבדיקה העלתה שתופעת הפיגורים במינוי דירקטורים לא הצטמצמה למינויים חדשים בלבד, אלא השתרעה גם על חידושם של מינויים. עקב כך לא נשמרה רציפות הכהונה ונוצר פער בין מועד סיום תקופת הכהונה לבין מועד חידוש המינוי. בתקופת הביניים נותק הדירקטור מפעילותו בחברה, דבר שהצדיק תקופת התעדכנות. הביקורת העלתה, שכדי לפתור בעייה זו נוהגת אחת החברות הממשלתיות - שרותי נפט בע"מ - להוסיף ולהזמין לישיבות הדירקטוריון דירקטורים שפג מינויים עד שתתקבל החלטה בעניין חידוש מינויים. בתקופה זו מנועים הדירקטורים לשעבר מלהשתתף בהצבעות והם בחזקת משקיפים בלבד.</w:t>
      </w:r>
    </w:p>
    <w:p>
      <w:pPr>
        <w:pStyle w:val="3"/>
        <w:spacing w:line="240" w:lineRule="auto"/>
        <w:ind w:left="0" w:right="0"/>
        <w:jc w:val="left"/>
        <w:rPr>
          <w:rFonts w:hint="cs"/>
          <w:rtl/>
        </w:rPr>
      </w:pPr>
      <w:r>
        <w:rPr>
          <w:rtl/>
        </w:rPr>
        <w:br w:type="page"/>
      </w:r>
      <w:r>
        <w:rPr>
          <w:rFonts w:hint="cs"/>
          <w:rtl/>
        </w:rPr>
        <w:t>עיכוב במינוי יו"ר דירקטוריון</w:t>
      </w:r>
    </w:p>
    <w:p>
      <w:pPr>
        <w:spacing w:before="240" w:line="240" w:lineRule="auto"/>
        <w:ind w:left="0" w:right="0"/>
        <w:jc w:val="both"/>
        <w:rPr>
          <w:rFonts w:hint="cs"/>
          <w:rtl/>
        </w:rPr>
      </w:pPr>
      <w:r>
        <w:rPr>
          <w:rFonts w:hint="cs"/>
          <w:rtl/>
        </w:rPr>
        <w:t>באוגוסט 1988 ביקש מנכ"ל כי"ל משר האוצר לאשר את החלטות דירקטוריון כי"ל, מפברואר אותה שנה, למנותו דירקטור ויו"ר דירקטוריון במספר חברות בת. מנכ"ל כי"ל עמד בפנייתו על הקשיים שנגרמו בפעולתן של החברות בשל העיכוב באישור המינויים, אך עד לעריכת הביקורת באוקטובר 1988 לא ניתן האישור המבוקש. נמצא שמנכ"ל כי"ל השתתף בישיבות הדירקטוריונים של חברות בת כדירקטור וכיו"ר דירקטוריון בפועל.</w:t>
      </w:r>
    </w:p>
    <w:p>
      <w:pPr>
        <w:spacing w:before="240" w:line="240" w:lineRule="auto"/>
        <w:ind w:left="0" w:right="0"/>
        <w:jc w:val="both"/>
        <w:rPr>
          <w:rFonts w:hint="cs"/>
          <w:rtl/>
        </w:rPr>
      </w:pPr>
      <w:r>
        <w:rPr>
          <w:rFonts w:hint="cs"/>
          <w:rtl/>
        </w:rPr>
        <w:t>דירקטוריון החברה הלאומית לאספקת פחם בע"מ בחר ביוני 1986 בדירקטור לכהונת יו"ר דירקטוריון. דבר המינוי הועבר לרשות וזו המליצה על כך בפני השרים. נמצא שעד סיום הביקורת בדצמבר 1988 לא אושר המינוי, והדירקטור האמור מכהן מאז יוני 1986 כיו"ר דירקטוריון בפועל.</w:t>
      </w:r>
    </w:p>
    <w:p>
      <w:pPr>
        <w:spacing w:before="240" w:line="240" w:lineRule="auto"/>
        <w:ind w:left="0" w:right="0"/>
        <w:jc w:val="both"/>
        <w:rPr>
          <w:rFonts w:hint="cs"/>
          <w:rtl/>
        </w:rPr>
      </w:pPr>
      <w:r>
        <w:rPr>
          <w:rFonts w:hint="cs"/>
          <w:rtl/>
        </w:rPr>
        <w:t xml:space="preserve">לדעת הביקורת, מן הראוי שהשרים יתנו את דעתם לבעיית העיכובים במינוי הדירקטורים ויפעלו לכך, שלא ייווצרו מצבים, שדירקטוריונים אינם יכולים לתפקד מחוסר מנין חוקי. בתגובה על הביקורת הודיעה הרשות למשרד מבקר המדינה, כי בהיותה מודעת לעיכובים במינויי הדירקטורים, היא הפנתה את תשומת לב השרים לכל המקרים של העדר מניין חוקי, אך הפנייה הועילה רק בחלקה. הביקורת סבורה, כי בבעיית העדר מניין חוקי ניתן לטפל בין היתר, על ידי קביעה בחוק, כי הצעות למינוי דירקטורים </w:t>
      </w:r>
      <w:r>
        <w:rPr>
          <w:rFonts w:hint="cs"/>
          <w:u w:val="single"/>
          <w:rtl/>
        </w:rPr>
        <w:t xml:space="preserve">יוגשו שלושה </w:t>
      </w:r>
      <w:r>
        <w:rPr>
          <w:rFonts w:hint="cs"/>
          <w:rtl/>
        </w:rPr>
        <w:t>חודשים לפני תום הכהונה(*).</w:t>
      </w:r>
    </w:p>
    <w:p>
      <w:pPr>
        <w:spacing w:before="240" w:line="240" w:lineRule="auto"/>
        <w:ind w:left="0" w:right="0"/>
        <w:jc w:val="both"/>
        <w:rPr>
          <w:rFonts w:hint="cs"/>
          <w:rtl/>
        </w:rPr>
      </w:pPr>
    </w:p>
    <w:p>
      <w:pPr>
        <w:spacing w:before="240" w:line="240" w:lineRule="auto"/>
        <w:ind w:left="0" w:right="0"/>
        <w:jc w:val="both"/>
        <w:rPr>
          <w:rFonts w:hint="cs"/>
          <w:rtl/>
        </w:rPr>
      </w:pPr>
    </w:p>
    <w:p>
      <w:pPr>
        <w:pStyle w:val="FootnoteText"/>
        <w:spacing w:line="240" w:lineRule="auto"/>
        <w:ind w:left="567" w:right="0"/>
        <w:jc w:val="both"/>
        <w:rPr>
          <w:rFonts w:hint="cs"/>
          <w:rtl/>
        </w:rPr>
      </w:pPr>
      <w:r>
        <w:rPr>
          <w:rFonts w:hint="cs"/>
          <w:rtl/>
        </w:rPr>
        <w:t>----------------</w:t>
      </w:r>
    </w:p>
    <w:p>
      <w:pPr>
        <w:pStyle w:val="FootnoteText"/>
        <w:spacing w:line="240" w:lineRule="auto"/>
        <w:ind w:left="567" w:right="0"/>
        <w:jc w:val="both"/>
        <w:rPr>
          <w:rFonts w:hint="cs"/>
          <w:sz w:val="18"/>
          <w:rtl/>
        </w:rPr>
      </w:pPr>
      <w:r>
        <w:rPr>
          <w:rFonts w:hint="cs"/>
          <w:sz w:val="18"/>
          <w:rtl/>
        </w:rPr>
        <w:t>(*)</w:t>
        <w:tab/>
        <w:t>הצעה זו תואמת את הדגם הכלול בחוק לתיקון פקודת החברות (תיקון מספר 2) התשמ"ח -1987.</w:t>
      </w:r>
    </w:p>
    <w:p>
      <w:pPr>
        <w:pStyle w:val="1"/>
        <w:spacing w:before="100" w:beforeAutospacing="1" w:after="100" w:afterAutospacing="1" w:line="240" w:lineRule="auto"/>
        <w:ind w:left="0" w:right="0"/>
        <w:jc w:val="center"/>
        <w:rPr>
          <w:rFonts w:hint="cs"/>
          <w:rtl/>
        </w:rPr>
      </w:pPr>
      <w:r>
        <w:rPr>
          <w:rtl/>
        </w:rPr>
        <w:br w:type="page"/>
      </w:r>
      <w:r>
        <w:rPr>
          <w:rFonts w:hint="cs"/>
          <w:rtl/>
        </w:rPr>
        <w:t>פוליטיזציה של המינוי(*)</w:t>
      </w:r>
    </w:p>
    <w:p>
      <w:pPr>
        <w:spacing w:before="100" w:beforeAutospacing="1" w:after="100" w:afterAutospacing="1" w:line="240" w:lineRule="auto"/>
        <w:ind w:left="0" w:right="0"/>
        <w:jc w:val="both"/>
        <w:rPr>
          <w:rFonts w:hint="cs"/>
          <w:rtl/>
        </w:rPr>
      </w:pPr>
      <w:r>
        <w:rPr>
          <w:rFonts w:hint="cs"/>
          <w:rtl/>
        </w:rPr>
        <w:t>מפרקי הדין וחשבון עד כה עולה, כי בחלק ניכר מהליקויים שנתגלו בתהליך מינוי דירקטורים היו המועמדים, שבמינויים נתגלה הליקוי. חברי מרכז מפלגתו של השר האחראי על החברה.</w:t>
      </w:r>
    </w:p>
    <w:p>
      <w:pPr>
        <w:spacing w:before="240" w:line="240" w:lineRule="auto"/>
        <w:ind w:left="0" w:right="0"/>
        <w:jc w:val="both"/>
        <w:rPr>
          <w:rFonts w:hint="cs"/>
          <w:rtl/>
        </w:rPr>
      </w:pPr>
      <w:r>
        <w:rPr>
          <w:rFonts w:hint="cs"/>
          <w:rtl/>
        </w:rPr>
        <w:t>על רקע ממצא זה בדק משרד מבקר המדינה את ההיבט הכמותי של תופעת מינוי דירקטורים מבין חברי מרכזי המפלגות. הבדיקה התייחסה לדירקטורים מטעם המדינה, למעט עובדי המדינה ועובדי החברות, (להלן: אישי הציבור). בחברות הממשלתיות בתקופה 1.1.86 - 15.12.88, כלומר עד כניסת הממשלה הנוכחית לתפקידה. הבדיקה העלתה, שמרבית אישי הציבור, שמינו השרים האחראים בתקופה זו כדירקטורים, היו חברי מרכז של המפלגות העיקריות שהשתתפו בממשלה. לעתים מונה איש ציבור אחד כדירקטור במספר חברות. הביקורת לא בדקה את זיקתם הפוליטית של הדירקטורים אישי ציבור שלא נמצא שהם חברי מרכזי מפלגות.</w:t>
      </w:r>
    </w:p>
    <w:p>
      <w:pPr>
        <w:spacing w:before="240" w:line="240" w:lineRule="auto"/>
        <w:ind w:left="0" w:right="0"/>
        <w:jc w:val="both"/>
        <w:rPr>
          <w:rtl/>
        </w:rPr>
      </w:pPr>
      <w:r>
        <w:rPr>
          <w:rFonts w:hint="cs"/>
          <w:rtl/>
        </w:rPr>
        <w:t>להלן טבלאות המראות את התפלגות המינויים בתקופה דלעיל על פי השתייכותם של אישי ציבור למרכזי המפלגות העיקריות לפי משרדי הממשלה האחראים לפעילות החברות:</w:t>
      </w: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pStyle w:val="FootnoteText"/>
        <w:spacing w:line="240" w:lineRule="auto"/>
        <w:ind w:left="567" w:right="0"/>
        <w:jc w:val="both"/>
        <w:rPr>
          <w:rFonts w:hint="cs"/>
          <w:rtl/>
        </w:rPr>
      </w:pPr>
      <w:r>
        <w:rPr>
          <w:rFonts w:hint="cs"/>
          <w:rtl/>
        </w:rPr>
        <w:t>-----------------</w:t>
      </w:r>
    </w:p>
    <w:p>
      <w:pPr>
        <w:pStyle w:val="FootnoteText"/>
        <w:spacing w:line="240" w:lineRule="auto"/>
        <w:ind w:left="567" w:right="0"/>
        <w:jc w:val="both"/>
        <w:rPr>
          <w:rFonts w:hint="cs"/>
          <w:sz w:val="18"/>
          <w:rtl/>
        </w:rPr>
      </w:pPr>
      <w:r>
        <w:rPr>
          <w:rFonts w:hint="cs"/>
          <w:sz w:val="18"/>
          <w:rtl/>
        </w:rPr>
        <w:t>(*)</w:t>
        <w:tab/>
        <w:t xml:space="preserve">ראה גם פרק מינויים פוליטיים בדוח שנתי 39, עמ' 627. </w:t>
      </w:r>
    </w:p>
    <w:p>
      <w:pPr>
        <w:spacing w:before="240" w:line="240" w:lineRule="auto"/>
        <w:ind w:left="0" w:right="0"/>
        <w:jc w:val="both"/>
        <w:rPr>
          <w:rFonts w:hint="cs"/>
          <w:sz w:val="20"/>
          <w:szCs w:val="20"/>
          <w:u w:val="single"/>
          <w:rtl/>
        </w:rPr>
      </w:pPr>
      <w:r>
        <w:rPr>
          <w:rtl/>
        </w:rPr>
        <w:br w:type="page"/>
      </w:r>
      <w:r>
        <w:rPr>
          <w:rFonts w:hint="cs"/>
          <w:sz w:val="20"/>
          <w:szCs w:val="20"/>
          <w:u w:val="single"/>
          <w:rtl/>
        </w:rPr>
        <w:t>משרד</w:t>
      </w:r>
      <w:r>
        <w:rPr>
          <w:rFonts w:hint="cs"/>
          <w:sz w:val="20"/>
          <w:szCs w:val="20"/>
          <w:rtl/>
        </w:rPr>
        <w:tab/>
        <w:tab/>
        <w:tab/>
        <w:tab/>
      </w:r>
      <w:r>
        <w:rPr>
          <w:rFonts w:hint="cs"/>
          <w:sz w:val="20"/>
          <w:szCs w:val="20"/>
          <w:u w:val="single"/>
          <w:rtl/>
        </w:rPr>
        <w:t>מינויים</w:t>
        <w:tab/>
        <w:tab/>
        <w:tab/>
        <w:tab/>
        <w:t>תקפים</w:t>
        <w:tab/>
        <w:tab/>
        <w:tab/>
        <w:t>ב-15.12.88</w:t>
      </w:r>
    </w:p>
    <w:tbl>
      <w:tblPr>
        <w:tblW w:w="0" w:type="auto"/>
        <w:jc w:val="right"/>
        <w:tblInd w:w="0" w:type="dxa"/>
        <w:tblBorders>
          <w:top w:val="single" w:sz="4" w:space="0" w:color="auto"/>
          <w:left w:val="nil"/>
          <w:bottom w:val="nil"/>
          <w:right w:val="nil"/>
          <w:insideH w:val="nil"/>
          <w:insideV w:val="single" w:sz="4" w:space="0" w:color="auto"/>
        </w:tblBorders>
        <w:tblCellMar>
          <w:left w:w="108" w:type="dxa"/>
          <w:right w:w="108" w:type="dxa"/>
        </w:tblCellMar>
        <w:tblLook w:val="0000"/>
      </w:tblPr>
      <w:tblGrid>
        <w:gridCol w:w="1688"/>
        <w:gridCol w:w="1372"/>
        <w:gridCol w:w="1440"/>
        <w:gridCol w:w="1728"/>
        <w:gridCol w:w="2208"/>
      </w:tblGrid>
      <w:tr>
        <w:tblPrEx>
          <w:tblW w:w="0" w:type="auto"/>
          <w:jc w:val="right"/>
          <w:tblInd w:w="0" w:type="dxa"/>
          <w:tblBorders>
            <w:top w:val="single" w:sz="4" w:space="0" w:color="auto"/>
            <w:left w:val="nil"/>
            <w:bottom w:val="nil"/>
            <w:right w:val="nil"/>
            <w:insideH w:val="nil"/>
            <w:insideV w:val="single" w:sz="4" w:space="0" w:color="auto"/>
          </w:tblBorders>
          <w:tblCellMar>
            <w:left w:w="108" w:type="dxa"/>
            <w:right w:w="108" w:type="dxa"/>
          </w:tblCellMar>
          <w:tblLook w:val="0000"/>
        </w:tblPrEx>
        <w:trPr>
          <w:jc w:val="right"/>
        </w:trPr>
        <w:tc>
          <w:tcPr>
            <w:tcW w:w="1688" w:type="dxa"/>
            <w:tcBorders>
              <w:top w:val="single" w:sz="4" w:space="0" w:color="auto"/>
              <w:bottom w:val="dashed" w:sz="4" w:space="0" w:color="auto"/>
            </w:tcBorders>
          </w:tcPr>
          <w:p>
            <w:pPr>
              <w:spacing w:before="240" w:line="240" w:lineRule="auto"/>
              <w:ind w:left="0" w:right="0"/>
              <w:jc w:val="both"/>
              <w:rPr>
                <w:rFonts w:hint="cs"/>
                <w:sz w:val="20"/>
                <w:szCs w:val="20"/>
              </w:rPr>
            </w:pPr>
            <w:r>
              <w:rPr>
                <w:rFonts w:hint="cs"/>
                <w:sz w:val="20"/>
                <w:szCs w:val="20"/>
                <w:rtl/>
              </w:rPr>
              <w:t>ס"ה</w:t>
            </w:r>
          </w:p>
        </w:tc>
        <w:tc>
          <w:tcPr>
            <w:tcW w:w="1372" w:type="dxa"/>
            <w:tcBorders>
              <w:top w:val="single" w:sz="4" w:space="0" w:color="auto"/>
              <w:bottom w:val="dashed" w:sz="4" w:space="0" w:color="auto"/>
            </w:tcBorders>
          </w:tcPr>
          <w:p>
            <w:pPr>
              <w:spacing w:before="240" w:line="240" w:lineRule="auto"/>
              <w:ind w:left="0" w:right="0"/>
              <w:jc w:val="both"/>
              <w:rPr>
                <w:rFonts w:hint="cs"/>
                <w:sz w:val="20"/>
                <w:szCs w:val="20"/>
              </w:rPr>
            </w:pPr>
            <w:r>
              <w:rPr>
                <w:rFonts w:hint="cs"/>
                <w:sz w:val="20"/>
                <w:szCs w:val="20"/>
                <w:rtl/>
              </w:rPr>
              <w:t>אישי ציבור</w:t>
            </w:r>
          </w:p>
        </w:tc>
        <w:tc>
          <w:tcPr>
            <w:tcW w:w="1440" w:type="dxa"/>
            <w:tcBorders>
              <w:top w:val="single" w:sz="4" w:space="0" w:color="auto"/>
              <w:bottom w:val="dashed" w:sz="4" w:space="0" w:color="auto"/>
            </w:tcBorders>
          </w:tcPr>
          <w:p>
            <w:pPr>
              <w:spacing w:before="240" w:line="240" w:lineRule="auto"/>
              <w:ind w:left="0" w:right="0"/>
              <w:jc w:val="both"/>
              <w:rPr>
                <w:rFonts w:hint="cs"/>
                <w:sz w:val="20"/>
                <w:szCs w:val="20"/>
              </w:rPr>
            </w:pPr>
            <w:r>
              <w:rPr>
                <w:rFonts w:hint="cs"/>
                <w:sz w:val="20"/>
                <w:szCs w:val="20"/>
                <w:rtl/>
              </w:rPr>
              <w:t>עובדי חברות</w:t>
            </w:r>
          </w:p>
        </w:tc>
        <w:tc>
          <w:tcPr>
            <w:tcW w:w="1728" w:type="dxa"/>
            <w:tcBorders>
              <w:top w:val="single" w:sz="4" w:space="0" w:color="auto"/>
              <w:bottom w:val="dashed" w:sz="4" w:space="0" w:color="auto"/>
            </w:tcBorders>
          </w:tcPr>
          <w:p>
            <w:pPr>
              <w:spacing w:before="240" w:line="240" w:lineRule="auto"/>
              <w:ind w:left="0" w:right="0"/>
              <w:jc w:val="both"/>
              <w:rPr>
                <w:rFonts w:hint="cs"/>
                <w:sz w:val="20"/>
                <w:szCs w:val="20"/>
                <w:rtl/>
              </w:rPr>
            </w:pPr>
            <w:r>
              <w:rPr>
                <w:rFonts w:hint="cs"/>
                <w:sz w:val="20"/>
                <w:szCs w:val="20"/>
                <w:rtl/>
              </w:rPr>
              <w:t>עובדי מדינה</w:t>
            </w:r>
          </w:p>
          <w:p>
            <w:pPr>
              <w:spacing w:before="240" w:line="240" w:lineRule="auto"/>
              <w:ind w:left="0" w:right="0"/>
              <w:jc w:val="both"/>
              <w:rPr>
                <w:rFonts w:hint="cs"/>
                <w:sz w:val="20"/>
                <w:szCs w:val="20"/>
              </w:rPr>
            </w:pPr>
            <w:r>
              <w:rPr>
                <w:rFonts w:hint="cs"/>
                <w:sz w:val="20"/>
                <w:szCs w:val="20"/>
                <w:rtl/>
              </w:rPr>
              <w:t>וחברות</w:t>
            </w:r>
          </w:p>
        </w:tc>
        <w:tc>
          <w:tcPr>
            <w:tcW w:w="2208" w:type="dxa"/>
          </w:tcPr>
          <w:p>
            <w:pPr>
              <w:spacing w:before="240" w:line="240" w:lineRule="auto"/>
              <w:ind w:left="0" w:right="0"/>
              <w:jc w:val="both"/>
              <w:rPr>
                <w:rFonts w:hint="cs"/>
                <w:sz w:val="20"/>
                <w:szCs w:val="20"/>
              </w:rPr>
            </w:pPr>
          </w:p>
        </w:tc>
      </w:tr>
      <w:tr>
        <w:tblPrEx>
          <w:tblW w:w="0" w:type="auto"/>
          <w:jc w:val="right"/>
          <w:tblInd w:w="0" w:type="dxa"/>
          <w:tblCellMar>
            <w:left w:w="108" w:type="dxa"/>
            <w:right w:w="108" w:type="dxa"/>
          </w:tblCellMar>
          <w:tblLook w:val="0000"/>
        </w:tblPrEx>
        <w:trPr>
          <w:jc w:val="right"/>
        </w:trPr>
        <w:tc>
          <w:tcPr>
            <w:tcW w:w="1688" w:type="dxa"/>
            <w:tcBorders>
              <w:top w:val="dashed" w:sz="4" w:space="0" w:color="auto"/>
            </w:tcBorders>
          </w:tcPr>
          <w:p>
            <w:pPr>
              <w:spacing w:before="240" w:line="240" w:lineRule="auto"/>
              <w:ind w:left="0" w:right="0"/>
              <w:jc w:val="both"/>
              <w:rPr>
                <w:rFonts w:hint="cs"/>
                <w:sz w:val="20"/>
                <w:szCs w:val="20"/>
              </w:rPr>
            </w:pPr>
            <w:r>
              <w:rPr>
                <w:rFonts w:hint="cs"/>
                <w:sz w:val="20"/>
                <w:szCs w:val="20"/>
                <w:rtl/>
              </w:rPr>
              <w:t>258</w:t>
            </w:r>
          </w:p>
        </w:tc>
        <w:tc>
          <w:tcPr>
            <w:tcW w:w="1372" w:type="dxa"/>
            <w:tcBorders>
              <w:top w:val="dashed" w:sz="4" w:space="0" w:color="auto"/>
            </w:tcBorders>
          </w:tcPr>
          <w:p>
            <w:pPr>
              <w:spacing w:before="240" w:line="240" w:lineRule="auto"/>
              <w:ind w:left="0" w:right="0"/>
              <w:jc w:val="both"/>
              <w:rPr>
                <w:rFonts w:hint="cs"/>
                <w:sz w:val="20"/>
                <w:szCs w:val="20"/>
              </w:rPr>
            </w:pPr>
            <w:r>
              <w:rPr>
                <w:rFonts w:hint="cs"/>
                <w:sz w:val="20"/>
                <w:szCs w:val="20"/>
                <w:rtl/>
              </w:rPr>
              <w:t>137</w:t>
            </w:r>
          </w:p>
        </w:tc>
        <w:tc>
          <w:tcPr>
            <w:tcW w:w="1440" w:type="dxa"/>
            <w:tcBorders>
              <w:top w:val="dashed" w:sz="4" w:space="0" w:color="auto"/>
            </w:tcBorders>
          </w:tcPr>
          <w:p>
            <w:pPr>
              <w:spacing w:before="240" w:line="240" w:lineRule="auto"/>
              <w:ind w:left="0" w:right="0"/>
              <w:jc w:val="both"/>
              <w:rPr>
                <w:rFonts w:hint="cs"/>
                <w:sz w:val="20"/>
                <w:szCs w:val="20"/>
              </w:rPr>
            </w:pPr>
            <w:r>
              <w:rPr>
                <w:rFonts w:hint="cs"/>
                <w:sz w:val="20"/>
                <w:szCs w:val="20"/>
                <w:rtl/>
              </w:rPr>
              <w:t>61</w:t>
            </w:r>
          </w:p>
        </w:tc>
        <w:tc>
          <w:tcPr>
            <w:tcW w:w="1728" w:type="dxa"/>
            <w:tcBorders>
              <w:top w:val="dashed" w:sz="4" w:space="0" w:color="auto"/>
            </w:tcBorders>
          </w:tcPr>
          <w:p>
            <w:pPr>
              <w:spacing w:before="240" w:line="240" w:lineRule="auto"/>
              <w:ind w:left="0" w:right="0"/>
              <w:jc w:val="both"/>
              <w:rPr>
                <w:rFonts w:hint="cs"/>
                <w:sz w:val="20"/>
                <w:szCs w:val="20"/>
              </w:rPr>
            </w:pPr>
            <w:r>
              <w:rPr>
                <w:rFonts w:hint="cs"/>
                <w:sz w:val="20"/>
                <w:szCs w:val="20"/>
                <w:rtl/>
              </w:rPr>
              <w:t>60</w:t>
            </w:r>
          </w:p>
        </w:tc>
        <w:tc>
          <w:tcPr>
            <w:tcW w:w="2208" w:type="dxa"/>
          </w:tcPr>
          <w:p>
            <w:pPr>
              <w:spacing w:before="240" w:line="240" w:lineRule="auto"/>
              <w:ind w:left="0" w:right="0"/>
              <w:jc w:val="both"/>
              <w:rPr>
                <w:rFonts w:hint="cs"/>
                <w:sz w:val="20"/>
                <w:szCs w:val="20"/>
              </w:rPr>
            </w:pPr>
            <w:r>
              <w:rPr>
                <w:rFonts w:hint="cs"/>
                <w:sz w:val="20"/>
                <w:szCs w:val="20"/>
                <w:rtl/>
              </w:rPr>
              <w:t>התעשיה והמסחר</w:t>
            </w:r>
          </w:p>
        </w:tc>
      </w:tr>
      <w:tr>
        <w:tblPrEx>
          <w:tblW w:w="0" w:type="auto"/>
          <w:jc w:val="right"/>
          <w:tblInd w:w="0" w:type="dxa"/>
          <w:tblCellMar>
            <w:left w:w="108" w:type="dxa"/>
            <w:right w:w="108" w:type="dxa"/>
          </w:tblCellMar>
          <w:tblLook w:val="0000"/>
        </w:tblPrEx>
        <w:trPr>
          <w:jc w:val="right"/>
        </w:trPr>
        <w:tc>
          <w:tcPr>
            <w:tcW w:w="1688" w:type="dxa"/>
          </w:tcPr>
          <w:p>
            <w:pPr>
              <w:spacing w:before="240" w:line="240" w:lineRule="auto"/>
              <w:ind w:left="0" w:right="0"/>
              <w:jc w:val="both"/>
              <w:rPr>
                <w:rFonts w:hint="cs"/>
                <w:sz w:val="20"/>
                <w:szCs w:val="20"/>
                <w:rtl/>
              </w:rPr>
            </w:pPr>
            <w:r>
              <w:rPr>
                <w:rFonts w:hint="cs"/>
                <w:sz w:val="20"/>
                <w:szCs w:val="20"/>
                <w:rtl/>
              </w:rPr>
              <w:t>133</w:t>
            </w:r>
          </w:p>
        </w:tc>
        <w:tc>
          <w:tcPr>
            <w:tcW w:w="1372" w:type="dxa"/>
          </w:tcPr>
          <w:p>
            <w:pPr>
              <w:spacing w:before="240" w:line="240" w:lineRule="auto"/>
              <w:ind w:left="0" w:right="0"/>
              <w:jc w:val="both"/>
              <w:rPr>
                <w:rFonts w:hint="cs"/>
                <w:sz w:val="20"/>
                <w:szCs w:val="20"/>
                <w:rtl/>
              </w:rPr>
            </w:pPr>
            <w:r>
              <w:rPr>
                <w:rFonts w:hint="cs"/>
                <w:sz w:val="20"/>
                <w:szCs w:val="20"/>
                <w:rtl/>
              </w:rPr>
              <w:t>67</w:t>
            </w:r>
          </w:p>
        </w:tc>
        <w:tc>
          <w:tcPr>
            <w:tcW w:w="1440" w:type="dxa"/>
          </w:tcPr>
          <w:p>
            <w:pPr>
              <w:spacing w:before="240" w:line="240" w:lineRule="auto"/>
              <w:ind w:left="0" w:right="0"/>
              <w:jc w:val="both"/>
              <w:rPr>
                <w:rFonts w:hint="cs"/>
                <w:sz w:val="20"/>
                <w:szCs w:val="20"/>
                <w:rtl/>
              </w:rPr>
            </w:pPr>
            <w:r>
              <w:rPr>
                <w:rFonts w:hint="cs"/>
                <w:sz w:val="20"/>
                <w:szCs w:val="20"/>
                <w:rtl/>
              </w:rPr>
              <w:t>-</w:t>
            </w:r>
          </w:p>
        </w:tc>
        <w:tc>
          <w:tcPr>
            <w:tcW w:w="1728" w:type="dxa"/>
          </w:tcPr>
          <w:p>
            <w:pPr>
              <w:spacing w:before="240" w:line="240" w:lineRule="auto"/>
              <w:ind w:left="0" w:right="0"/>
              <w:jc w:val="both"/>
              <w:rPr>
                <w:rFonts w:hint="cs"/>
                <w:sz w:val="20"/>
                <w:szCs w:val="20"/>
                <w:rtl/>
              </w:rPr>
            </w:pPr>
            <w:r>
              <w:rPr>
                <w:rFonts w:hint="cs"/>
                <w:sz w:val="20"/>
                <w:szCs w:val="20"/>
                <w:rtl/>
              </w:rPr>
              <w:t>66</w:t>
            </w:r>
          </w:p>
        </w:tc>
        <w:tc>
          <w:tcPr>
            <w:tcW w:w="2208" w:type="dxa"/>
          </w:tcPr>
          <w:p>
            <w:pPr>
              <w:spacing w:before="240" w:line="240" w:lineRule="auto"/>
              <w:ind w:left="0" w:right="0"/>
              <w:jc w:val="both"/>
              <w:rPr>
                <w:rFonts w:hint="cs"/>
                <w:sz w:val="20"/>
                <w:szCs w:val="20"/>
                <w:rtl/>
              </w:rPr>
            </w:pPr>
            <w:r>
              <w:rPr>
                <w:rFonts w:hint="cs"/>
                <w:sz w:val="20"/>
                <w:szCs w:val="20"/>
                <w:rtl/>
              </w:rPr>
              <w:t>הבינוי והשיכון</w:t>
            </w:r>
          </w:p>
        </w:tc>
      </w:tr>
      <w:tr>
        <w:tblPrEx>
          <w:tblW w:w="0" w:type="auto"/>
          <w:jc w:val="right"/>
          <w:tblInd w:w="0" w:type="dxa"/>
          <w:tblCellMar>
            <w:left w:w="108" w:type="dxa"/>
            <w:right w:w="108" w:type="dxa"/>
          </w:tblCellMar>
          <w:tblLook w:val="0000"/>
        </w:tblPrEx>
        <w:trPr>
          <w:jc w:val="right"/>
        </w:trPr>
        <w:tc>
          <w:tcPr>
            <w:tcW w:w="1688" w:type="dxa"/>
          </w:tcPr>
          <w:p>
            <w:pPr>
              <w:spacing w:before="240" w:line="240" w:lineRule="auto"/>
              <w:ind w:left="0" w:right="0"/>
              <w:jc w:val="both"/>
              <w:rPr>
                <w:rFonts w:hint="cs"/>
                <w:sz w:val="20"/>
                <w:szCs w:val="20"/>
                <w:rtl/>
              </w:rPr>
            </w:pPr>
            <w:r>
              <w:rPr>
                <w:rFonts w:hint="cs"/>
                <w:sz w:val="20"/>
                <w:szCs w:val="20"/>
                <w:rtl/>
              </w:rPr>
              <w:t>70</w:t>
            </w:r>
          </w:p>
        </w:tc>
        <w:tc>
          <w:tcPr>
            <w:tcW w:w="1372" w:type="dxa"/>
          </w:tcPr>
          <w:p>
            <w:pPr>
              <w:spacing w:before="240" w:line="240" w:lineRule="auto"/>
              <w:ind w:left="0" w:right="0"/>
              <w:jc w:val="both"/>
              <w:rPr>
                <w:rFonts w:hint="cs"/>
                <w:sz w:val="20"/>
                <w:szCs w:val="20"/>
                <w:rtl/>
              </w:rPr>
            </w:pPr>
            <w:r>
              <w:rPr>
                <w:rFonts w:hint="cs"/>
                <w:sz w:val="20"/>
                <w:szCs w:val="20"/>
                <w:rtl/>
              </w:rPr>
              <w:t>38</w:t>
            </w:r>
          </w:p>
        </w:tc>
        <w:tc>
          <w:tcPr>
            <w:tcW w:w="1440" w:type="dxa"/>
          </w:tcPr>
          <w:p>
            <w:pPr>
              <w:spacing w:before="240" w:line="240" w:lineRule="auto"/>
              <w:ind w:left="0" w:right="0"/>
              <w:jc w:val="both"/>
              <w:rPr>
                <w:rFonts w:hint="cs"/>
                <w:sz w:val="20"/>
                <w:szCs w:val="20"/>
                <w:rtl/>
              </w:rPr>
            </w:pPr>
            <w:r>
              <w:rPr>
                <w:rFonts w:hint="cs"/>
                <w:sz w:val="20"/>
                <w:szCs w:val="20"/>
                <w:rtl/>
              </w:rPr>
              <w:t>8</w:t>
            </w:r>
          </w:p>
        </w:tc>
        <w:tc>
          <w:tcPr>
            <w:tcW w:w="1728" w:type="dxa"/>
          </w:tcPr>
          <w:p>
            <w:pPr>
              <w:spacing w:before="240" w:line="240" w:lineRule="auto"/>
              <w:ind w:left="0" w:right="0"/>
              <w:jc w:val="both"/>
              <w:rPr>
                <w:rFonts w:hint="cs"/>
                <w:sz w:val="20"/>
                <w:szCs w:val="20"/>
                <w:rtl/>
              </w:rPr>
            </w:pPr>
            <w:r>
              <w:rPr>
                <w:rFonts w:hint="cs"/>
                <w:sz w:val="20"/>
                <w:szCs w:val="20"/>
                <w:rtl/>
              </w:rPr>
              <w:t>24</w:t>
            </w:r>
          </w:p>
        </w:tc>
        <w:tc>
          <w:tcPr>
            <w:tcW w:w="2208" w:type="dxa"/>
          </w:tcPr>
          <w:p>
            <w:pPr>
              <w:spacing w:before="240" w:line="240" w:lineRule="auto"/>
              <w:ind w:left="0" w:right="0"/>
              <w:jc w:val="both"/>
              <w:rPr>
                <w:rFonts w:hint="cs"/>
                <w:sz w:val="20"/>
                <w:szCs w:val="20"/>
                <w:rtl/>
              </w:rPr>
            </w:pPr>
            <w:r>
              <w:rPr>
                <w:rFonts w:hint="cs"/>
                <w:sz w:val="20"/>
                <w:szCs w:val="20"/>
                <w:rtl/>
              </w:rPr>
              <w:t>תחבורה</w:t>
            </w:r>
          </w:p>
        </w:tc>
      </w:tr>
      <w:tr>
        <w:tblPrEx>
          <w:tblW w:w="0" w:type="auto"/>
          <w:jc w:val="right"/>
          <w:tblInd w:w="0" w:type="dxa"/>
          <w:tblCellMar>
            <w:left w:w="108" w:type="dxa"/>
            <w:right w:w="108" w:type="dxa"/>
          </w:tblCellMar>
          <w:tblLook w:val="0000"/>
        </w:tblPrEx>
        <w:trPr>
          <w:jc w:val="right"/>
        </w:trPr>
        <w:tc>
          <w:tcPr>
            <w:tcW w:w="1688" w:type="dxa"/>
          </w:tcPr>
          <w:p>
            <w:pPr>
              <w:spacing w:before="240" w:line="240" w:lineRule="auto"/>
              <w:ind w:left="0" w:right="0"/>
              <w:jc w:val="both"/>
              <w:rPr>
                <w:rFonts w:hint="cs"/>
                <w:sz w:val="20"/>
                <w:szCs w:val="20"/>
                <w:rtl/>
              </w:rPr>
            </w:pPr>
            <w:r>
              <w:rPr>
                <w:rFonts w:hint="cs"/>
                <w:sz w:val="20"/>
                <w:szCs w:val="20"/>
                <w:rtl/>
              </w:rPr>
              <w:t>140</w:t>
            </w:r>
          </w:p>
        </w:tc>
        <w:tc>
          <w:tcPr>
            <w:tcW w:w="1372" w:type="dxa"/>
          </w:tcPr>
          <w:p>
            <w:pPr>
              <w:spacing w:before="240" w:line="240" w:lineRule="auto"/>
              <w:ind w:left="0" w:right="0"/>
              <w:jc w:val="both"/>
              <w:rPr>
                <w:rFonts w:hint="cs"/>
                <w:sz w:val="20"/>
                <w:szCs w:val="20"/>
                <w:rtl/>
              </w:rPr>
            </w:pPr>
            <w:r>
              <w:rPr>
                <w:rFonts w:hint="cs"/>
                <w:sz w:val="20"/>
                <w:szCs w:val="20"/>
                <w:rtl/>
              </w:rPr>
              <w:t>99</w:t>
            </w:r>
          </w:p>
        </w:tc>
        <w:tc>
          <w:tcPr>
            <w:tcW w:w="1440" w:type="dxa"/>
          </w:tcPr>
          <w:p>
            <w:pPr>
              <w:spacing w:before="240" w:line="240" w:lineRule="auto"/>
              <w:ind w:left="0" w:right="0"/>
              <w:jc w:val="both"/>
              <w:rPr>
                <w:rFonts w:hint="cs"/>
                <w:sz w:val="20"/>
                <w:szCs w:val="20"/>
                <w:rtl/>
              </w:rPr>
            </w:pPr>
            <w:r>
              <w:rPr>
                <w:rFonts w:hint="cs"/>
                <w:sz w:val="20"/>
                <w:szCs w:val="20"/>
                <w:rtl/>
              </w:rPr>
              <w:t>10</w:t>
            </w:r>
          </w:p>
        </w:tc>
        <w:tc>
          <w:tcPr>
            <w:tcW w:w="1728" w:type="dxa"/>
          </w:tcPr>
          <w:p>
            <w:pPr>
              <w:spacing w:before="240" w:line="240" w:lineRule="auto"/>
              <w:ind w:left="0" w:right="0"/>
              <w:jc w:val="both"/>
              <w:rPr>
                <w:rFonts w:hint="cs"/>
                <w:sz w:val="20"/>
                <w:szCs w:val="20"/>
                <w:rtl/>
              </w:rPr>
            </w:pPr>
            <w:r>
              <w:rPr>
                <w:rFonts w:hint="cs"/>
                <w:sz w:val="20"/>
                <w:szCs w:val="20"/>
                <w:rtl/>
              </w:rPr>
              <w:t>31</w:t>
            </w:r>
          </w:p>
        </w:tc>
        <w:tc>
          <w:tcPr>
            <w:tcW w:w="2208" w:type="dxa"/>
          </w:tcPr>
          <w:p>
            <w:pPr>
              <w:spacing w:before="240" w:line="240" w:lineRule="auto"/>
              <w:ind w:left="0" w:right="0"/>
              <w:jc w:val="both"/>
              <w:rPr>
                <w:rFonts w:hint="cs"/>
                <w:sz w:val="20"/>
                <w:szCs w:val="20"/>
                <w:rtl/>
              </w:rPr>
            </w:pPr>
            <w:r>
              <w:rPr>
                <w:rFonts w:hint="cs"/>
                <w:sz w:val="20"/>
                <w:szCs w:val="20"/>
                <w:rtl/>
              </w:rPr>
              <w:t>אנרגיה ותשתית</w:t>
            </w:r>
          </w:p>
        </w:tc>
      </w:tr>
      <w:tr>
        <w:tblPrEx>
          <w:tblW w:w="0" w:type="auto"/>
          <w:jc w:val="right"/>
          <w:tblInd w:w="0" w:type="dxa"/>
          <w:tblCellMar>
            <w:left w:w="108" w:type="dxa"/>
            <w:right w:w="108" w:type="dxa"/>
          </w:tblCellMar>
          <w:tblLook w:val="0000"/>
        </w:tblPrEx>
        <w:trPr>
          <w:jc w:val="right"/>
        </w:trPr>
        <w:tc>
          <w:tcPr>
            <w:tcW w:w="1688" w:type="dxa"/>
          </w:tcPr>
          <w:p>
            <w:pPr>
              <w:spacing w:before="240" w:line="240" w:lineRule="auto"/>
              <w:ind w:left="0" w:right="0"/>
              <w:jc w:val="both"/>
              <w:rPr>
                <w:rFonts w:hint="cs"/>
                <w:sz w:val="20"/>
                <w:szCs w:val="20"/>
                <w:rtl/>
              </w:rPr>
            </w:pPr>
            <w:r>
              <w:rPr>
                <w:rFonts w:hint="cs"/>
                <w:sz w:val="20"/>
                <w:szCs w:val="20"/>
                <w:rtl/>
              </w:rPr>
              <w:t>104</w:t>
            </w:r>
          </w:p>
        </w:tc>
        <w:tc>
          <w:tcPr>
            <w:tcW w:w="1372" w:type="dxa"/>
          </w:tcPr>
          <w:p>
            <w:pPr>
              <w:spacing w:before="240" w:line="240" w:lineRule="auto"/>
              <w:ind w:left="0" w:right="0"/>
              <w:jc w:val="both"/>
              <w:rPr>
                <w:rFonts w:hint="cs"/>
                <w:sz w:val="20"/>
                <w:szCs w:val="20"/>
                <w:rtl/>
              </w:rPr>
            </w:pPr>
            <w:r>
              <w:rPr>
                <w:rFonts w:hint="cs"/>
                <w:sz w:val="20"/>
                <w:szCs w:val="20"/>
                <w:rtl/>
              </w:rPr>
              <w:t>57</w:t>
            </w:r>
          </w:p>
        </w:tc>
        <w:tc>
          <w:tcPr>
            <w:tcW w:w="1440" w:type="dxa"/>
          </w:tcPr>
          <w:p>
            <w:pPr>
              <w:spacing w:before="240" w:line="240" w:lineRule="auto"/>
              <w:ind w:left="0" w:right="0"/>
              <w:jc w:val="both"/>
              <w:rPr>
                <w:rFonts w:hint="cs"/>
                <w:sz w:val="20"/>
                <w:szCs w:val="20"/>
                <w:rtl/>
              </w:rPr>
            </w:pPr>
            <w:r>
              <w:rPr>
                <w:rFonts w:hint="cs"/>
                <w:sz w:val="20"/>
                <w:szCs w:val="20"/>
                <w:rtl/>
              </w:rPr>
              <w:t>3</w:t>
            </w:r>
          </w:p>
        </w:tc>
        <w:tc>
          <w:tcPr>
            <w:tcW w:w="1728" w:type="dxa"/>
          </w:tcPr>
          <w:p>
            <w:pPr>
              <w:spacing w:before="240" w:line="240" w:lineRule="auto"/>
              <w:ind w:left="0" w:right="0"/>
              <w:jc w:val="both"/>
              <w:rPr>
                <w:rFonts w:hint="cs"/>
                <w:sz w:val="20"/>
                <w:szCs w:val="20"/>
                <w:rtl/>
              </w:rPr>
            </w:pPr>
            <w:r>
              <w:rPr>
                <w:rFonts w:hint="cs"/>
                <w:sz w:val="20"/>
                <w:szCs w:val="20"/>
                <w:rtl/>
              </w:rPr>
              <w:t>44</w:t>
            </w:r>
          </w:p>
        </w:tc>
        <w:tc>
          <w:tcPr>
            <w:tcW w:w="2208" w:type="dxa"/>
          </w:tcPr>
          <w:p>
            <w:pPr>
              <w:spacing w:before="240" w:line="240" w:lineRule="auto"/>
              <w:ind w:left="0" w:right="0"/>
              <w:jc w:val="both"/>
              <w:rPr>
                <w:rFonts w:hint="cs"/>
                <w:sz w:val="20"/>
                <w:szCs w:val="20"/>
                <w:rtl/>
              </w:rPr>
            </w:pPr>
            <w:r>
              <w:rPr>
                <w:rFonts w:hint="cs"/>
                <w:sz w:val="20"/>
                <w:szCs w:val="20"/>
                <w:rtl/>
              </w:rPr>
              <w:t>אוצר</w:t>
            </w:r>
          </w:p>
        </w:tc>
      </w:tr>
      <w:tr>
        <w:tblPrEx>
          <w:tblW w:w="0" w:type="auto"/>
          <w:jc w:val="right"/>
          <w:tblInd w:w="0" w:type="dxa"/>
          <w:tblCellMar>
            <w:left w:w="108" w:type="dxa"/>
            <w:right w:w="108" w:type="dxa"/>
          </w:tblCellMar>
          <w:tblLook w:val="0000"/>
        </w:tblPrEx>
        <w:trPr>
          <w:jc w:val="right"/>
        </w:trPr>
        <w:tc>
          <w:tcPr>
            <w:tcW w:w="1688" w:type="dxa"/>
          </w:tcPr>
          <w:p>
            <w:pPr>
              <w:spacing w:before="240" w:line="240" w:lineRule="auto"/>
              <w:ind w:left="0" w:right="0"/>
              <w:jc w:val="both"/>
              <w:rPr>
                <w:rFonts w:hint="cs"/>
                <w:sz w:val="20"/>
                <w:szCs w:val="20"/>
                <w:rtl/>
              </w:rPr>
            </w:pPr>
            <w:r>
              <w:rPr>
                <w:rFonts w:hint="cs"/>
                <w:sz w:val="20"/>
                <w:szCs w:val="20"/>
                <w:rtl/>
              </w:rPr>
              <w:t>85</w:t>
            </w:r>
          </w:p>
        </w:tc>
        <w:tc>
          <w:tcPr>
            <w:tcW w:w="1372" w:type="dxa"/>
          </w:tcPr>
          <w:p>
            <w:pPr>
              <w:spacing w:before="240" w:line="240" w:lineRule="auto"/>
              <w:ind w:left="0" w:right="0"/>
              <w:jc w:val="both"/>
              <w:rPr>
                <w:rFonts w:hint="cs"/>
                <w:sz w:val="20"/>
                <w:szCs w:val="20"/>
                <w:rtl/>
              </w:rPr>
            </w:pPr>
            <w:r>
              <w:rPr>
                <w:rFonts w:hint="cs"/>
                <w:sz w:val="20"/>
                <w:szCs w:val="20"/>
                <w:rtl/>
              </w:rPr>
              <w:t>50</w:t>
            </w:r>
          </w:p>
        </w:tc>
        <w:tc>
          <w:tcPr>
            <w:tcW w:w="1440" w:type="dxa"/>
          </w:tcPr>
          <w:p>
            <w:pPr>
              <w:spacing w:before="240" w:line="240" w:lineRule="auto"/>
              <w:ind w:left="0" w:right="0"/>
              <w:jc w:val="both"/>
              <w:rPr>
                <w:rFonts w:hint="cs"/>
                <w:sz w:val="20"/>
                <w:szCs w:val="20"/>
                <w:rtl/>
              </w:rPr>
            </w:pPr>
            <w:r>
              <w:rPr>
                <w:rFonts w:hint="cs"/>
                <w:sz w:val="20"/>
                <w:szCs w:val="20"/>
                <w:rtl/>
              </w:rPr>
              <w:t>-</w:t>
            </w:r>
          </w:p>
        </w:tc>
        <w:tc>
          <w:tcPr>
            <w:tcW w:w="1728" w:type="dxa"/>
          </w:tcPr>
          <w:p>
            <w:pPr>
              <w:spacing w:before="240" w:line="240" w:lineRule="auto"/>
              <w:ind w:left="0" w:right="0"/>
              <w:jc w:val="both"/>
              <w:rPr>
                <w:rFonts w:hint="cs"/>
                <w:sz w:val="20"/>
                <w:szCs w:val="20"/>
                <w:rtl/>
              </w:rPr>
            </w:pPr>
            <w:r>
              <w:rPr>
                <w:rFonts w:hint="cs"/>
                <w:sz w:val="20"/>
                <w:szCs w:val="20"/>
                <w:rtl/>
              </w:rPr>
              <w:t>35</w:t>
            </w:r>
          </w:p>
        </w:tc>
        <w:tc>
          <w:tcPr>
            <w:tcW w:w="2208" w:type="dxa"/>
          </w:tcPr>
          <w:p>
            <w:pPr>
              <w:spacing w:before="240" w:line="240" w:lineRule="auto"/>
              <w:ind w:left="0" w:right="0"/>
              <w:jc w:val="both"/>
              <w:rPr>
                <w:rFonts w:hint="cs"/>
                <w:sz w:val="20"/>
                <w:szCs w:val="20"/>
                <w:rtl/>
              </w:rPr>
            </w:pPr>
            <w:r>
              <w:rPr>
                <w:rFonts w:hint="cs"/>
                <w:sz w:val="20"/>
                <w:szCs w:val="20"/>
                <w:rtl/>
              </w:rPr>
              <w:t>תיירות</w:t>
            </w:r>
          </w:p>
        </w:tc>
      </w:tr>
      <w:tr>
        <w:tblPrEx>
          <w:tblW w:w="0" w:type="auto"/>
          <w:jc w:val="right"/>
          <w:tblInd w:w="0" w:type="dxa"/>
          <w:tblCellMar>
            <w:left w:w="108" w:type="dxa"/>
            <w:right w:w="108" w:type="dxa"/>
          </w:tblCellMar>
          <w:tblLook w:val="0000"/>
        </w:tblPrEx>
        <w:trPr>
          <w:jc w:val="right"/>
        </w:trPr>
        <w:tc>
          <w:tcPr>
            <w:tcW w:w="1688" w:type="dxa"/>
          </w:tcPr>
          <w:p>
            <w:pPr>
              <w:spacing w:before="240" w:line="240" w:lineRule="auto"/>
              <w:ind w:left="0" w:right="0"/>
              <w:jc w:val="both"/>
              <w:rPr>
                <w:rFonts w:hint="cs"/>
                <w:sz w:val="20"/>
                <w:szCs w:val="20"/>
                <w:rtl/>
              </w:rPr>
            </w:pPr>
            <w:r>
              <w:rPr>
                <w:rFonts w:hint="cs"/>
                <w:sz w:val="20"/>
                <w:szCs w:val="20"/>
                <w:rtl/>
              </w:rPr>
              <w:t>92</w:t>
            </w:r>
          </w:p>
        </w:tc>
        <w:tc>
          <w:tcPr>
            <w:tcW w:w="1372" w:type="dxa"/>
          </w:tcPr>
          <w:p>
            <w:pPr>
              <w:spacing w:before="240" w:line="240" w:lineRule="auto"/>
              <w:ind w:left="0" w:right="0"/>
              <w:jc w:val="both"/>
              <w:rPr>
                <w:rFonts w:hint="cs"/>
                <w:sz w:val="20"/>
                <w:szCs w:val="20"/>
                <w:rtl/>
              </w:rPr>
            </w:pPr>
            <w:r>
              <w:rPr>
                <w:rFonts w:hint="cs"/>
                <w:sz w:val="20"/>
                <w:szCs w:val="20"/>
                <w:rtl/>
              </w:rPr>
              <w:t>56</w:t>
            </w:r>
          </w:p>
        </w:tc>
        <w:tc>
          <w:tcPr>
            <w:tcW w:w="1440" w:type="dxa"/>
          </w:tcPr>
          <w:p>
            <w:pPr>
              <w:spacing w:before="240" w:line="240" w:lineRule="auto"/>
              <w:ind w:left="0" w:right="0"/>
              <w:jc w:val="both"/>
              <w:rPr>
                <w:rFonts w:hint="cs"/>
                <w:sz w:val="20"/>
                <w:szCs w:val="20"/>
                <w:rtl/>
              </w:rPr>
            </w:pPr>
            <w:r>
              <w:rPr>
                <w:rFonts w:hint="cs"/>
                <w:sz w:val="20"/>
                <w:szCs w:val="20"/>
                <w:rtl/>
              </w:rPr>
              <w:t>3</w:t>
            </w:r>
          </w:p>
        </w:tc>
        <w:tc>
          <w:tcPr>
            <w:tcW w:w="1728" w:type="dxa"/>
          </w:tcPr>
          <w:p>
            <w:pPr>
              <w:spacing w:before="240" w:line="240" w:lineRule="auto"/>
              <w:ind w:left="0" w:right="0"/>
              <w:jc w:val="both"/>
              <w:rPr>
                <w:rFonts w:hint="cs"/>
                <w:sz w:val="20"/>
                <w:szCs w:val="20"/>
                <w:rtl/>
              </w:rPr>
            </w:pPr>
            <w:r>
              <w:rPr>
                <w:rFonts w:hint="cs"/>
                <w:sz w:val="20"/>
                <w:szCs w:val="20"/>
                <w:rtl/>
              </w:rPr>
              <w:t>33</w:t>
            </w:r>
          </w:p>
        </w:tc>
        <w:tc>
          <w:tcPr>
            <w:tcW w:w="2208" w:type="dxa"/>
          </w:tcPr>
          <w:p>
            <w:pPr>
              <w:spacing w:before="240" w:line="240" w:lineRule="auto"/>
              <w:ind w:left="0" w:right="0"/>
              <w:jc w:val="both"/>
              <w:rPr>
                <w:rFonts w:hint="cs"/>
                <w:sz w:val="20"/>
                <w:szCs w:val="20"/>
                <w:rtl/>
              </w:rPr>
            </w:pPr>
            <w:r>
              <w:rPr>
                <w:rFonts w:hint="cs"/>
                <w:sz w:val="20"/>
                <w:szCs w:val="20"/>
                <w:rtl/>
              </w:rPr>
              <w:t>בטחון</w:t>
            </w:r>
          </w:p>
        </w:tc>
      </w:tr>
      <w:tr>
        <w:tblPrEx>
          <w:tblW w:w="0" w:type="auto"/>
          <w:jc w:val="right"/>
          <w:tblInd w:w="0" w:type="dxa"/>
          <w:tblCellMar>
            <w:left w:w="108" w:type="dxa"/>
            <w:right w:w="108" w:type="dxa"/>
          </w:tblCellMar>
          <w:tblLook w:val="0000"/>
        </w:tblPrEx>
        <w:trPr>
          <w:jc w:val="right"/>
        </w:trPr>
        <w:tc>
          <w:tcPr>
            <w:tcW w:w="1688" w:type="dxa"/>
            <w:tcBorders>
              <w:bottom w:val="dashed" w:sz="4" w:space="0" w:color="auto"/>
            </w:tcBorders>
          </w:tcPr>
          <w:p>
            <w:pPr>
              <w:spacing w:before="240" w:line="240" w:lineRule="auto"/>
              <w:ind w:left="0" w:right="0"/>
              <w:jc w:val="both"/>
              <w:rPr>
                <w:rFonts w:hint="cs"/>
                <w:sz w:val="20"/>
                <w:szCs w:val="20"/>
                <w:rtl/>
              </w:rPr>
            </w:pPr>
            <w:r>
              <w:rPr>
                <w:rFonts w:hint="cs"/>
                <w:sz w:val="20"/>
                <w:szCs w:val="20"/>
                <w:rtl/>
              </w:rPr>
              <w:t>170</w:t>
            </w:r>
          </w:p>
        </w:tc>
        <w:tc>
          <w:tcPr>
            <w:tcW w:w="1372" w:type="dxa"/>
            <w:tcBorders>
              <w:bottom w:val="dashed" w:sz="4" w:space="0" w:color="auto"/>
            </w:tcBorders>
          </w:tcPr>
          <w:p>
            <w:pPr>
              <w:spacing w:before="240" w:line="240" w:lineRule="auto"/>
              <w:ind w:left="0" w:right="0"/>
              <w:jc w:val="both"/>
              <w:rPr>
                <w:rFonts w:hint="cs"/>
                <w:sz w:val="20"/>
                <w:szCs w:val="20"/>
                <w:rtl/>
              </w:rPr>
            </w:pPr>
            <w:r>
              <w:rPr>
                <w:rFonts w:hint="cs"/>
                <w:sz w:val="20"/>
                <w:szCs w:val="20"/>
                <w:rtl/>
              </w:rPr>
              <w:t>69</w:t>
            </w:r>
          </w:p>
        </w:tc>
        <w:tc>
          <w:tcPr>
            <w:tcW w:w="1440" w:type="dxa"/>
            <w:tcBorders>
              <w:bottom w:val="dashed" w:sz="4" w:space="0" w:color="auto"/>
            </w:tcBorders>
          </w:tcPr>
          <w:p>
            <w:pPr>
              <w:spacing w:before="240" w:line="240" w:lineRule="auto"/>
              <w:ind w:left="0" w:right="0"/>
              <w:jc w:val="both"/>
              <w:rPr>
                <w:rFonts w:hint="cs"/>
                <w:sz w:val="20"/>
                <w:szCs w:val="20"/>
                <w:rtl/>
              </w:rPr>
            </w:pPr>
            <w:r>
              <w:rPr>
                <w:rFonts w:hint="cs"/>
                <w:sz w:val="20"/>
                <w:szCs w:val="20"/>
                <w:rtl/>
              </w:rPr>
              <w:t>-</w:t>
            </w:r>
          </w:p>
        </w:tc>
        <w:tc>
          <w:tcPr>
            <w:tcW w:w="1728" w:type="dxa"/>
            <w:tcBorders>
              <w:bottom w:val="dashed" w:sz="4" w:space="0" w:color="auto"/>
            </w:tcBorders>
          </w:tcPr>
          <w:p>
            <w:pPr>
              <w:spacing w:before="240" w:line="240" w:lineRule="auto"/>
              <w:ind w:left="0" w:right="0"/>
              <w:jc w:val="both"/>
              <w:rPr>
                <w:rFonts w:hint="cs"/>
                <w:sz w:val="20"/>
                <w:szCs w:val="20"/>
                <w:rtl/>
              </w:rPr>
            </w:pPr>
            <w:r>
              <w:rPr>
                <w:rFonts w:hint="cs"/>
                <w:sz w:val="20"/>
                <w:szCs w:val="20"/>
                <w:rtl/>
              </w:rPr>
              <w:t>101</w:t>
            </w:r>
          </w:p>
        </w:tc>
        <w:tc>
          <w:tcPr>
            <w:tcW w:w="2208" w:type="dxa"/>
          </w:tcPr>
          <w:p>
            <w:pPr>
              <w:spacing w:before="240" w:line="240" w:lineRule="auto"/>
              <w:ind w:left="0" w:right="0"/>
              <w:jc w:val="both"/>
              <w:rPr>
                <w:rFonts w:hint="cs"/>
                <w:sz w:val="20"/>
                <w:szCs w:val="20"/>
                <w:rtl/>
              </w:rPr>
            </w:pPr>
            <w:r>
              <w:rPr>
                <w:rFonts w:hint="cs"/>
                <w:sz w:val="20"/>
                <w:szCs w:val="20"/>
                <w:rtl/>
              </w:rPr>
              <w:t>שאר המשרדים</w:t>
            </w:r>
          </w:p>
        </w:tc>
      </w:tr>
      <w:tr>
        <w:tblPrEx>
          <w:tblW w:w="0" w:type="auto"/>
          <w:jc w:val="right"/>
          <w:tblInd w:w="0" w:type="dxa"/>
          <w:tblCellMar>
            <w:left w:w="108" w:type="dxa"/>
            <w:right w:w="108" w:type="dxa"/>
          </w:tblCellMar>
          <w:tblLook w:val="0000"/>
        </w:tblPrEx>
        <w:trPr>
          <w:jc w:val="right"/>
        </w:trPr>
        <w:tc>
          <w:tcPr>
            <w:tcW w:w="1688" w:type="dxa"/>
            <w:tcBorders>
              <w:top w:val="dashed" w:sz="4" w:space="0" w:color="auto"/>
            </w:tcBorders>
          </w:tcPr>
          <w:p>
            <w:pPr>
              <w:spacing w:before="240" w:line="240" w:lineRule="auto"/>
              <w:ind w:left="0" w:right="0"/>
              <w:jc w:val="both"/>
              <w:rPr>
                <w:rFonts w:hint="cs"/>
                <w:sz w:val="20"/>
                <w:szCs w:val="20"/>
                <w:rtl/>
              </w:rPr>
            </w:pPr>
            <w:r>
              <w:rPr>
                <w:rFonts w:hint="cs"/>
                <w:sz w:val="20"/>
                <w:szCs w:val="20"/>
                <w:rtl/>
              </w:rPr>
              <w:t>1,052</w:t>
            </w:r>
          </w:p>
        </w:tc>
        <w:tc>
          <w:tcPr>
            <w:tcW w:w="1372" w:type="dxa"/>
            <w:tcBorders>
              <w:top w:val="dashed" w:sz="4" w:space="0" w:color="auto"/>
            </w:tcBorders>
          </w:tcPr>
          <w:p>
            <w:pPr>
              <w:spacing w:before="240" w:line="240" w:lineRule="auto"/>
              <w:ind w:left="0" w:right="0"/>
              <w:jc w:val="both"/>
              <w:rPr>
                <w:rFonts w:hint="cs"/>
                <w:sz w:val="20"/>
                <w:szCs w:val="20"/>
                <w:rtl/>
              </w:rPr>
            </w:pPr>
            <w:r>
              <w:rPr>
                <w:rFonts w:hint="cs"/>
                <w:sz w:val="20"/>
                <w:szCs w:val="20"/>
                <w:rtl/>
              </w:rPr>
              <w:t>573</w:t>
            </w:r>
          </w:p>
        </w:tc>
        <w:tc>
          <w:tcPr>
            <w:tcW w:w="1440" w:type="dxa"/>
            <w:tcBorders>
              <w:top w:val="dashed" w:sz="4" w:space="0" w:color="auto"/>
            </w:tcBorders>
          </w:tcPr>
          <w:p>
            <w:pPr>
              <w:spacing w:before="240" w:line="240" w:lineRule="auto"/>
              <w:ind w:left="0" w:right="0"/>
              <w:jc w:val="both"/>
              <w:rPr>
                <w:rFonts w:hint="cs"/>
                <w:sz w:val="20"/>
                <w:szCs w:val="20"/>
                <w:rtl/>
              </w:rPr>
            </w:pPr>
            <w:r>
              <w:rPr>
                <w:rFonts w:hint="cs"/>
                <w:sz w:val="20"/>
                <w:szCs w:val="20"/>
                <w:rtl/>
              </w:rPr>
              <w:t>85</w:t>
            </w:r>
          </w:p>
        </w:tc>
        <w:tc>
          <w:tcPr>
            <w:tcW w:w="1728" w:type="dxa"/>
            <w:tcBorders>
              <w:top w:val="dashed" w:sz="4" w:space="0" w:color="auto"/>
            </w:tcBorders>
          </w:tcPr>
          <w:p>
            <w:pPr>
              <w:spacing w:before="240" w:line="240" w:lineRule="auto"/>
              <w:ind w:left="0" w:right="0"/>
              <w:jc w:val="both"/>
              <w:rPr>
                <w:rFonts w:hint="cs"/>
                <w:sz w:val="20"/>
                <w:szCs w:val="20"/>
                <w:rtl/>
              </w:rPr>
            </w:pPr>
            <w:r>
              <w:rPr>
                <w:rFonts w:hint="cs"/>
                <w:sz w:val="20"/>
                <w:szCs w:val="20"/>
                <w:rtl/>
              </w:rPr>
              <w:t>394</w:t>
            </w:r>
          </w:p>
        </w:tc>
        <w:tc>
          <w:tcPr>
            <w:tcW w:w="2208" w:type="dxa"/>
          </w:tcPr>
          <w:p>
            <w:pPr>
              <w:spacing w:before="240" w:line="240" w:lineRule="auto"/>
              <w:ind w:left="0" w:right="0"/>
              <w:jc w:val="both"/>
              <w:rPr>
                <w:rFonts w:hint="cs"/>
                <w:sz w:val="20"/>
                <w:szCs w:val="20"/>
                <w:rtl/>
              </w:rPr>
            </w:pPr>
            <w:r>
              <w:rPr>
                <w:rFonts w:hint="cs"/>
                <w:sz w:val="20"/>
                <w:szCs w:val="20"/>
                <w:rtl/>
              </w:rPr>
              <w:t>סה"כ</w:t>
            </w:r>
          </w:p>
        </w:tc>
      </w:tr>
    </w:tbl>
    <w:p>
      <w:pPr>
        <w:spacing w:before="240" w:line="240" w:lineRule="auto"/>
        <w:ind w:left="0" w:right="0"/>
        <w:jc w:val="both"/>
        <w:rPr>
          <w:rFonts w:hint="cs"/>
          <w:sz w:val="20"/>
          <w:szCs w:val="20"/>
          <w:u w:val="single"/>
          <w:rtl/>
        </w:rPr>
      </w:pPr>
    </w:p>
    <w:p>
      <w:pPr>
        <w:spacing w:before="240" w:line="240" w:lineRule="auto"/>
        <w:ind w:left="0" w:right="0"/>
        <w:jc w:val="both"/>
        <w:rPr>
          <w:rFonts w:hint="cs"/>
          <w:sz w:val="20"/>
          <w:szCs w:val="20"/>
          <w:u w:val="single"/>
          <w:rtl/>
        </w:rPr>
      </w:pPr>
      <w:r>
        <w:rPr>
          <w:rFonts w:hint="cs"/>
          <w:sz w:val="20"/>
          <w:szCs w:val="20"/>
          <w:u w:val="single"/>
          <w:rtl/>
        </w:rPr>
        <w:t>משרד</w:t>
      </w:r>
      <w:r>
        <w:rPr>
          <w:rFonts w:hint="cs"/>
          <w:sz w:val="20"/>
          <w:szCs w:val="20"/>
          <w:rtl/>
        </w:rPr>
        <w:tab/>
        <w:tab/>
        <w:tab/>
        <w:tab/>
        <w:tab/>
        <w:tab/>
      </w:r>
      <w:r>
        <w:rPr>
          <w:rFonts w:hint="cs"/>
          <w:sz w:val="20"/>
          <w:szCs w:val="20"/>
          <w:u w:val="single"/>
          <w:rtl/>
        </w:rPr>
        <w:t>מינויים</w:t>
        <w:tab/>
        <w:tab/>
        <w:t>תקפים</w:t>
        <w:tab/>
        <w:t>1.1.86  -     ב-15.12.88</w:t>
      </w:r>
    </w:p>
    <w:p>
      <w:pPr>
        <w:spacing w:before="240" w:line="240" w:lineRule="auto"/>
        <w:ind w:left="0" w:right="0"/>
        <w:jc w:val="both"/>
        <w:rPr>
          <w:rFonts w:hint="cs"/>
          <w:sz w:val="20"/>
          <w:szCs w:val="20"/>
          <w:u w:val="single"/>
          <w:rtl/>
        </w:rPr>
      </w:pPr>
    </w:p>
    <w:tbl>
      <w:tblPr>
        <w:tblW w:w="9360" w:type="dxa"/>
        <w:jc w:val="right"/>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
      <w:tblGrid>
        <w:gridCol w:w="1307"/>
        <w:gridCol w:w="1055"/>
        <w:gridCol w:w="1166"/>
        <w:gridCol w:w="944"/>
        <w:gridCol w:w="1054"/>
        <w:gridCol w:w="1054"/>
        <w:gridCol w:w="1054"/>
        <w:gridCol w:w="1726"/>
      </w:tblGrid>
      <w:tr>
        <w:tblPrEx>
          <w:tblW w:w="9360" w:type="dxa"/>
          <w:jc w:val="right"/>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cantSplit/>
          <w:jc w:val="right"/>
        </w:trPr>
        <w:tc>
          <w:tcPr>
            <w:tcW w:w="1307" w:type="dxa"/>
            <w:tcBorders>
              <w:top w:val="nil"/>
              <w:bottom w:val="dashed" w:sz="4" w:space="0" w:color="auto"/>
            </w:tcBorders>
          </w:tcPr>
          <w:p>
            <w:pPr>
              <w:spacing w:before="240" w:line="240" w:lineRule="auto"/>
              <w:ind w:left="0" w:right="0"/>
              <w:jc w:val="both"/>
              <w:rPr>
                <w:sz w:val="20"/>
                <w:szCs w:val="20"/>
              </w:rPr>
            </w:pPr>
            <w:r>
              <w:rPr>
                <w:rFonts w:hint="cs"/>
                <w:sz w:val="20"/>
                <w:szCs w:val="20"/>
                <w:rtl/>
              </w:rPr>
              <w:t>חברי מרכזים מסך אישי הציבור ב%</w:t>
            </w:r>
          </w:p>
        </w:tc>
        <w:tc>
          <w:tcPr>
            <w:tcW w:w="4219" w:type="dxa"/>
            <w:gridSpan w:val="4"/>
            <w:tcBorders>
              <w:top w:val="nil"/>
              <w:bottom w:val="dashed" w:sz="4" w:space="0" w:color="auto"/>
            </w:tcBorders>
          </w:tcPr>
          <w:p>
            <w:pPr>
              <w:spacing w:before="240" w:line="240" w:lineRule="auto"/>
              <w:ind w:left="0" w:right="0"/>
              <w:jc w:val="both"/>
              <w:rPr>
                <w:rFonts w:hint="cs"/>
                <w:sz w:val="20"/>
                <w:szCs w:val="20"/>
                <w:u w:val="single"/>
                <w:rtl/>
              </w:rPr>
            </w:pPr>
            <w:r>
              <w:rPr>
                <w:rFonts w:hint="cs"/>
                <w:sz w:val="20"/>
                <w:szCs w:val="20"/>
                <w:u w:val="single"/>
                <w:rtl/>
              </w:rPr>
              <w:t xml:space="preserve">    חברי                                               מרכזים(*)</w:t>
            </w:r>
          </w:p>
          <w:p>
            <w:pPr>
              <w:spacing w:before="240" w:line="240" w:lineRule="auto"/>
              <w:ind w:left="0" w:right="0"/>
              <w:jc w:val="both"/>
              <w:rPr>
                <w:rFonts w:hint="cs"/>
                <w:sz w:val="20"/>
                <w:szCs w:val="20"/>
              </w:rPr>
            </w:pPr>
            <w:r>
              <w:rPr>
                <w:rFonts w:hint="cs"/>
                <w:sz w:val="20"/>
                <w:szCs w:val="20"/>
                <w:rtl/>
              </w:rPr>
              <w:t xml:space="preserve">( ח )                   ( ל )                  ( ע )                 ס"ה         </w:t>
            </w:r>
          </w:p>
        </w:tc>
        <w:tc>
          <w:tcPr>
            <w:tcW w:w="1054" w:type="dxa"/>
            <w:tcBorders>
              <w:top w:val="nil"/>
              <w:bottom w:val="dashed" w:sz="4" w:space="0" w:color="auto"/>
            </w:tcBorders>
          </w:tcPr>
          <w:p>
            <w:pPr>
              <w:spacing w:line="240" w:lineRule="auto"/>
              <w:ind w:left="0" w:right="0"/>
              <w:jc w:val="both"/>
              <w:rPr>
                <w:rFonts w:hint="cs"/>
                <w:sz w:val="20"/>
                <w:szCs w:val="20"/>
              </w:rPr>
            </w:pPr>
            <w:r>
              <w:rPr>
                <w:rFonts w:hint="cs"/>
                <w:sz w:val="20"/>
                <w:szCs w:val="20"/>
                <w:rtl/>
              </w:rPr>
              <w:t>אינם חברי מרכז</w:t>
            </w:r>
          </w:p>
        </w:tc>
        <w:tc>
          <w:tcPr>
            <w:tcW w:w="1054" w:type="dxa"/>
            <w:tcBorders>
              <w:top w:val="nil"/>
              <w:bottom w:val="dashed" w:sz="4" w:space="0" w:color="auto"/>
            </w:tcBorders>
          </w:tcPr>
          <w:p>
            <w:pPr>
              <w:spacing w:before="240" w:line="240" w:lineRule="auto"/>
              <w:ind w:left="0" w:right="0"/>
              <w:jc w:val="both"/>
              <w:rPr>
                <w:sz w:val="20"/>
                <w:szCs w:val="20"/>
              </w:rPr>
            </w:pPr>
            <w:r>
              <w:rPr>
                <w:rFonts w:hint="cs"/>
                <w:sz w:val="20"/>
                <w:szCs w:val="20"/>
                <w:rtl/>
              </w:rPr>
              <w:t>סה"כ אישי ציבור</w:t>
            </w:r>
          </w:p>
        </w:tc>
        <w:tc>
          <w:tcPr>
            <w:tcW w:w="1726" w:type="dxa"/>
            <w:tcBorders>
              <w:top w:val="nil"/>
              <w:bottom w:val="nil"/>
            </w:tcBorders>
          </w:tcPr>
          <w:p>
            <w:pPr>
              <w:spacing w:before="240" w:line="240" w:lineRule="auto"/>
              <w:ind w:left="0" w:right="0"/>
              <w:jc w:val="both"/>
              <w:rPr>
                <w:sz w:val="20"/>
                <w:szCs w:val="20"/>
              </w:rPr>
            </w:pPr>
          </w:p>
          <w:p>
            <w:pPr>
              <w:ind w:left="0" w:right="0"/>
              <w:jc w:val="both"/>
              <w:rPr>
                <w:sz w:val="20"/>
                <w:szCs w:val="20"/>
              </w:rPr>
            </w:pPr>
          </w:p>
        </w:tc>
      </w:tr>
      <w:tr>
        <w:tblPrEx>
          <w:tblW w:w="9360" w:type="dxa"/>
          <w:jc w:val="right"/>
          <w:tblInd w:w="-672" w:type="dxa"/>
          <w:tblCellMar>
            <w:left w:w="108" w:type="dxa"/>
            <w:right w:w="108" w:type="dxa"/>
          </w:tblCellMar>
          <w:tblLook w:val="0000"/>
        </w:tblPrEx>
        <w:trPr>
          <w:jc w:val="right"/>
        </w:trPr>
        <w:tc>
          <w:tcPr>
            <w:tcW w:w="1307" w:type="dxa"/>
            <w:tcBorders>
              <w:top w:val="dashed" w:sz="4" w:space="0" w:color="auto"/>
            </w:tcBorders>
          </w:tcPr>
          <w:p>
            <w:pPr>
              <w:spacing w:before="240" w:line="240" w:lineRule="auto"/>
              <w:ind w:left="0" w:right="0"/>
              <w:jc w:val="both"/>
              <w:rPr>
                <w:rFonts w:hint="cs"/>
                <w:sz w:val="20"/>
                <w:szCs w:val="20"/>
              </w:rPr>
            </w:pPr>
            <w:r>
              <w:rPr>
                <w:rFonts w:hint="cs"/>
                <w:sz w:val="20"/>
                <w:szCs w:val="20"/>
                <w:rtl/>
              </w:rPr>
              <w:t>71</w:t>
            </w:r>
          </w:p>
        </w:tc>
        <w:tc>
          <w:tcPr>
            <w:tcW w:w="1055" w:type="dxa"/>
            <w:tcBorders>
              <w:top w:val="dashed" w:sz="4" w:space="0" w:color="auto"/>
            </w:tcBorders>
          </w:tcPr>
          <w:p>
            <w:pPr>
              <w:spacing w:before="240" w:line="240" w:lineRule="auto"/>
              <w:ind w:left="0" w:right="0"/>
              <w:jc w:val="both"/>
              <w:rPr>
                <w:rFonts w:hint="cs"/>
                <w:sz w:val="20"/>
                <w:szCs w:val="20"/>
              </w:rPr>
            </w:pPr>
            <w:r>
              <w:rPr>
                <w:rFonts w:hint="cs"/>
                <w:sz w:val="20"/>
                <w:szCs w:val="20"/>
                <w:rtl/>
              </w:rPr>
              <w:t>97</w:t>
            </w:r>
          </w:p>
        </w:tc>
        <w:tc>
          <w:tcPr>
            <w:tcW w:w="1166" w:type="dxa"/>
            <w:tcBorders>
              <w:top w:val="dashed" w:sz="4" w:space="0" w:color="auto"/>
            </w:tcBorders>
          </w:tcPr>
          <w:p>
            <w:pPr>
              <w:spacing w:before="240" w:line="240" w:lineRule="auto"/>
              <w:ind w:left="0" w:right="0"/>
              <w:jc w:val="both"/>
              <w:rPr>
                <w:rFonts w:hint="cs"/>
                <w:sz w:val="20"/>
                <w:szCs w:val="20"/>
              </w:rPr>
            </w:pPr>
            <w:r>
              <w:rPr>
                <w:rFonts w:hint="cs"/>
                <w:sz w:val="20"/>
                <w:szCs w:val="20"/>
                <w:rtl/>
              </w:rPr>
              <w:t>2</w:t>
            </w:r>
          </w:p>
        </w:tc>
        <w:tc>
          <w:tcPr>
            <w:tcW w:w="944" w:type="dxa"/>
            <w:tcBorders>
              <w:top w:val="dashed" w:sz="4" w:space="0" w:color="auto"/>
            </w:tcBorders>
          </w:tcPr>
          <w:p>
            <w:pPr>
              <w:spacing w:before="240" w:line="240" w:lineRule="auto"/>
              <w:ind w:left="0" w:right="0"/>
              <w:jc w:val="both"/>
              <w:rPr>
                <w:rFonts w:hint="cs"/>
                <w:sz w:val="20"/>
                <w:szCs w:val="20"/>
              </w:rPr>
            </w:pPr>
            <w:r>
              <w:rPr>
                <w:rFonts w:hint="cs"/>
                <w:sz w:val="20"/>
                <w:szCs w:val="20"/>
                <w:rtl/>
              </w:rPr>
              <w:t>22</w:t>
            </w:r>
          </w:p>
        </w:tc>
        <w:tc>
          <w:tcPr>
            <w:tcW w:w="1054" w:type="dxa"/>
            <w:tcBorders>
              <w:top w:val="dashed" w:sz="4" w:space="0" w:color="auto"/>
            </w:tcBorders>
          </w:tcPr>
          <w:p>
            <w:pPr>
              <w:spacing w:before="240" w:line="240" w:lineRule="auto"/>
              <w:ind w:left="0" w:right="0"/>
              <w:jc w:val="both"/>
              <w:rPr>
                <w:rFonts w:hint="cs"/>
                <w:sz w:val="20"/>
                <w:szCs w:val="20"/>
              </w:rPr>
            </w:pPr>
            <w:r>
              <w:rPr>
                <w:rFonts w:hint="cs"/>
                <w:sz w:val="20"/>
                <w:szCs w:val="20"/>
                <w:rtl/>
              </w:rPr>
              <w:t>7</w:t>
            </w:r>
            <w:r>
              <w:rPr>
                <w:rFonts w:hint="cs"/>
                <w:sz w:val="20"/>
                <w:szCs w:val="20"/>
                <w:rtl/>
              </w:rPr>
              <w:t>3</w:t>
            </w:r>
          </w:p>
        </w:tc>
        <w:tc>
          <w:tcPr>
            <w:tcW w:w="1054" w:type="dxa"/>
            <w:tcBorders>
              <w:top w:val="dashed" w:sz="4" w:space="0" w:color="auto"/>
            </w:tcBorders>
          </w:tcPr>
          <w:p>
            <w:pPr>
              <w:spacing w:before="240" w:line="240" w:lineRule="auto"/>
              <w:ind w:left="0" w:right="0"/>
              <w:jc w:val="both"/>
              <w:rPr>
                <w:rFonts w:hint="cs"/>
                <w:sz w:val="20"/>
                <w:szCs w:val="20"/>
              </w:rPr>
            </w:pPr>
            <w:r>
              <w:rPr>
                <w:rFonts w:hint="cs"/>
                <w:sz w:val="20"/>
                <w:szCs w:val="20"/>
                <w:rtl/>
              </w:rPr>
              <w:t>40</w:t>
            </w:r>
          </w:p>
        </w:tc>
        <w:tc>
          <w:tcPr>
            <w:tcW w:w="1054" w:type="dxa"/>
            <w:tcBorders>
              <w:top w:val="dashed" w:sz="4" w:space="0" w:color="auto"/>
            </w:tcBorders>
          </w:tcPr>
          <w:p>
            <w:pPr>
              <w:spacing w:before="240" w:line="240" w:lineRule="auto"/>
              <w:ind w:left="0" w:right="0"/>
              <w:jc w:val="both"/>
              <w:rPr>
                <w:rFonts w:hint="cs"/>
                <w:sz w:val="20"/>
                <w:szCs w:val="20"/>
              </w:rPr>
            </w:pPr>
            <w:r>
              <w:rPr>
                <w:rFonts w:hint="cs"/>
                <w:sz w:val="20"/>
                <w:szCs w:val="20"/>
                <w:rtl/>
              </w:rPr>
              <w:t>137</w:t>
            </w:r>
          </w:p>
        </w:tc>
        <w:tc>
          <w:tcPr>
            <w:tcW w:w="1726" w:type="dxa"/>
            <w:tcBorders>
              <w:top w:val="nil"/>
            </w:tcBorders>
          </w:tcPr>
          <w:p>
            <w:pPr>
              <w:spacing w:before="240" w:line="240" w:lineRule="auto"/>
              <w:ind w:left="0" w:right="0"/>
              <w:jc w:val="both"/>
              <w:rPr>
                <w:rFonts w:hint="cs"/>
                <w:sz w:val="20"/>
                <w:szCs w:val="20"/>
              </w:rPr>
            </w:pPr>
            <w:r>
              <w:rPr>
                <w:rFonts w:hint="cs"/>
                <w:sz w:val="20"/>
                <w:szCs w:val="20"/>
                <w:rtl/>
              </w:rPr>
              <w:t xml:space="preserve">התעשיה והמסחר </w:t>
            </w:r>
          </w:p>
        </w:tc>
      </w:tr>
      <w:tr>
        <w:tblPrEx>
          <w:tblW w:w="9360" w:type="dxa"/>
          <w:jc w:val="right"/>
          <w:tblInd w:w="-672" w:type="dxa"/>
          <w:tblCellMar>
            <w:left w:w="108" w:type="dxa"/>
            <w:right w:w="108" w:type="dxa"/>
          </w:tblCellMar>
          <w:tblLook w:val="0000"/>
        </w:tblPrEx>
        <w:trPr>
          <w:jc w:val="right"/>
        </w:trPr>
        <w:tc>
          <w:tcPr>
            <w:tcW w:w="1307" w:type="dxa"/>
          </w:tcPr>
          <w:p>
            <w:pPr>
              <w:spacing w:before="240" w:line="240" w:lineRule="auto"/>
              <w:ind w:left="0" w:right="0"/>
              <w:jc w:val="both"/>
              <w:rPr>
                <w:rFonts w:hint="cs"/>
                <w:sz w:val="20"/>
                <w:szCs w:val="20"/>
                <w:rtl/>
              </w:rPr>
            </w:pPr>
            <w:r>
              <w:rPr>
                <w:rFonts w:hint="cs"/>
                <w:sz w:val="20"/>
                <w:szCs w:val="20"/>
                <w:rtl/>
              </w:rPr>
              <w:t>70</w:t>
            </w:r>
          </w:p>
        </w:tc>
        <w:tc>
          <w:tcPr>
            <w:tcW w:w="1055" w:type="dxa"/>
          </w:tcPr>
          <w:p>
            <w:pPr>
              <w:spacing w:before="240" w:line="240" w:lineRule="auto"/>
              <w:ind w:left="0" w:right="0"/>
              <w:jc w:val="both"/>
              <w:rPr>
                <w:rFonts w:hint="cs"/>
                <w:sz w:val="20"/>
                <w:szCs w:val="20"/>
                <w:rtl/>
              </w:rPr>
            </w:pPr>
            <w:r>
              <w:rPr>
                <w:rFonts w:hint="cs"/>
                <w:sz w:val="20"/>
                <w:szCs w:val="20"/>
                <w:rtl/>
              </w:rPr>
              <w:t>47</w:t>
            </w:r>
          </w:p>
        </w:tc>
        <w:tc>
          <w:tcPr>
            <w:tcW w:w="1166" w:type="dxa"/>
          </w:tcPr>
          <w:p>
            <w:pPr>
              <w:spacing w:before="240" w:line="240" w:lineRule="auto"/>
              <w:ind w:left="0" w:right="0"/>
              <w:jc w:val="both"/>
              <w:rPr>
                <w:rFonts w:hint="cs"/>
                <w:sz w:val="20"/>
                <w:szCs w:val="20"/>
                <w:rtl/>
              </w:rPr>
            </w:pPr>
            <w:r>
              <w:rPr>
                <w:rFonts w:hint="cs"/>
                <w:sz w:val="20"/>
                <w:szCs w:val="20"/>
                <w:rtl/>
              </w:rPr>
              <w:t>0</w:t>
            </w:r>
          </w:p>
        </w:tc>
        <w:tc>
          <w:tcPr>
            <w:tcW w:w="944" w:type="dxa"/>
          </w:tcPr>
          <w:p>
            <w:pPr>
              <w:spacing w:before="240" w:line="240" w:lineRule="auto"/>
              <w:ind w:left="0" w:right="0"/>
              <w:jc w:val="both"/>
              <w:rPr>
                <w:rFonts w:hint="cs"/>
                <w:sz w:val="20"/>
                <w:szCs w:val="20"/>
                <w:rtl/>
              </w:rPr>
            </w:pPr>
            <w:r>
              <w:rPr>
                <w:rFonts w:hint="cs"/>
                <w:sz w:val="20"/>
                <w:szCs w:val="20"/>
                <w:rtl/>
              </w:rPr>
              <w:t>4</w:t>
            </w:r>
          </w:p>
        </w:tc>
        <w:tc>
          <w:tcPr>
            <w:tcW w:w="1054" w:type="dxa"/>
          </w:tcPr>
          <w:p>
            <w:pPr>
              <w:spacing w:before="240" w:line="240" w:lineRule="auto"/>
              <w:ind w:left="0" w:right="0"/>
              <w:jc w:val="both"/>
              <w:rPr>
                <w:rFonts w:hint="cs"/>
                <w:sz w:val="20"/>
                <w:szCs w:val="20"/>
                <w:rtl/>
              </w:rPr>
            </w:pPr>
            <w:r>
              <w:rPr>
                <w:rFonts w:hint="cs"/>
                <w:sz w:val="20"/>
                <w:szCs w:val="20"/>
                <w:rtl/>
              </w:rPr>
              <w:t>43</w:t>
            </w:r>
          </w:p>
        </w:tc>
        <w:tc>
          <w:tcPr>
            <w:tcW w:w="1054" w:type="dxa"/>
          </w:tcPr>
          <w:p>
            <w:pPr>
              <w:spacing w:before="240" w:line="240" w:lineRule="auto"/>
              <w:ind w:left="0" w:right="0"/>
              <w:jc w:val="both"/>
              <w:rPr>
                <w:rFonts w:hint="cs"/>
                <w:sz w:val="20"/>
                <w:szCs w:val="20"/>
                <w:rtl/>
              </w:rPr>
            </w:pPr>
            <w:r>
              <w:rPr>
                <w:rFonts w:hint="cs"/>
                <w:sz w:val="20"/>
                <w:szCs w:val="20"/>
                <w:rtl/>
              </w:rPr>
              <w:t>20</w:t>
            </w:r>
          </w:p>
        </w:tc>
        <w:tc>
          <w:tcPr>
            <w:tcW w:w="1054" w:type="dxa"/>
          </w:tcPr>
          <w:p>
            <w:pPr>
              <w:spacing w:before="240" w:line="240" w:lineRule="auto"/>
              <w:ind w:left="0" w:right="0"/>
              <w:jc w:val="both"/>
              <w:rPr>
                <w:rFonts w:hint="cs"/>
                <w:sz w:val="20"/>
                <w:szCs w:val="20"/>
                <w:rtl/>
              </w:rPr>
            </w:pPr>
            <w:r>
              <w:rPr>
                <w:rFonts w:hint="cs"/>
                <w:sz w:val="20"/>
                <w:szCs w:val="20"/>
                <w:rtl/>
              </w:rPr>
              <w:t>67</w:t>
            </w:r>
          </w:p>
        </w:tc>
        <w:tc>
          <w:tcPr>
            <w:tcW w:w="1726" w:type="dxa"/>
          </w:tcPr>
          <w:p>
            <w:pPr>
              <w:spacing w:before="240" w:line="240" w:lineRule="auto"/>
              <w:ind w:left="0" w:right="0"/>
              <w:jc w:val="both"/>
              <w:rPr>
                <w:rFonts w:hint="cs"/>
                <w:sz w:val="20"/>
                <w:szCs w:val="20"/>
                <w:rtl/>
              </w:rPr>
            </w:pPr>
            <w:r>
              <w:rPr>
                <w:rFonts w:hint="cs"/>
                <w:sz w:val="20"/>
                <w:szCs w:val="20"/>
                <w:rtl/>
              </w:rPr>
              <w:t>הבינוי והשיכון</w:t>
            </w:r>
          </w:p>
        </w:tc>
      </w:tr>
      <w:tr>
        <w:tblPrEx>
          <w:tblW w:w="9360" w:type="dxa"/>
          <w:jc w:val="right"/>
          <w:tblInd w:w="-672" w:type="dxa"/>
          <w:tblCellMar>
            <w:left w:w="108" w:type="dxa"/>
            <w:right w:w="108" w:type="dxa"/>
          </w:tblCellMar>
          <w:tblLook w:val="0000"/>
        </w:tblPrEx>
        <w:trPr>
          <w:jc w:val="right"/>
        </w:trPr>
        <w:tc>
          <w:tcPr>
            <w:tcW w:w="1307" w:type="dxa"/>
          </w:tcPr>
          <w:p>
            <w:pPr>
              <w:spacing w:before="240" w:line="240" w:lineRule="auto"/>
              <w:ind w:left="0" w:right="0"/>
              <w:jc w:val="both"/>
              <w:rPr>
                <w:rFonts w:hint="cs"/>
                <w:sz w:val="20"/>
                <w:szCs w:val="20"/>
                <w:rtl/>
              </w:rPr>
            </w:pPr>
            <w:r>
              <w:rPr>
                <w:rFonts w:hint="cs"/>
                <w:sz w:val="20"/>
                <w:szCs w:val="20"/>
                <w:rtl/>
              </w:rPr>
              <w:t>66</w:t>
            </w:r>
          </w:p>
        </w:tc>
        <w:tc>
          <w:tcPr>
            <w:tcW w:w="1055" w:type="dxa"/>
          </w:tcPr>
          <w:p>
            <w:pPr>
              <w:spacing w:before="240" w:line="240" w:lineRule="auto"/>
              <w:ind w:left="0" w:right="0"/>
              <w:jc w:val="both"/>
              <w:rPr>
                <w:rFonts w:hint="cs"/>
                <w:sz w:val="20"/>
                <w:szCs w:val="20"/>
                <w:rtl/>
              </w:rPr>
            </w:pPr>
            <w:r>
              <w:rPr>
                <w:rFonts w:hint="cs"/>
                <w:sz w:val="20"/>
                <w:szCs w:val="20"/>
                <w:rtl/>
              </w:rPr>
              <w:t>25</w:t>
            </w:r>
          </w:p>
        </w:tc>
        <w:tc>
          <w:tcPr>
            <w:tcW w:w="1166" w:type="dxa"/>
          </w:tcPr>
          <w:p>
            <w:pPr>
              <w:spacing w:before="240" w:line="240" w:lineRule="auto"/>
              <w:ind w:left="0" w:right="0"/>
              <w:jc w:val="both"/>
              <w:rPr>
                <w:rFonts w:hint="cs"/>
                <w:sz w:val="20"/>
                <w:szCs w:val="20"/>
                <w:rtl/>
              </w:rPr>
            </w:pPr>
            <w:r>
              <w:rPr>
                <w:rFonts w:hint="cs"/>
                <w:sz w:val="20"/>
                <w:szCs w:val="20"/>
                <w:rtl/>
              </w:rPr>
              <w:t>0</w:t>
            </w:r>
          </w:p>
        </w:tc>
        <w:tc>
          <w:tcPr>
            <w:tcW w:w="944" w:type="dxa"/>
          </w:tcPr>
          <w:p>
            <w:pPr>
              <w:spacing w:before="240" w:line="240" w:lineRule="auto"/>
              <w:ind w:left="0" w:right="0"/>
              <w:jc w:val="both"/>
              <w:rPr>
                <w:rFonts w:hint="cs"/>
                <w:sz w:val="20"/>
                <w:szCs w:val="20"/>
                <w:rtl/>
              </w:rPr>
            </w:pPr>
            <w:r>
              <w:rPr>
                <w:rFonts w:hint="cs"/>
                <w:sz w:val="20"/>
                <w:szCs w:val="20"/>
                <w:rtl/>
              </w:rPr>
              <w:t>0</w:t>
            </w:r>
          </w:p>
        </w:tc>
        <w:tc>
          <w:tcPr>
            <w:tcW w:w="1054" w:type="dxa"/>
          </w:tcPr>
          <w:p>
            <w:pPr>
              <w:spacing w:before="240" w:line="240" w:lineRule="auto"/>
              <w:ind w:left="0" w:right="0"/>
              <w:jc w:val="both"/>
              <w:rPr>
                <w:rFonts w:hint="cs"/>
                <w:sz w:val="20"/>
                <w:szCs w:val="20"/>
                <w:rtl/>
              </w:rPr>
            </w:pPr>
            <w:r>
              <w:rPr>
                <w:rFonts w:hint="cs"/>
                <w:sz w:val="20"/>
                <w:szCs w:val="20"/>
                <w:rtl/>
              </w:rPr>
              <w:t>25</w:t>
            </w:r>
          </w:p>
        </w:tc>
        <w:tc>
          <w:tcPr>
            <w:tcW w:w="1054" w:type="dxa"/>
          </w:tcPr>
          <w:p>
            <w:pPr>
              <w:spacing w:before="240" w:line="240" w:lineRule="auto"/>
              <w:ind w:left="0" w:right="0"/>
              <w:jc w:val="both"/>
              <w:rPr>
                <w:rFonts w:hint="cs"/>
                <w:sz w:val="20"/>
                <w:szCs w:val="20"/>
                <w:rtl/>
              </w:rPr>
            </w:pPr>
            <w:r>
              <w:rPr>
                <w:rFonts w:hint="cs"/>
                <w:sz w:val="20"/>
                <w:szCs w:val="20"/>
                <w:rtl/>
              </w:rPr>
              <w:t>13</w:t>
            </w:r>
          </w:p>
        </w:tc>
        <w:tc>
          <w:tcPr>
            <w:tcW w:w="1054" w:type="dxa"/>
          </w:tcPr>
          <w:p>
            <w:pPr>
              <w:spacing w:before="240" w:line="240" w:lineRule="auto"/>
              <w:ind w:left="0" w:right="0"/>
              <w:jc w:val="both"/>
              <w:rPr>
                <w:rFonts w:hint="cs"/>
                <w:sz w:val="20"/>
                <w:szCs w:val="20"/>
                <w:rtl/>
              </w:rPr>
            </w:pPr>
            <w:r>
              <w:rPr>
                <w:rFonts w:hint="cs"/>
                <w:sz w:val="20"/>
                <w:szCs w:val="20"/>
                <w:rtl/>
              </w:rPr>
              <w:t>38</w:t>
            </w:r>
          </w:p>
        </w:tc>
        <w:tc>
          <w:tcPr>
            <w:tcW w:w="1726" w:type="dxa"/>
          </w:tcPr>
          <w:p>
            <w:pPr>
              <w:spacing w:before="240" w:line="240" w:lineRule="auto"/>
              <w:ind w:left="0" w:right="0"/>
              <w:jc w:val="both"/>
              <w:rPr>
                <w:rFonts w:hint="cs"/>
                <w:sz w:val="20"/>
                <w:szCs w:val="20"/>
                <w:rtl/>
              </w:rPr>
            </w:pPr>
            <w:r>
              <w:rPr>
                <w:rFonts w:hint="cs"/>
                <w:sz w:val="20"/>
                <w:szCs w:val="20"/>
                <w:rtl/>
              </w:rPr>
              <w:t>תחבורה</w:t>
            </w:r>
          </w:p>
        </w:tc>
      </w:tr>
      <w:tr>
        <w:tblPrEx>
          <w:tblW w:w="9360" w:type="dxa"/>
          <w:jc w:val="right"/>
          <w:tblInd w:w="-672" w:type="dxa"/>
          <w:tblCellMar>
            <w:left w:w="108" w:type="dxa"/>
            <w:right w:w="108" w:type="dxa"/>
          </w:tblCellMar>
          <w:tblLook w:val="0000"/>
        </w:tblPrEx>
        <w:trPr>
          <w:jc w:val="right"/>
        </w:trPr>
        <w:tc>
          <w:tcPr>
            <w:tcW w:w="1307" w:type="dxa"/>
          </w:tcPr>
          <w:p>
            <w:pPr>
              <w:spacing w:before="240" w:line="240" w:lineRule="auto"/>
              <w:ind w:left="0" w:right="0"/>
              <w:jc w:val="both"/>
              <w:rPr>
                <w:rFonts w:hint="cs"/>
                <w:sz w:val="20"/>
                <w:szCs w:val="20"/>
                <w:rtl/>
              </w:rPr>
            </w:pPr>
            <w:r>
              <w:rPr>
                <w:rFonts w:hint="cs"/>
                <w:sz w:val="20"/>
                <w:szCs w:val="20"/>
                <w:rtl/>
              </w:rPr>
              <w:t>64</w:t>
            </w:r>
          </w:p>
        </w:tc>
        <w:tc>
          <w:tcPr>
            <w:tcW w:w="1055" w:type="dxa"/>
          </w:tcPr>
          <w:p>
            <w:pPr>
              <w:spacing w:before="240" w:line="240" w:lineRule="auto"/>
              <w:ind w:left="0" w:right="0"/>
              <w:jc w:val="both"/>
              <w:rPr>
                <w:rFonts w:hint="cs"/>
                <w:sz w:val="20"/>
                <w:szCs w:val="20"/>
                <w:rtl/>
              </w:rPr>
            </w:pPr>
            <w:r>
              <w:rPr>
                <w:rFonts w:hint="cs"/>
                <w:sz w:val="20"/>
                <w:szCs w:val="20"/>
                <w:rtl/>
              </w:rPr>
              <w:t>63</w:t>
            </w:r>
          </w:p>
        </w:tc>
        <w:tc>
          <w:tcPr>
            <w:tcW w:w="1166" w:type="dxa"/>
          </w:tcPr>
          <w:p>
            <w:pPr>
              <w:spacing w:before="240" w:line="240" w:lineRule="auto"/>
              <w:ind w:left="0" w:right="0"/>
              <w:jc w:val="both"/>
              <w:rPr>
                <w:rFonts w:hint="cs"/>
                <w:sz w:val="20"/>
                <w:szCs w:val="20"/>
                <w:rtl/>
              </w:rPr>
            </w:pPr>
            <w:r>
              <w:rPr>
                <w:rFonts w:hint="cs"/>
                <w:sz w:val="20"/>
                <w:szCs w:val="20"/>
                <w:rtl/>
              </w:rPr>
              <w:t>44</w:t>
            </w:r>
          </w:p>
        </w:tc>
        <w:tc>
          <w:tcPr>
            <w:tcW w:w="944" w:type="dxa"/>
          </w:tcPr>
          <w:p>
            <w:pPr>
              <w:spacing w:before="240" w:line="240" w:lineRule="auto"/>
              <w:ind w:left="0" w:right="0"/>
              <w:jc w:val="both"/>
              <w:rPr>
                <w:rFonts w:hint="cs"/>
                <w:sz w:val="20"/>
                <w:szCs w:val="20"/>
                <w:rtl/>
              </w:rPr>
            </w:pPr>
            <w:r>
              <w:rPr>
                <w:rFonts w:hint="cs"/>
                <w:sz w:val="20"/>
                <w:szCs w:val="20"/>
                <w:rtl/>
              </w:rPr>
              <w:t>17</w:t>
            </w:r>
          </w:p>
        </w:tc>
        <w:tc>
          <w:tcPr>
            <w:tcW w:w="1054" w:type="dxa"/>
          </w:tcPr>
          <w:p>
            <w:pPr>
              <w:spacing w:before="240" w:line="240" w:lineRule="auto"/>
              <w:ind w:left="0" w:right="0"/>
              <w:jc w:val="both"/>
              <w:rPr>
                <w:rFonts w:hint="cs"/>
                <w:sz w:val="20"/>
                <w:szCs w:val="20"/>
                <w:rtl/>
              </w:rPr>
            </w:pPr>
            <w:r>
              <w:rPr>
                <w:rFonts w:hint="cs"/>
                <w:sz w:val="20"/>
                <w:szCs w:val="20"/>
                <w:rtl/>
              </w:rPr>
              <w:t>2</w:t>
            </w:r>
          </w:p>
        </w:tc>
        <w:tc>
          <w:tcPr>
            <w:tcW w:w="1054" w:type="dxa"/>
          </w:tcPr>
          <w:p>
            <w:pPr>
              <w:spacing w:before="240" w:line="240" w:lineRule="auto"/>
              <w:ind w:left="0" w:right="0"/>
              <w:jc w:val="both"/>
              <w:rPr>
                <w:rFonts w:hint="cs"/>
                <w:sz w:val="20"/>
                <w:szCs w:val="20"/>
                <w:rtl/>
              </w:rPr>
            </w:pPr>
            <w:r>
              <w:rPr>
                <w:rFonts w:hint="cs"/>
                <w:sz w:val="20"/>
                <w:szCs w:val="20"/>
                <w:rtl/>
              </w:rPr>
              <w:t>36</w:t>
            </w:r>
          </w:p>
        </w:tc>
        <w:tc>
          <w:tcPr>
            <w:tcW w:w="1054" w:type="dxa"/>
          </w:tcPr>
          <w:p>
            <w:pPr>
              <w:spacing w:before="240" w:line="240" w:lineRule="auto"/>
              <w:ind w:left="0" w:right="0"/>
              <w:jc w:val="both"/>
              <w:rPr>
                <w:rFonts w:hint="cs"/>
                <w:sz w:val="20"/>
                <w:szCs w:val="20"/>
                <w:rtl/>
              </w:rPr>
            </w:pPr>
            <w:r>
              <w:rPr>
                <w:rFonts w:hint="cs"/>
                <w:sz w:val="20"/>
                <w:szCs w:val="20"/>
                <w:rtl/>
              </w:rPr>
              <w:t>99</w:t>
            </w:r>
          </w:p>
        </w:tc>
        <w:tc>
          <w:tcPr>
            <w:tcW w:w="1726" w:type="dxa"/>
          </w:tcPr>
          <w:p>
            <w:pPr>
              <w:spacing w:before="240" w:line="240" w:lineRule="auto"/>
              <w:ind w:left="0" w:right="0"/>
              <w:jc w:val="both"/>
              <w:rPr>
                <w:rFonts w:hint="cs"/>
                <w:sz w:val="20"/>
                <w:szCs w:val="20"/>
                <w:rtl/>
              </w:rPr>
            </w:pPr>
            <w:r>
              <w:rPr>
                <w:rFonts w:hint="cs"/>
                <w:sz w:val="20"/>
                <w:szCs w:val="20"/>
                <w:rtl/>
              </w:rPr>
              <w:t>אנרגיה ותשתית</w:t>
            </w:r>
          </w:p>
        </w:tc>
      </w:tr>
      <w:tr>
        <w:tblPrEx>
          <w:tblW w:w="9360" w:type="dxa"/>
          <w:jc w:val="right"/>
          <w:tblInd w:w="-672" w:type="dxa"/>
          <w:tblCellMar>
            <w:left w:w="108" w:type="dxa"/>
            <w:right w:w="108" w:type="dxa"/>
          </w:tblCellMar>
          <w:tblLook w:val="0000"/>
        </w:tblPrEx>
        <w:trPr>
          <w:jc w:val="right"/>
        </w:trPr>
        <w:tc>
          <w:tcPr>
            <w:tcW w:w="1307" w:type="dxa"/>
          </w:tcPr>
          <w:p>
            <w:pPr>
              <w:spacing w:before="240" w:line="240" w:lineRule="auto"/>
              <w:ind w:left="0" w:right="0"/>
              <w:jc w:val="both"/>
              <w:rPr>
                <w:rFonts w:hint="cs"/>
                <w:sz w:val="20"/>
                <w:szCs w:val="20"/>
                <w:rtl/>
              </w:rPr>
            </w:pPr>
            <w:r>
              <w:rPr>
                <w:rFonts w:hint="cs"/>
                <w:sz w:val="20"/>
                <w:szCs w:val="20"/>
                <w:rtl/>
              </w:rPr>
              <w:t>72</w:t>
            </w:r>
          </w:p>
        </w:tc>
        <w:tc>
          <w:tcPr>
            <w:tcW w:w="1055" w:type="dxa"/>
          </w:tcPr>
          <w:p>
            <w:pPr>
              <w:spacing w:before="240" w:line="240" w:lineRule="auto"/>
              <w:ind w:left="0" w:right="0"/>
              <w:jc w:val="both"/>
              <w:rPr>
                <w:rFonts w:hint="cs"/>
                <w:sz w:val="20"/>
                <w:szCs w:val="20"/>
                <w:rtl/>
              </w:rPr>
            </w:pPr>
            <w:r>
              <w:rPr>
                <w:rFonts w:hint="cs"/>
                <w:sz w:val="20"/>
                <w:szCs w:val="20"/>
                <w:rtl/>
              </w:rPr>
              <w:t>41</w:t>
            </w:r>
          </w:p>
        </w:tc>
        <w:tc>
          <w:tcPr>
            <w:tcW w:w="1166" w:type="dxa"/>
          </w:tcPr>
          <w:p>
            <w:pPr>
              <w:spacing w:before="240" w:line="240" w:lineRule="auto"/>
              <w:ind w:left="0" w:right="0"/>
              <w:jc w:val="both"/>
              <w:rPr>
                <w:rFonts w:hint="cs"/>
                <w:sz w:val="20"/>
                <w:szCs w:val="20"/>
                <w:rtl/>
              </w:rPr>
            </w:pPr>
            <w:r>
              <w:rPr>
                <w:rFonts w:hint="cs"/>
                <w:sz w:val="20"/>
                <w:szCs w:val="20"/>
                <w:rtl/>
              </w:rPr>
              <w:t>2</w:t>
            </w:r>
          </w:p>
        </w:tc>
        <w:tc>
          <w:tcPr>
            <w:tcW w:w="944" w:type="dxa"/>
          </w:tcPr>
          <w:p>
            <w:pPr>
              <w:spacing w:before="240" w:line="240" w:lineRule="auto"/>
              <w:ind w:left="0" w:right="0"/>
              <w:jc w:val="both"/>
              <w:rPr>
                <w:rFonts w:hint="cs"/>
                <w:sz w:val="20"/>
                <w:szCs w:val="20"/>
                <w:rtl/>
              </w:rPr>
            </w:pPr>
            <w:r>
              <w:rPr>
                <w:rFonts w:hint="cs"/>
                <w:sz w:val="20"/>
                <w:szCs w:val="20"/>
                <w:rtl/>
              </w:rPr>
              <w:t>32</w:t>
            </w:r>
          </w:p>
        </w:tc>
        <w:tc>
          <w:tcPr>
            <w:tcW w:w="1054" w:type="dxa"/>
          </w:tcPr>
          <w:p>
            <w:pPr>
              <w:spacing w:before="240" w:line="240" w:lineRule="auto"/>
              <w:ind w:left="0" w:right="0"/>
              <w:jc w:val="both"/>
              <w:rPr>
                <w:rFonts w:hint="cs"/>
                <w:sz w:val="20"/>
                <w:szCs w:val="20"/>
                <w:rtl/>
              </w:rPr>
            </w:pPr>
            <w:r>
              <w:rPr>
                <w:rFonts w:hint="cs"/>
                <w:sz w:val="20"/>
                <w:szCs w:val="20"/>
                <w:rtl/>
              </w:rPr>
              <w:t>7</w:t>
            </w:r>
          </w:p>
        </w:tc>
        <w:tc>
          <w:tcPr>
            <w:tcW w:w="1054" w:type="dxa"/>
          </w:tcPr>
          <w:p>
            <w:pPr>
              <w:spacing w:before="240" w:line="240" w:lineRule="auto"/>
              <w:ind w:left="0" w:right="0"/>
              <w:jc w:val="both"/>
              <w:rPr>
                <w:rFonts w:hint="cs"/>
                <w:sz w:val="20"/>
                <w:szCs w:val="20"/>
                <w:rtl/>
              </w:rPr>
            </w:pPr>
            <w:r>
              <w:rPr>
                <w:rFonts w:hint="cs"/>
                <w:sz w:val="20"/>
                <w:szCs w:val="20"/>
                <w:rtl/>
              </w:rPr>
              <w:t>16</w:t>
            </w:r>
          </w:p>
        </w:tc>
        <w:tc>
          <w:tcPr>
            <w:tcW w:w="1054" w:type="dxa"/>
          </w:tcPr>
          <w:p>
            <w:pPr>
              <w:spacing w:before="240" w:line="240" w:lineRule="auto"/>
              <w:ind w:left="0" w:right="0"/>
              <w:jc w:val="both"/>
              <w:rPr>
                <w:rFonts w:hint="cs"/>
                <w:sz w:val="20"/>
                <w:szCs w:val="20"/>
                <w:rtl/>
              </w:rPr>
            </w:pPr>
            <w:r>
              <w:rPr>
                <w:rFonts w:hint="cs"/>
                <w:sz w:val="20"/>
                <w:szCs w:val="20"/>
                <w:rtl/>
              </w:rPr>
              <w:t>57</w:t>
            </w:r>
          </w:p>
        </w:tc>
        <w:tc>
          <w:tcPr>
            <w:tcW w:w="1726" w:type="dxa"/>
          </w:tcPr>
          <w:p>
            <w:pPr>
              <w:spacing w:before="240" w:line="240" w:lineRule="auto"/>
              <w:ind w:left="0" w:right="0"/>
              <w:jc w:val="both"/>
              <w:rPr>
                <w:rFonts w:hint="cs"/>
                <w:sz w:val="20"/>
                <w:szCs w:val="20"/>
                <w:rtl/>
              </w:rPr>
            </w:pPr>
            <w:r>
              <w:rPr>
                <w:rFonts w:hint="cs"/>
                <w:sz w:val="20"/>
                <w:szCs w:val="20"/>
                <w:rtl/>
              </w:rPr>
              <w:t>אוצר</w:t>
            </w:r>
          </w:p>
        </w:tc>
      </w:tr>
      <w:tr>
        <w:tblPrEx>
          <w:tblW w:w="9360" w:type="dxa"/>
          <w:jc w:val="right"/>
          <w:tblInd w:w="-672" w:type="dxa"/>
          <w:tblCellMar>
            <w:left w:w="108" w:type="dxa"/>
            <w:right w:w="108" w:type="dxa"/>
          </w:tblCellMar>
          <w:tblLook w:val="0000"/>
        </w:tblPrEx>
        <w:trPr>
          <w:jc w:val="right"/>
        </w:trPr>
        <w:tc>
          <w:tcPr>
            <w:tcW w:w="1307" w:type="dxa"/>
          </w:tcPr>
          <w:p>
            <w:pPr>
              <w:spacing w:before="240" w:line="240" w:lineRule="auto"/>
              <w:ind w:left="0" w:right="0"/>
              <w:jc w:val="both"/>
              <w:rPr>
                <w:rFonts w:hint="cs"/>
                <w:sz w:val="20"/>
                <w:szCs w:val="20"/>
                <w:rtl/>
              </w:rPr>
            </w:pPr>
            <w:r>
              <w:rPr>
                <w:rFonts w:hint="cs"/>
                <w:sz w:val="20"/>
                <w:szCs w:val="20"/>
                <w:rtl/>
              </w:rPr>
              <w:t>80</w:t>
            </w:r>
          </w:p>
        </w:tc>
        <w:tc>
          <w:tcPr>
            <w:tcW w:w="1055" w:type="dxa"/>
          </w:tcPr>
          <w:p>
            <w:pPr>
              <w:spacing w:before="240" w:line="240" w:lineRule="auto"/>
              <w:ind w:left="0" w:right="0"/>
              <w:jc w:val="both"/>
              <w:rPr>
                <w:rFonts w:hint="cs"/>
                <w:sz w:val="20"/>
                <w:szCs w:val="20"/>
                <w:rtl/>
              </w:rPr>
            </w:pPr>
            <w:r>
              <w:rPr>
                <w:rFonts w:hint="cs"/>
                <w:sz w:val="20"/>
                <w:szCs w:val="20"/>
                <w:rtl/>
              </w:rPr>
              <w:t>40</w:t>
            </w:r>
          </w:p>
        </w:tc>
        <w:tc>
          <w:tcPr>
            <w:tcW w:w="1166" w:type="dxa"/>
          </w:tcPr>
          <w:p>
            <w:pPr>
              <w:spacing w:before="240" w:line="240" w:lineRule="auto"/>
              <w:ind w:left="0" w:right="0"/>
              <w:jc w:val="both"/>
              <w:rPr>
                <w:rFonts w:hint="cs"/>
                <w:sz w:val="20"/>
                <w:szCs w:val="20"/>
                <w:rtl/>
              </w:rPr>
            </w:pPr>
            <w:r>
              <w:rPr>
                <w:rFonts w:hint="cs"/>
                <w:sz w:val="20"/>
                <w:szCs w:val="20"/>
                <w:rtl/>
              </w:rPr>
              <w:t>0</w:t>
            </w:r>
          </w:p>
        </w:tc>
        <w:tc>
          <w:tcPr>
            <w:tcW w:w="944" w:type="dxa"/>
          </w:tcPr>
          <w:p>
            <w:pPr>
              <w:spacing w:before="240" w:line="240" w:lineRule="auto"/>
              <w:ind w:left="0" w:right="0"/>
              <w:jc w:val="both"/>
              <w:rPr>
                <w:rFonts w:hint="cs"/>
                <w:sz w:val="20"/>
                <w:szCs w:val="20"/>
                <w:rtl/>
              </w:rPr>
            </w:pPr>
            <w:r>
              <w:rPr>
                <w:rFonts w:hint="cs"/>
                <w:sz w:val="20"/>
                <w:szCs w:val="20"/>
                <w:rtl/>
              </w:rPr>
              <w:t>38</w:t>
            </w:r>
          </w:p>
        </w:tc>
        <w:tc>
          <w:tcPr>
            <w:tcW w:w="1054" w:type="dxa"/>
          </w:tcPr>
          <w:p>
            <w:pPr>
              <w:spacing w:before="240" w:line="240" w:lineRule="auto"/>
              <w:ind w:left="0" w:right="0"/>
              <w:jc w:val="both"/>
              <w:rPr>
                <w:rFonts w:hint="cs"/>
                <w:sz w:val="20"/>
                <w:szCs w:val="20"/>
                <w:rtl/>
              </w:rPr>
            </w:pPr>
            <w:r>
              <w:rPr>
                <w:rFonts w:hint="cs"/>
                <w:sz w:val="20"/>
                <w:szCs w:val="20"/>
                <w:rtl/>
              </w:rPr>
              <w:t>2</w:t>
            </w:r>
          </w:p>
        </w:tc>
        <w:tc>
          <w:tcPr>
            <w:tcW w:w="1054" w:type="dxa"/>
          </w:tcPr>
          <w:p>
            <w:pPr>
              <w:spacing w:before="240" w:line="240" w:lineRule="auto"/>
              <w:ind w:left="0" w:right="0"/>
              <w:jc w:val="both"/>
              <w:rPr>
                <w:rFonts w:hint="cs"/>
                <w:sz w:val="20"/>
                <w:szCs w:val="20"/>
                <w:rtl/>
              </w:rPr>
            </w:pPr>
            <w:r>
              <w:rPr>
                <w:rFonts w:hint="cs"/>
                <w:sz w:val="20"/>
                <w:szCs w:val="20"/>
                <w:rtl/>
              </w:rPr>
              <w:t>10</w:t>
            </w:r>
          </w:p>
        </w:tc>
        <w:tc>
          <w:tcPr>
            <w:tcW w:w="1054" w:type="dxa"/>
          </w:tcPr>
          <w:p>
            <w:pPr>
              <w:spacing w:before="240" w:line="240" w:lineRule="auto"/>
              <w:ind w:left="0" w:right="0"/>
              <w:jc w:val="both"/>
              <w:rPr>
                <w:rFonts w:hint="cs"/>
                <w:sz w:val="20"/>
                <w:szCs w:val="20"/>
                <w:rtl/>
              </w:rPr>
            </w:pPr>
            <w:r>
              <w:rPr>
                <w:rFonts w:hint="cs"/>
                <w:sz w:val="20"/>
                <w:szCs w:val="20"/>
                <w:rtl/>
              </w:rPr>
              <w:t>50</w:t>
            </w:r>
          </w:p>
        </w:tc>
        <w:tc>
          <w:tcPr>
            <w:tcW w:w="1726" w:type="dxa"/>
          </w:tcPr>
          <w:p>
            <w:pPr>
              <w:spacing w:before="240" w:line="240" w:lineRule="auto"/>
              <w:ind w:left="0" w:right="0"/>
              <w:jc w:val="both"/>
              <w:rPr>
                <w:sz w:val="20"/>
                <w:szCs w:val="20"/>
                <w:rtl/>
              </w:rPr>
            </w:pPr>
            <w:r>
              <w:rPr>
                <w:rFonts w:hint="cs"/>
                <w:sz w:val="20"/>
                <w:szCs w:val="20"/>
                <w:rtl/>
              </w:rPr>
              <w:t>תיירות</w:t>
            </w:r>
          </w:p>
        </w:tc>
      </w:tr>
      <w:tr>
        <w:tblPrEx>
          <w:tblW w:w="9360" w:type="dxa"/>
          <w:jc w:val="right"/>
          <w:tblInd w:w="-672" w:type="dxa"/>
          <w:tblCellMar>
            <w:left w:w="108" w:type="dxa"/>
            <w:right w:w="108" w:type="dxa"/>
          </w:tblCellMar>
          <w:tblLook w:val="0000"/>
        </w:tblPrEx>
        <w:trPr>
          <w:jc w:val="right"/>
        </w:trPr>
        <w:tc>
          <w:tcPr>
            <w:tcW w:w="1307" w:type="dxa"/>
          </w:tcPr>
          <w:p>
            <w:pPr>
              <w:spacing w:before="240" w:line="240" w:lineRule="auto"/>
              <w:ind w:left="0" w:right="0"/>
              <w:jc w:val="both"/>
              <w:rPr>
                <w:rFonts w:hint="cs"/>
                <w:sz w:val="20"/>
                <w:szCs w:val="20"/>
                <w:rtl/>
              </w:rPr>
            </w:pPr>
            <w:r>
              <w:rPr>
                <w:rFonts w:hint="cs"/>
                <w:sz w:val="20"/>
                <w:szCs w:val="20"/>
                <w:rtl/>
              </w:rPr>
              <w:t>39</w:t>
            </w:r>
          </w:p>
        </w:tc>
        <w:tc>
          <w:tcPr>
            <w:tcW w:w="1055" w:type="dxa"/>
          </w:tcPr>
          <w:p>
            <w:pPr>
              <w:spacing w:before="240" w:line="240" w:lineRule="auto"/>
              <w:ind w:left="0" w:right="0"/>
              <w:jc w:val="both"/>
              <w:rPr>
                <w:rFonts w:hint="cs"/>
                <w:sz w:val="20"/>
                <w:szCs w:val="20"/>
                <w:rtl/>
              </w:rPr>
            </w:pPr>
            <w:r>
              <w:rPr>
                <w:rFonts w:hint="cs"/>
                <w:sz w:val="20"/>
                <w:szCs w:val="20"/>
                <w:rtl/>
              </w:rPr>
              <w:t>22</w:t>
            </w:r>
          </w:p>
        </w:tc>
        <w:tc>
          <w:tcPr>
            <w:tcW w:w="1166" w:type="dxa"/>
          </w:tcPr>
          <w:p>
            <w:pPr>
              <w:spacing w:before="240" w:line="240" w:lineRule="auto"/>
              <w:ind w:left="0" w:right="0"/>
              <w:jc w:val="both"/>
              <w:rPr>
                <w:rFonts w:hint="cs"/>
                <w:sz w:val="20"/>
                <w:szCs w:val="20"/>
                <w:rtl/>
              </w:rPr>
            </w:pPr>
            <w:r>
              <w:rPr>
                <w:rFonts w:hint="cs"/>
                <w:sz w:val="20"/>
                <w:szCs w:val="20"/>
                <w:rtl/>
              </w:rPr>
              <w:t>14</w:t>
            </w:r>
          </w:p>
        </w:tc>
        <w:tc>
          <w:tcPr>
            <w:tcW w:w="944" w:type="dxa"/>
          </w:tcPr>
          <w:p>
            <w:pPr>
              <w:spacing w:before="240" w:line="240" w:lineRule="auto"/>
              <w:ind w:left="0" w:right="0"/>
              <w:jc w:val="both"/>
              <w:rPr>
                <w:rFonts w:hint="cs"/>
                <w:sz w:val="20"/>
                <w:szCs w:val="20"/>
                <w:rtl/>
              </w:rPr>
            </w:pPr>
            <w:r>
              <w:rPr>
                <w:rFonts w:hint="cs"/>
                <w:sz w:val="20"/>
                <w:szCs w:val="20"/>
                <w:rtl/>
              </w:rPr>
              <w:t>7</w:t>
            </w:r>
          </w:p>
        </w:tc>
        <w:tc>
          <w:tcPr>
            <w:tcW w:w="1054" w:type="dxa"/>
          </w:tcPr>
          <w:p>
            <w:pPr>
              <w:spacing w:before="240" w:line="240" w:lineRule="auto"/>
              <w:ind w:left="0" w:right="0"/>
              <w:jc w:val="both"/>
              <w:rPr>
                <w:rFonts w:hint="cs"/>
                <w:sz w:val="20"/>
                <w:szCs w:val="20"/>
                <w:rtl/>
              </w:rPr>
            </w:pPr>
            <w:r>
              <w:rPr>
                <w:rFonts w:hint="cs"/>
                <w:sz w:val="20"/>
                <w:szCs w:val="20"/>
                <w:rtl/>
              </w:rPr>
              <w:t>1</w:t>
            </w:r>
          </w:p>
        </w:tc>
        <w:tc>
          <w:tcPr>
            <w:tcW w:w="1054" w:type="dxa"/>
          </w:tcPr>
          <w:p>
            <w:pPr>
              <w:spacing w:before="240" w:line="240" w:lineRule="auto"/>
              <w:ind w:left="0" w:right="0"/>
              <w:jc w:val="both"/>
              <w:rPr>
                <w:rFonts w:hint="cs"/>
                <w:sz w:val="20"/>
                <w:szCs w:val="20"/>
                <w:rtl/>
              </w:rPr>
            </w:pPr>
            <w:r>
              <w:rPr>
                <w:rFonts w:hint="cs"/>
                <w:sz w:val="20"/>
                <w:szCs w:val="20"/>
                <w:rtl/>
              </w:rPr>
              <w:t>34</w:t>
            </w:r>
          </w:p>
        </w:tc>
        <w:tc>
          <w:tcPr>
            <w:tcW w:w="1054" w:type="dxa"/>
          </w:tcPr>
          <w:p>
            <w:pPr>
              <w:spacing w:before="240" w:line="240" w:lineRule="auto"/>
              <w:ind w:left="0" w:right="0"/>
              <w:jc w:val="both"/>
              <w:rPr>
                <w:rFonts w:hint="cs"/>
                <w:sz w:val="20"/>
                <w:szCs w:val="20"/>
                <w:rtl/>
              </w:rPr>
            </w:pPr>
            <w:r>
              <w:rPr>
                <w:rFonts w:hint="cs"/>
                <w:sz w:val="20"/>
                <w:szCs w:val="20"/>
                <w:rtl/>
              </w:rPr>
              <w:t>56</w:t>
            </w:r>
          </w:p>
        </w:tc>
        <w:tc>
          <w:tcPr>
            <w:tcW w:w="1726" w:type="dxa"/>
            <w:tcBorders>
              <w:bottom w:val="single" w:sz="4" w:space="0" w:color="auto"/>
            </w:tcBorders>
          </w:tcPr>
          <w:p>
            <w:pPr>
              <w:spacing w:before="240" w:line="240" w:lineRule="auto"/>
              <w:ind w:left="0" w:right="0"/>
              <w:jc w:val="both"/>
              <w:rPr>
                <w:rFonts w:hint="cs"/>
                <w:sz w:val="20"/>
                <w:szCs w:val="20"/>
                <w:rtl/>
              </w:rPr>
            </w:pPr>
            <w:r>
              <w:rPr>
                <w:rFonts w:hint="cs"/>
                <w:sz w:val="20"/>
                <w:szCs w:val="20"/>
                <w:rtl/>
              </w:rPr>
              <w:t>בטחון</w:t>
            </w:r>
          </w:p>
        </w:tc>
      </w:tr>
      <w:tr>
        <w:tblPrEx>
          <w:tblW w:w="9360" w:type="dxa"/>
          <w:jc w:val="right"/>
          <w:tblInd w:w="-672" w:type="dxa"/>
          <w:tblCellMar>
            <w:left w:w="108" w:type="dxa"/>
            <w:right w:w="108" w:type="dxa"/>
          </w:tblCellMar>
          <w:tblLook w:val="0000"/>
        </w:tblPrEx>
        <w:trPr>
          <w:jc w:val="right"/>
        </w:trPr>
        <w:tc>
          <w:tcPr>
            <w:tcW w:w="1307" w:type="dxa"/>
            <w:tcBorders>
              <w:bottom w:val="dashed" w:sz="4" w:space="0" w:color="auto"/>
            </w:tcBorders>
          </w:tcPr>
          <w:p>
            <w:pPr>
              <w:spacing w:before="240" w:line="240" w:lineRule="auto"/>
              <w:ind w:left="0" w:right="0"/>
              <w:jc w:val="both"/>
              <w:rPr>
                <w:rFonts w:hint="cs"/>
                <w:sz w:val="20"/>
                <w:szCs w:val="20"/>
                <w:rtl/>
              </w:rPr>
            </w:pPr>
            <w:r>
              <w:rPr>
                <w:rFonts w:hint="cs"/>
                <w:sz w:val="20"/>
                <w:szCs w:val="20"/>
                <w:rtl/>
              </w:rPr>
              <w:t>25</w:t>
            </w:r>
          </w:p>
        </w:tc>
        <w:tc>
          <w:tcPr>
            <w:tcW w:w="1055" w:type="dxa"/>
            <w:tcBorders>
              <w:bottom w:val="dashed" w:sz="4" w:space="0" w:color="auto"/>
            </w:tcBorders>
          </w:tcPr>
          <w:p>
            <w:pPr>
              <w:spacing w:before="240" w:line="240" w:lineRule="auto"/>
              <w:ind w:left="0" w:right="0"/>
              <w:jc w:val="both"/>
              <w:rPr>
                <w:rFonts w:hint="cs"/>
                <w:sz w:val="20"/>
                <w:szCs w:val="20"/>
                <w:rtl/>
              </w:rPr>
            </w:pPr>
            <w:r>
              <w:rPr>
                <w:rFonts w:hint="cs"/>
                <w:sz w:val="20"/>
                <w:szCs w:val="20"/>
                <w:rtl/>
              </w:rPr>
              <w:t>17</w:t>
            </w:r>
          </w:p>
        </w:tc>
        <w:tc>
          <w:tcPr>
            <w:tcW w:w="1166" w:type="dxa"/>
            <w:tcBorders>
              <w:bottom w:val="dashed" w:sz="4" w:space="0" w:color="auto"/>
            </w:tcBorders>
          </w:tcPr>
          <w:p>
            <w:pPr>
              <w:spacing w:before="240" w:line="240" w:lineRule="auto"/>
              <w:ind w:left="0" w:right="0"/>
              <w:jc w:val="both"/>
              <w:rPr>
                <w:rFonts w:hint="cs"/>
                <w:sz w:val="20"/>
                <w:szCs w:val="20"/>
                <w:rtl/>
              </w:rPr>
            </w:pPr>
            <w:r>
              <w:rPr>
                <w:rFonts w:hint="cs"/>
                <w:sz w:val="20"/>
                <w:szCs w:val="20"/>
                <w:rtl/>
              </w:rPr>
              <w:t>11</w:t>
            </w:r>
          </w:p>
        </w:tc>
        <w:tc>
          <w:tcPr>
            <w:tcW w:w="944" w:type="dxa"/>
            <w:tcBorders>
              <w:bottom w:val="dashed" w:sz="4" w:space="0" w:color="auto"/>
            </w:tcBorders>
          </w:tcPr>
          <w:p>
            <w:pPr>
              <w:spacing w:before="240" w:line="240" w:lineRule="auto"/>
              <w:ind w:left="0" w:right="0"/>
              <w:jc w:val="both"/>
              <w:rPr>
                <w:rFonts w:hint="cs"/>
                <w:sz w:val="20"/>
                <w:szCs w:val="20"/>
                <w:rtl/>
              </w:rPr>
            </w:pPr>
            <w:r>
              <w:rPr>
                <w:rFonts w:hint="cs"/>
                <w:sz w:val="20"/>
                <w:szCs w:val="20"/>
                <w:rtl/>
              </w:rPr>
              <w:t>4</w:t>
            </w:r>
          </w:p>
        </w:tc>
        <w:tc>
          <w:tcPr>
            <w:tcW w:w="1054" w:type="dxa"/>
            <w:tcBorders>
              <w:bottom w:val="dashed" w:sz="4" w:space="0" w:color="auto"/>
            </w:tcBorders>
          </w:tcPr>
          <w:p>
            <w:pPr>
              <w:spacing w:before="240" w:line="240" w:lineRule="auto"/>
              <w:ind w:left="0" w:right="0"/>
              <w:jc w:val="both"/>
              <w:rPr>
                <w:rFonts w:hint="cs"/>
                <w:sz w:val="20"/>
                <w:szCs w:val="20"/>
                <w:rtl/>
              </w:rPr>
            </w:pPr>
            <w:r>
              <w:rPr>
                <w:rFonts w:hint="cs"/>
                <w:sz w:val="20"/>
                <w:szCs w:val="20"/>
                <w:rtl/>
              </w:rPr>
              <w:t>2</w:t>
            </w:r>
          </w:p>
        </w:tc>
        <w:tc>
          <w:tcPr>
            <w:tcW w:w="1054" w:type="dxa"/>
            <w:tcBorders>
              <w:bottom w:val="dashed" w:sz="4" w:space="0" w:color="auto"/>
            </w:tcBorders>
          </w:tcPr>
          <w:p>
            <w:pPr>
              <w:spacing w:before="240" w:line="240" w:lineRule="auto"/>
              <w:ind w:left="0" w:right="0"/>
              <w:jc w:val="both"/>
              <w:rPr>
                <w:rFonts w:hint="cs"/>
                <w:sz w:val="20"/>
                <w:szCs w:val="20"/>
                <w:rtl/>
              </w:rPr>
            </w:pPr>
            <w:r>
              <w:rPr>
                <w:rFonts w:hint="cs"/>
                <w:sz w:val="20"/>
                <w:szCs w:val="20"/>
                <w:rtl/>
              </w:rPr>
              <w:t>52</w:t>
            </w:r>
          </w:p>
        </w:tc>
        <w:tc>
          <w:tcPr>
            <w:tcW w:w="1054" w:type="dxa"/>
            <w:tcBorders>
              <w:bottom w:val="dashed" w:sz="4" w:space="0" w:color="auto"/>
            </w:tcBorders>
          </w:tcPr>
          <w:p>
            <w:pPr>
              <w:spacing w:before="240" w:line="240" w:lineRule="auto"/>
              <w:ind w:left="0" w:right="0"/>
              <w:jc w:val="both"/>
              <w:rPr>
                <w:rFonts w:hint="cs"/>
                <w:sz w:val="20"/>
                <w:szCs w:val="20"/>
                <w:rtl/>
              </w:rPr>
            </w:pPr>
            <w:r>
              <w:rPr>
                <w:rFonts w:hint="cs"/>
                <w:sz w:val="20"/>
                <w:szCs w:val="20"/>
                <w:rtl/>
              </w:rPr>
              <w:t>69</w:t>
            </w:r>
          </w:p>
        </w:tc>
        <w:tc>
          <w:tcPr>
            <w:tcW w:w="1726" w:type="dxa"/>
            <w:tcBorders>
              <w:bottom w:val="nil"/>
            </w:tcBorders>
          </w:tcPr>
          <w:p>
            <w:pPr>
              <w:spacing w:before="240" w:line="240" w:lineRule="auto"/>
              <w:ind w:left="0" w:right="0"/>
              <w:jc w:val="both"/>
              <w:rPr>
                <w:rFonts w:hint="cs"/>
                <w:sz w:val="20"/>
                <w:szCs w:val="20"/>
                <w:rtl/>
              </w:rPr>
            </w:pPr>
            <w:r>
              <w:rPr>
                <w:rFonts w:hint="cs"/>
                <w:sz w:val="20"/>
                <w:szCs w:val="20"/>
                <w:rtl/>
              </w:rPr>
              <w:t>שאר המשרדים</w:t>
            </w:r>
          </w:p>
        </w:tc>
      </w:tr>
      <w:tr>
        <w:tblPrEx>
          <w:tblW w:w="9360" w:type="dxa"/>
          <w:jc w:val="right"/>
          <w:tblInd w:w="-672" w:type="dxa"/>
          <w:tblCellMar>
            <w:left w:w="108" w:type="dxa"/>
            <w:right w:w="108" w:type="dxa"/>
          </w:tblCellMar>
          <w:tblLook w:val="0000"/>
        </w:tblPrEx>
        <w:trPr>
          <w:jc w:val="right"/>
        </w:trPr>
        <w:tc>
          <w:tcPr>
            <w:tcW w:w="1307" w:type="dxa"/>
            <w:tcBorders>
              <w:top w:val="dashed" w:sz="4" w:space="0" w:color="auto"/>
              <w:bottom w:val="nil"/>
            </w:tcBorders>
          </w:tcPr>
          <w:p>
            <w:pPr>
              <w:spacing w:before="240" w:line="240" w:lineRule="auto"/>
              <w:ind w:left="0" w:right="0"/>
              <w:jc w:val="both"/>
              <w:rPr>
                <w:rFonts w:hint="cs"/>
                <w:sz w:val="20"/>
                <w:szCs w:val="20"/>
                <w:rtl/>
              </w:rPr>
            </w:pPr>
            <w:r>
              <w:rPr>
                <w:rFonts w:hint="cs"/>
                <w:sz w:val="20"/>
                <w:szCs w:val="20"/>
                <w:rtl/>
              </w:rPr>
              <w:t>61</w:t>
            </w:r>
          </w:p>
        </w:tc>
        <w:tc>
          <w:tcPr>
            <w:tcW w:w="1055" w:type="dxa"/>
            <w:tcBorders>
              <w:top w:val="dashed" w:sz="4" w:space="0" w:color="auto"/>
              <w:bottom w:val="nil"/>
            </w:tcBorders>
          </w:tcPr>
          <w:p>
            <w:pPr>
              <w:spacing w:before="240" w:line="240" w:lineRule="auto"/>
              <w:ind w:left="0" w:right="0"/>
              <w:jc w:val="both"/>
              <w:rPr>
                <w:rFonts w:hint="cs"/>
                <w:sz w:val="20"/>
                <w:szCs w:val="20"/>
                <w:rtl/>
              </w:rPr>
            </w:pPr>
            <w:r>
              <w:rPr>
                <w:rFonts w:hint="cs"/>
                <w:sz w:val="20"/>
                <w:szCs w:val="20"/>
                <w:rtl/>
              </w:rPr>
              <w:t>352</w:t>
            </w:r>
          </w:p>
        </w:tc>
        <w:tc>
          <w:tcPr>
            <w:tcW w:w="1166" w:type="dxa"/>
            <w:tcBorders>
              <w:top w:val="dashed" w:sz="4" w:space="0" w:color="auto"/>
              <w:bottom w:val="nil"/>
            </w:tcBorders>
          </w:tcPr>
          <w:p>
            <w:pPr>
              <w:spacing w:before="240" w:line="240" w:lineRule="auto"/>
              <w:ind w:left="0" w:right="0"/>
              <w:jc w:val="both"/>
              <w:rPr>
                <w:rFonts w:hint="cs"/>
                <w:sz w:val="20"/>
                <w:szCs w:val="20"/>
                <w:rtl/>
              </w:rPr>
            </w:pPr>
            <w:r>
              <w:rPr>
                <w:rFonts w:hint="cs"/>
                <w:sz w:val="20"/>
                <w:szCs w:val="20"/>
                <w:rtl/>
              </w:rPr>
              <w:t>73</w:t>
            </w:r>
          </w:p>
        </w:tc>
        <w:tc>
          <w:tcPr>
            <w:tcW w:w="944" w:type="dxa"/>
            <w:tcBorders>
              <w:top w:val="dashed" w:sz="4" w:space="0" w:color="auto"/>
              <w:bottom w:val="nil"/>
            </w:tcBorders>
          </w:tcPr>
          <w:p>
            <w:pPr>
              <w:spacing w:before="240" w:line="240" w:lineRule="auto"/>
              <w:ind w:left="0" w:right="0"/>
              <w:jc w:val="both"/>
              <w:rPr>
                <w:rFonts w:hint="cs"/>
                <w:sz w:val="20"/>
                <w:szCs w:val="20"/>
                <w:rtl/>
              </w:rPr>
            </w:pPr>
            <w:r>
              <w:rPr>
                <w:rFonts w:hint="cs"/>
                <w:sz w:val="20"/>
                <w:szCs w:val="20"/>
                <w:rtl/>
              </w:rPr>
              <w:t>124</w:t>
            </w:r>
          </w:p>
        </w:tc>
        <w:tc>
          <w:tcPr>
            <w:tcW w:w="1054" w:type="dxa"/>
            <w:tcBorders>
              <w:top w:val="dashed" w:sz="4" w:space="0" w:color="auto"/>
              <w:bottom w:val="nil"/>
            </w:tcBorders>
          </w:tcPr>
          <w:p>
            <w:pPr>
              <w:spacing w:before="240" w:line="240" w:lineRule="auto"/>
              <w:ind w:left="0" w:right="0"/>
              <w:jc w:val="both"/>
              <w:rPr>
                <w:rFonts w:hint="cs"/>
                <w:sz w:val="20"/>
                <w:szCs w:val="20"/>
                <w:rtl/>
              </w:rPr>
            </w:pPr>
            <w:r>
              <w:rPr>
                <w:rFonts w:hint="cs"/>
                <w:sz w:val="20"/>
                <w:szCs w:val="20"/>
                <w:rtl/>
              </w:rPr>
              <w:t>155</w:t>
            </w:r>
          </w:p>
        </w:tc>
        <w:tc>
          <w:tcPr>
            <w:tcW w:w="1054" w:type="dxa"/>
            <w:tcBorders>
              <w:top w:val="dashed" w:sz="4" w:space="0" w:color="auto"/>
              <w:bottom w:val="nil"/>
            </w:tcBorders>
          </w:tcPr>
          <w:p>
            <w:pPr>
              <w:spacing w:before="240" w:line="240" w:lineRule="auto"/>
              <w:ind w:left="0" w:right="0"/>
              <w:jc w:val="both"/>
              <w:rPr>
                <w:rFonts w:hint="cs"/>
                <w:sz w:val="20"/>
                <w:szCs w:val="20"/>
                <w:rtl/>
              </w:rPr>
            </w:pPr>
            <w:r>
              <w:rPr>
                <w:rFonts w:hint="cs"/>
                <w:sz w:val="20"/>
                <w:szCs w:val="20"/>
                <w:rtl/>
              </w:rPr>
              <w:t>221</w:t>
            </w:r>
          </w:p>
        </w:tc>
        <w:tc>
          <w:tcPr>
            <w:tcW w:w="1054" w:type="dxa"/>
            <w:tcBorders>
              <w:top w:val="dashed" w:sz="4" w:space="0" w:color="auto"/>
              <w:bottom w:val="nil"/>
            </w:tcBorders>
          </w:tcPr>
          <w:p>
            <w:pPr>
              <w:spacing w:before="240" w:line="240" w:lineRule="auto"/>
              <w:ind w:left="0" w:right="0"/>
              <w:jc w:val="both"/>
              <w:rPr>
                <w:rFonts w:hint="cs"/>
                <w:sz w:val="20"/>
                <w:szCs w:val="20"/>
                <w:rtl/>
              </w:rPr>
            </w:pPr>
            <w:r>
              <w:rPr>
                <w:rFonts w:hint="cs"/>
                <w:sz w:val="20"/>
                <w:szCs w:val="20"/>
                <w:rtl/>
              </w:rPr>
              <w:t>57</w:t>
            </w:r>
            <w:r>
              <w:rPr>
                <w:rFonts w:hint="cs"/>
                <w:sz w:val="20"/>
                <w:szCs w:val="20"/>
                <w:rtl/>
              </w:rPr>
              <w:t>3</w:t>
            </w:r>
          </w:p>
        </w:tc>
        <w:tc>
          <w:tcPr>
            <w:tcW w:w="1726" w:type="dxa"/>
            <w:tcBorders>
              <w:top w:val="nil"/>
              <w:bottom w:val="nil"/>
            </w:tcBorders>
          </w:tcPr>
          <w:p>
            <w:pPr>
              <w:spacing w:before="240" w:line="240" w:lineRule="auto"/>
              <w:ind w:left="567" w:right="0"/>
              <w:jc w:val="both"/>
              <w:rPr>
                <w:sz w:val="20"/>
                <w:szCs w:val="20"/>
                <w:rtl/>
              </w:rPr>
            </w:pPr>
            <w:r>
              <w:rPr>
                <w:rFonts w:hint="cs"/>
                <w:sz w:val="20"/>
                <w:szCs w:val="20"/>
                <w:rtl/>
              </w:rPr>
              <w:t>סה"כ</w:t>
            </w:r>
          </w:p>
        </w:tc>
      </w:tr>
    </w:tbl>
    <w:p>
      <w:pPr>
        <w:pStyle w:val="FootnoteText"/>
        <w:spacing w:line="240" w:lineRule="auto"/>
        <w:ind w:left="567" w:right="0"/>
        <w:jc w:val="both"/>
        <w:rPr>
          <w:rFonts w:hint="cs"/>
          <w:rtl/>
        </w:rPr>
      </w:pPr>
    </w:p>
    <w:p>
      <w:pPr>
        <w:pStyle w:val="FootnoteText"/>
        <w:spacing w:line="240" w:lineRule="auto"/>
        <w:ind w:left="567" w:right="0"/>
        <w:jc w:val="both"/>
        <w:rPr>
          <w:rFonts w:hint="cs"/>
          <w:rtl/>
        </w:rPr>
      </w:pPr>
      <w:r>
        <w:rPr>
          <w:rFonts w:hint="cs"/>
          <w:rtl/>
        </w:rPr>
        <w:t>---------------</w:t>
      </w:r>
    </w:p>
    <w:p>
      <w:pPr>
        <w:pStyle w:val="FootnoteText"/>
        <w:spacing w:line="240" w:lineRule="auto"/>
        <w:ind w:left="567" w:right="0"/>
        <w:jc w:val="both"/>
        <w:rPr>
          <w:rFonts w:hint="cs"/>
          <w:sz w:val="18"/>
          <w:rtl/>
        </w:rPr>
      </w:pPr>
      <w:r>
        <w:rPr>
          <w:rFonts w:hint="cs"/>
          <w:sz w:val="18"/>
          <w:rtl/>
        </w:rPr>
        <w:t>(*)</w:t>
        <w:tab/>
        <w:t>מקרא:  ח - תנועת החירות בליכוד,  ל - המפלגה הליברלית בליכוד, ע - מפלגת העבודה הישראלית</w:t>
      </w:r>
    </w:p>
    <w:p>
      <w:pPr>
        <w:spacing w:line="240" w:lineRule="auto"/>
        <w:ind w:left="0" w:right="0"/>
        <w:jc w:val="both"/>
        <w:rPr>
          <w:rFonts w:hint="cs"/>
          <w:rtl/>
        </w:rPr>
      </w:pPr>
      <w:r>
        <w:rPr>
          <w:rtl/>
        </w:rPr>
        <w:br w:type="page"/>
      </w:r>
      <w:r>
        <w:rPr>
          <w:rFonts w:hint="cs"/>
          <w:rtl/>
        </w:rPr>
        <w:t xml:space="preserve">מהטבלה עולה, שבקרב סך כל הדירקטורים אישי ציבור שמונו היו חברי מרכזי המפלגות 61%. בחרות שבאחריות שר התיירות הגיע שיעורם ל-80%, בחברות שבאחריות שר האוצר ל-72%, בחברות שבאחריות שר הבינוי והשיכון ל-70%, בחברות שבאחריות שר התחבורה ל-66%, בחברות שבאחריות שר האנרגיה והתשתית ל-64% ובחברות שבאחריות שר הבטחון ל-39%. </w:t>
      </w:r>
    </w:p>
    <w:p>
      <w:pPr>
        <w:spacing w:before="240" w:line="240" w:lineRule="auto"/>
        <w:ind w:left="0" w:right="0"/>
        <w:jc w:val="both"/>
        <w:rPr>
          <w:rFonts w:hint="cs"/>
          <w:rtl/>
        </w:rPr>
      </w:pPr>
      <w:r>
        <w:rPr>
          <w:rFonts w:hint="cs"/>
          <w:rtl/>
        </w:rPr>
        <w:t xml:space="preserve">מבדיקת התפלגות המינויים לפי שנים עולה, ששיעור המינויים מקרב חברי המרכזים בשנים 1987 ו-1988 היה גבוה מאשר בשנת 1986. מגמה זו בולטת במינויים מקרב חברי המרכזים בחברות שבאחריות שר התעשייה והמסחר ושר התחבורה; בשנים 1987 היוו חברי המרכזים 62% מכלל המינויים בחברות שבאחריות שר התעשייה והמסחר ובשנת 1988 הגיע שיעורם ל -79%. בחברות שבאחריות שר התחבורה גדל שיעור המינויים מ-53% בשנת 1987 ל-75% בשנת 1988. </w:t>
      </w:r>
    </w:p>
    <w:p>
      <w:pPr>
        <w:spacing w:before="240" w:line="240" w:lineRule="auto"/>
        <w:ind w:left="0" w:right="0"/>
        <w:jc w:val="both"/>
        <w:rPr>
          <w:rFonts w:hint="cs"/>
          <w:rtl/>
        </w:rPr>
      </w:pPr>
      <w:r>
        <w:rPr>
          <w:rFonts w:hint="cs"/>
          <w:rtl/>
        </w:rPr>
        <w:t xml:space="preserve">הביקורת העלתה מספר ניכר של חברות, שבהן כל הדירקטורים או מרביתם - אישי הציבור - היו חברי מרכזי מפלגות. להלן דוגמאות של חברות שבדצמבר 1988 כל הדירקטורים שלהן היו חברי מרכזי מפלגות: חברת חרסית וחול זך, חברת מבני תעשיה, כי"ל תעשיות, מכון היהלומים, החברה לפיתוח לוד-רמלה, מג"ן - משאבי גז ונפט, תמ"מ - תעשיות מזון למטוסים, פז נכסים. </w:t>
      </w:r>
    </w:p>
    <w:p>
      <w:pPr>
        <w:spacing w:before="240" w:line="240" w:lineRule="auto"/>
        <w:ind w:left="0" w:right="0"/>
        <w:jc w:val="both"/>
        <w:rPr>
          <w:rFonts w:hint="cs"/>
          <w:rtl/>
        </w:rPr>
      </w:pPr>
      <w:r>
        <w:rPr>
          <w:rtl/>
        </w:rPr>
        <w:br w:type="page"/>
      </w:r>
      <w:r>
        <w:rPr>
          <w:rFonts w:hint="cs"/>
          <w:rtl/>
        </w:rPr>
        <w:t>מרבית אישי הציבור שמינה שר האנרגיה והתשתית בשנים 1986 ו-1988 בחברות שבאחריותו היו מקרב חברי מרכז מפלגת העבודה. בשנת 1987 מונו על ידו אישי ציבור במספר שווה (17-17) מקרב חברי מרכזי מפלגת העבודה והמפלגה הליברלית בליכוד.</w:t>
      </w:r>
    </w:p>
    <w:p>
      <w:pPr>
        <w:spacing w:before="240" w:line="240" w:lineRule="auto"/>
        <w:ind w:left="0" w:right="0"/>
        <w:jc w:val="both"/>
        <w:rPr>
          <w:rFonts w:hint="cs"/>
          <w:rtl/>
        </w:rPr>
      </w:pPr>
      <w:r>
        <w:rPr>
          <w:rFonts w:hint="cs"/>
          <w:rtl/>
        </w:rPr>
        <w:t>כן העלתה הביקורת, שמכלל 479 דירקטורים, עובדי מדינה וחברות, שמונו בתקופה זו, היו 43 חברי מרכזי מפלגות. 13 מונו בחברות שבאחריות שר התעשיה והמסחר, 10 בחברות שבאחריות שר הבינוי והשיכון, 5 מונו בחברות שבאחריות שר האוצר, 4 בחברות שבאחריות שר האנרגיה והתשתית, 4 בחברות שבאחריות שר התיירות, 2 בחברות שבאחריות שר התחבורה ו-5 בחברות שבאחריות יתר השרים.</w:t>
      </w:r>
    </w:p>
    <w:p>
      <w:pPr>
        <w:spacing w:before="240" w:line="240" w:lineRule="auto"/>
        <w:ind w:left="0" w:right="0"/>
        <w:jc w:val="both"/>
        <w:rPr>
          <w:rFonts w:hint="cs"/>
          <w:rtl/>
        </w:rPr>
      </w:pPr>
      <w:r>
        <w:rPr>
          <w:rFonts w:hint="cs"/>
          <w:rtl/>
        </w:rPr>
        <w:t>אמנם עובדת חברותו של מועמד במפלגה זו או אחרת אין בה כשלעצמה, כדי לפסול אותו מלשמש כדירקטור. עובדה זו צריך שתהיה גורם נויטרלי, שלא יובא כלל בחשבון, לשבט או לחסד, בעת שקילת בחירתו של מועמד. הנתונים שהובאו לעיל מצביעים בעליל על העדפה ניכרת של חברי מרכזי המפלגות, אליהן משתייכים השרים האחראים לאותן חברות.</w:t>
      </w:r>
    </w:p>
    <w:p>
      <w:pPr>
        <w:spacing w:before="240" w:line="240" w:lineRule="auto"/>
        <w:ind w:left="0" w:right="0"/>
        <w:jc w:val="both"/>
        <w:rPr>
          <w:rFonts w:hint="cs"/>
          <w:rtl/>
        </w:rPr>
      </w:pPr>
      <w:r>
        <w:rPr>
          <w:rFonts w:hint="cs"/>
          <w:rtl/>
        </w:rPr>
        <w:t>התגברות המגמה בשנת 1987, וביחוד בשנת 1988, נותנת מקום לחשש שהמינוי לא היה נקי משיקולים זרים, שהרי מרכזי המפלגות הם אלה שבחרו בשנת 1988 את מועמדי המפלגות לכנסת.</w:t>
      </w:r>
    </w:p>
    <w:p>
      <w:pPr>
        <w:spacing w:before="240" w:line="240" w:lineRule="auto"/>
        <w:ind w:left="0" w:right="0"/>
        <w:jc w:val="both"/>
        <w:rPr>
          <w:rFonts w:hint="cs"/>
          <w:rtl/>
        </w:rPr>
      </w:pPr>
      <w:r>
        <w:rPr>
          <w:rtl/>
        </w:rPr>
        <w:br w:type="page"/>
      </w:r>
      <w:r>
        <w:rPr>
          <w:rFonts w:hint="cs"/>
          <w:rtl/>
        </w:rPr>
        <w:t>בתגובתם על ממצאי הביקורת העלו חלק מהשרים טענה, שתמציתה היא, כי הואיל והשרים עצמם, מונו רובם ככולם, על רקע חברותם במפלגה פוליטית, אך טבעי הוא שמאגר האנשים עימם יש להם היכרות עמוקה, ועל כן יכולת להעריך את רמתם המקצועית ותכונותיהם האישיות, מצוי במרכזי הפעילות הציבורית והפוליטית.</w:t>
      </w:r>
    </w:p>
    <w:p>
      <w:pPr>
        <w:spacing w:before="240" w:line="240" w:lineRule="auto"/>
        <w:ind w:left="0" w:right="0"/>
        <w:jc w:val="both"/>
        <w:rPr>
          <w:rFonts w:hint="cs"/>
          <w:rtl/>
        </w:rPr>
      </w:pPr>
      <w:r>
        <w:rPr>
          <w:rFonts w:hint="cs"/>
          <w:rtl/>
        </w:rPr>
        <w:t>לדעת הביקורת, אין לקבל טענה זו. בהיכרות אישית אין אומנם כל פסול - והיא אף עשוייה להוסיף שיקול רלבנטי אך את המועמדים המתאימים ביותר שומה לחפש בקרב כלל הציבור, ובעת הצעת מועמדים לדירקטוריון על השר המציע להשתכנע שאין טובים מהם. לשון אחר, אין לצמצם את חוג האנשים שמתוכם ממנים דירקטורים לאלה שהשרים מכירים אותם אישית. גישה מצמצמת כמתואר כמוה כמתן משקל מכריע להיכרות האישית שהיא לכל היותר רק אחד השיקולים אם להציע את המועמד, יתר על כן, ריכוז הבחירה במאגר כמתואר סותר את העקרון של מתן הזדמנות לכל מועמד אפשרי, כדי לבחור מביניהם את הטוב והמתאים ביותר.</w:t>
      </w:r>
    </w:p>
    <w:p>
      <w:pPr>
        <w:spacing w:before="240" w:line="240" w:lineRule="auto"/>
        <w:ind w:left="0" w:right="0"/>
        <w:jc w:val="both"/>
        <w:rPr>
          <w:rFonts w:hint="cs"/>
          <w:rtl/>
        </w:rPr>
      </w:pPr>
      <w:r>
        <w:rPr>
          <w:rFonts w:hint="cs"/>
          <w:rtl/>
        </w:rPr>
        <w:t>טענה נוספת שהעלו חלק מן השרים היתה כי : "משך עשרות שנים נתפסו עיקר המשרות הציבוריות בידי חברים ופעילים של מפלגה אחת מסוימת והמשטר כשיטה הקפיד למניעת ההזדמנות לעשייה ציבורית מאלה שאינם נמנים על אותה מפלגה. "(הציטוט מדברי אחד השרים בתשובתו לביקורת. דברים ברוח טענה זו השמיעו שרים נוספים).</w:t>
      </w:r>
    </w:p>
    <w:p>
      <w:pPr>
        <w:spacing w:before="240" w:line="240" w:lineRule="auto"/>
        <w:ind w:left="0" w:right="0"/>
        <w:jc w:val="both"/>
        <w:rPr>
          <w:rFonts w:hint="cs"/>
          <w:rtl/>
        </w:rPr>
      </w:pPr>
      <w:r>
        <w:rPr>
          <w:rtl/>
        </w:rPr>
        <w:br w:type="page"/>
      </w:r>
      <w:r>
        <w:rPr>
          <w:rFonts w:hint="cs"/>
          <w:rtl/>
        </w:rPr>
        <w:t>מדברים אלה משתמע כי - לדעת אותם שרים - לגיטימי הוא לאזן את המינויים הפוליטיים שעושה מפלגה אחת על ידי מינויים פוליטיים מטעם מפלגה אחרת. לדעת הביקורת יש לדחות טענה זו. אם אכן היו נהוגות בעבר נורמות פסולות, הדרך לתיקונן אינה טמונה בהמשך קיומן של אותן נורמות ובאיזון העוול על ידי עוול אחר, אלא בהשלטת סידרי מינהל תקינים ונורמות ממלכתיות תחתיהן, תוך מינוי הדירקטורים הטובים ביותר מקרב כלל הציבור.</w:t>
      </w:r>
    </w:p>
    <w:p>
      <w:pPr>
        <w:pStyle w:val="1"/>
        <w:spacing w:before="100" w:beforeAutospacing="1" w:after="100" w:afterAutospacing="1" w:line="240" w:lineRule="auto"/>
        <w:ind w:left="0" w:right="0"/>
        <w:jc w:val="center"/>
        <w:rPr>
          <w:rFonts w:hint="cs"/>
          <w:rtl/>
        </w:rPr>
      </w:pPr>
      <w:r>
        <w:rPr>
          <w:rtl/>
        </w:rPr>
        <w:br w:type="page"/>
      </w:r>
      <w:r>
        <w:rPr>
          <w:rFonts w:hint="cs"/>
          <w:rtl/>
        </w:rPr>
        <w:t>דירקטורים עובדי מדינה וחברות</w:t>
      </w:r>
    </w:p>
    <w:p>
      <w:pPr>
        <w:spacing w:before="100" w:beforeAutospacing="1" w:after="100" w:afterAutospacing="1" w:line="240" w:lineRule="auto"/>
        <w:ind w:left="0" w:right="0"/>
        <w:jc w:val="both"/>
        <w:rPr>
          <w:rFonts w:hint="cs"/>
          <w:rtl/>
        </w:rPr>
      </w:pPr>
    </w:p>
    <w:p>
      <w:pPr>
        <w:spacing w:before="100" w:beforeAutospacing="1" w:after="100" w:afterAutospacing="1" w:line="240" w:lineRule="auto"/>
        <w:ind w:left="0" w:right="0"/>
        <w:jc w:val="both"/>
        <w:rPr>
          <w:rFonts w:hint="cs"/>
          <w:rtl/>
        </w:rPr>
      </w:pPr>
      <w:r>
        <w:rPr>
          <w:rFonts w:hint="cs"/>
          <w:rtl/>
        </w:rPr>
        <w:t>החוק מסמיך את שר האוצר, בהתייעצות עם הרשות ובאישור ועדת הכספים של הכנסת, לקבוע בתקנות כמה דירקטורים יהיו מקרב הציבור וכמה מקרב עובדי המדינה. תקנות כאלה לא הותקנו עד כה. עוד קובע החוק, כי מספר הדירקטורים מבין עובדי המדינה לא יעלה על שני שלישים מכלל חברי הדירקטוריון שנתמנו כנציגי הממשלה. החוק אינו קובע מספר מינימלי של עובדי מדינה; להלכה ניתן למנות את כל חברי הדירקטוריון, עד למספר המירבי הנקוב בתקנות ההתאגדות של כל חברה, מקרב הציבור.</w:t>
      </w:r>
    </w:p>
    <w:p>
      <w:pPr>
        <w:spacing w:before="240" w:line="240" w:lineRule="auto"/>
        <w:ind w:left="0" w:right="0"/>
        <w:jc w:val="both"/>
        <w:rPr>
          <w:rFonts w:hint="cs"/>
          <w:rtl/>
        </w:rPr>
      </w:pPr>
      <w:r>
        <w:rPr>
          <w:rtl/>
        </w:rPr>
        <w:br w:type="page"/>
      </w:r>
      <w:r>
        <w:rPr>
          <w:rFonts w:hint="cs"/>
          <w:rtl/>
        </w:rPr>
        <w:t>לפי נתוני הרשות ל-15.12.88 מנו הדירקטורים עובדי המדינה כשליש בלבד מתוך כלל הדירקטורים, דבר הנובע מנטיית חלק מהשרים להרבות במינוי דירקטורים מקרב הציבור (ראה לעיל). הביקורת העלתה דירקטוריונים של חברות ממשלתיות, מהן גדולות וחשובות, שחבריהם כוללים מספר מועט מקרב עובדי המדינה ולעתים אף לא אחד. דוגמאות ראה בטבלה שלהלן:</w:t>
      </w:r>
    </w:p>
    <w:p>
      <w:pPr>
        <w:spacing w:before="240" w:line="240" w:lineRule="auto"/>
        <w:ind w:left="0" w:right="0"/>
        <w:jc w:val="both"/>
        <w:rPr>
          <w:rFonts w:hint="cs"/>
          <w:rtl/>
        </w:rPr>
      </w:pPr>
    </w:p>
    <w:tbl>
      <w:tblPr>
        <w:tblW w:w="0" w:type="auto"/>
        <w:jc w:val="righ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
      <w:tblGrid>
        <w:gridCol w:w="1663"/>
        <w:gridCol w:w="1664"/>
        <w:gridCol w:w="1043"/>
        <w:gridCol w:w="626"/>
        <w:gridCol w:w="3440"/>
      </w:tblGrid>
      <w:tr>
        <w:tblPrEx>
          <w:tblW w:w="0" w:type="auto"/>
          <w:jc w:val="righ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07"/>
          <w:jc w:val="right"/>
        </w:trPr>
        <w:tc>
          <w:tcPr>
            <w:tcW w:w="1688" w:type="dxa"/>
            <w:tcBorders>
              <w:bottom w:val="dashed" w:sz="4" w:space="0" w:color="auto"/>
            </w:tcBorders>
            <w:vAlign w:val="bottom"/>
          </w:tcPr>
          <w:p>
            <w:pPr>
              <w:spacing w:before="240" w:line="240" w:lineRule="auto"/>
              <w:ind w:left="0" w:right="0"/>
              <w:jc w:val="both"/>
              <w:rPr>
                <w:rFonts w:hint="cs"/>
                <w:sz w:val="20"/>
                <w:szCs w:val="20"/>
              </w:rPr>
            </w:pPr>
            <w:r>
              <w:rPr>
                <w:rFonts w:hint="cs"/>
                <w:sz w:val="20"/>
                <w:szCs w:val="20"/>
                <w:rtl/>
              </w:rPr>
              <w:t>מתוכם חברי מרכזי מפלגות</w:t>
            </w:r>
          </w:p>
        </w:tc>
        <w:tc>
          <w:tcPr>
            <w:tcW w:w="1687" w:type="dxa"/>
            <w:tcBorders>
              <w:bottom w:val="dashed" w:sz="4" w:space="0" w:color="auto"/>
            </w:tcBorders>
            <w:vAlign w:val="bottom"/>
          </w:tcPr>
          <w:p>
            <w:pPr>
              <w:spacing w:before="240" w:line="240" w:lineRule="auto"/>
              <w:ind w:left="0" w:right="0"/>
              <w:jc w:val="both"/>
              <w:rPr>
                <w:rFonts w:hint="cs"/>
                <w:sz w:val="20"/>
                <w:szCs w:val="20"/>
              </w:rPr>
            </w:pPr>
            <w:r>
              <w:rPr>
                <w:rFonts w:hint="cs"/>
                <w:sz w:val="20"/>
                <w:szCs w:val="20"/>
                <w:rtl/>
              </w:rPr>
              <w:t>אישי ציבור(*)</w:t>
            </w:r>
          </w:p>
        </w:tc>
        <w:tc>
          <w:tcPr>
            <w:tcW w:w="1053" w:type="dxa"/>
            <w:tcBorders>
              <w:bottom w:val="dashed" w:sz="4" w:space="0" w:color="auto"/>
            </w:tcBorders>
            <w:vAlign w:val="bottom"/>
          </w:tcPr>
          <w:p>
            <w:pPr>
              <w:spacing w:before="240" w:line="240" w:lineRule="auto"/>
              <w:ind w:left="0" w:right="0"/>
              <w:jc w:val="both"/>
              <w:rPr>
                <w:rFonts w:hint="cs"/>
                <w:sz w:val="20"/>
                <w:szCs w:val="20"/>
              </w:rPr>
            </w:pPr>
            <w:r>
              <w:rPr>
                <w:rFonts w:hint="cs"/>
                <w:sz w:val="20"/>
                <w:szCs w:val="20"/>
                <w:rtl/>
              </w:rPr>
              <w:t>עובדי מדינה</w:t>
            </w:r>
          </w:p>
        </w:tc>
        <w:tc>
          <w:tcPr>
            <w:tcW w:w="504" w:type="dxa"/>
            <w:tcBorders>
              <w:bottom w:val="dashed" w:sz="4" w:space="0" w:color="auto"/>
            </w:tcBorders>
            <w:vAlign w:val="bottom"/>
          </w:tcPr>
          <w:p>
            <w:pPr>
              <w:spacing w:before="240" w:line="240" w:lineRule="auto"/>
              <w:ind w:left="0" w:right="0"/>
              <w:jc w:val="both"/>
              <w:rPr>
                <w:rFonts w:hint="cs"/>
                <w:sz w:val="20"/>
                <w:szCs w:val="20"/>
              </w:rPr>
            </w:pPr>
            <w:r>
              <w:rPr>
                <w:rFonts w:hint="cs"/>
                <w:sz w:val="20"/>
                <w:szCs w:val="20"/>
                <w:rtl/>
              </w:rPr>
              <w:t>סה"כ</w:t>
            </w:r>
          </w:p>
        </w:tc>
        <w:tc>
          <w:tcPr>
            <w:tcW w:w="3504" w:type="dxa"/>
            <w:tcBorders>
              <w:bottom w:val="dashed" w:sz="4" w:space="0" w:color="auto"/>
            </w:tcBorders>
            <w:vAlign w:val="bottom"/>
          </w:tcPr>
          <w:p>
            <w:pPr>
              <w:spacing w:before="240" w:line="240" w:lineRule="auto"/>
              <w:ind w:left="0" w:right="0"/>
              <w:jc w:val="both"/>
              <w:rPr>
                <w:rFonts w:hint="cs"/>
                <w:sz w:val="20"/>
                <w:szCs w:val="20"/>
              </w:rPr>
            </w:pPr>
            <w:r>
              <w:rPr>
                <w:rFonts w:hint="cs"/>
                <w:sz w:val="20"/>
                <w:szCs w:val="20"/>
                <w:rtl/>
              </w:rPr>
              <w:t>החברה</w:t>
            </w:r>
          </w:p>
        </w:tc>
      </w:tr>
      <w:tr>
        <w:tblPrEx>
          <w:tblW w:w="0" w:type="auto"/>
          <w:jc w:val="right"/>
          <w:tblInd w:w="0" w:type="dxa"/>
          <w:tblCellMar>
            <w:left w:w="108" w:type="dxa"/>
            <w:right w:w="108" w:type="dxa"/>
          </w:tblCellMar>
          <w:tblLook w:val="0000"/>
        </w:tblPrEx>
        <w:trPr>
          <w:jc w:val="right"/>
        </w:trPr>
        <w:tc>
          <w:tcPr>
            <w:tcW w:w="1688" w:type="dxa"/>
            <w:tcBorders>
              <w:top w:val="dashed" w:sz="4" w:space="0" w:color="auto"/>
            </w:tcBorders>
          </w:tcPr>
          <w:p>
            <w:pPr>
              <w:spacing w:before="240" w:line="240" w:lineRule="auto"/>
              <w:ind w:left="0" w:right="0"/>
              <w:jc w:val="both"/>
              <w:rPr>
                <w:rFonts w:hint="cs"/>
                <w:sz w:val="20"/>
                <w:szCs w:val="20"/>
              </w:rPr>
            </w:pPr>
            <w:r>
              <w:rPr>
                <w:rFonts w:hint="cs"/>
                <w:sz w:val="20"/>
                <w:szCs w:val="20"/>
                <w:rtl/>
              </w:rPr>
              <w:t>4</w:t>
            </w:r>
          </w:p>
        </w:tc>
        <w:tc>
          <w:tcPr>
            <w:tcW w:w="1687" w:type="dxa"/>
            <w:tcBorders>
              <w:top w:val="dashed" w:sz="4" w:space="0" w:color="auto"/>
            </w:tcBorders>
          </w:tcPr>
          <w:p>
            <w:pPr>
              <w:spacing w:before="240" w:line="240" w:lineRule="auto"/>
              <w:ind w:left="0" w:right="0"/>
              <w:jc w:val="both"/>
              <w:rPr>
                <w:rFonts w:hint="cs"/>
                <w:sz w:val="20"/>
                <w:szCs w:val="20"/>
              </w:rPr>
            </w:pPr>
            <w:r>
              <w:rPr>
                <w:rFonts w:hint="cs"/>
                <w:sz w:val="20"/>
                <w:szCs w:val="20"/>
                <w:rtl/>
              </w:rPr>
              <w:t>7</w:t>
            </w:r>
          </w:p>
        </w:tc>
        <w:tc>
          <w:tcPr>
            <w:tcW w:w="1053" w:type="dxa"/>
            <w:tcBorders>
              <w:top w:val="dashed" w:sz="4" w:space="0" w:color="auto"/>
            </w:tcBorders>
          </w:tcPr>
          <w:p>
            <w:pPr>
              <w:spacing w:before="240" w:line="240" w:lineRule="auto"/>
              <w:ind w:left="0" w:right="0"/>
              <w:jc w:val="both"/>
              <w:rPr>
                <w:rFonts w:hint="cs"/>
                <w:sz w:val="20"/>
                <w:szCs w:val="20"/>
              </w:rPr>
            </w:pPr>
            <w:r>
              <w:rPr>
                <w:rFonts w:hint="cs"/>
                <w:sz w:val="20"/>
                <w:szCs w:val="20"/>
                <w:rtl/>
              </w:rPr>
              <w:t>3</w:t>
            </w:r>
          </w:p>
        </w:tc>
        <w:tc>
          <w:tcPr>
            <w:tcW w:w="504" w:type="dxa"/>
            <w:tcBorders>
              <w:top w:val="dashed" w:sz="4" w:space="0" w:color="auto"/>
            </w:tcBorders>
          </w:tcPr>
          <w:p>
            <w:pPr>
              <w:spacing w:before="240" w:line="240" w:lineRule="auto"/>
              <w:ind w:left="0" w:right="0"/>
              <w:jc w:val="both"/>
              <w:rPr>
                <w:rFonts w:hint="cs"/>
                <w:sz w:val="20"/>
                <w:szCs w:val="20"/>
              </w:rPr>
            </w:pPr>
            <w:r>
              <w:rPr>
                <w:rFonts w:hint="cs"/>
                <w:sz w:val="20"/>
                <w:szCs w:val="20"/>
                <w:rtl/>
              </w:rPr>
              <w:t>10</w:t>
            </w:r>
          </w:p>
        </w:tc>
        <w:tc>
          <w:tcPr>
            <w:tcW w:w="3504" w:type="dxa"/>
            <w:tcBorders>
              <w:top w:val="dashed" w:sz="4" w:space="0" w:color="auto"/>
            </w:tcBorders>
          </w:tcPr>
          <w:p>
            <w:pPr>
              <w:spacing w:before="240" w:line="240" w:lineRule="auto"/>
              <w:ind w:left="0" w:right="0"/>
              <w:jc w:val="both"/>
              <w:rPr>
                <w:rFonts w:hint="cs"/>
                <w:sz w:val="20"/>
                <w:szCs w:val="20"/>
              </w:rPr>
            </w:pPr>
            <w:r>
              <w:rPr>
                <w:rFonts w:hint="cs"/>
                <w:sz w:val="20"/>
                <w:szCs w:val="20"/>
                <w:rtl/>
              </w:rPr>
              <w:t>החברה הלאומית לאספקת פחם בע"מ</w:t>
            </w:r>
          </w:p>
        </w:tc>
      </w:tr>
      <w:tr>
        <w:tblPrEx>
          <w:tblW w:w="0" w:type="auto"/>
          <w:jc w:val="right"/>
          <w:tblInd w:w="0" w:type="dxa"/>
          <w:tblCellMar>
            <w:left w:w="108" w:type="dxa"/>
            <w:right w:w="108" w:type="dxa"/>
          </w:tblCellMar>
          <w:tblLook w:val="0000"/>
        </w:tblPrEx>
        <w:trPr>
          <w:jc w:val="right"/>
        </w:trPr>
        <w:tc>
          <w:tcPr>
            <w:tcW w:w="1688" w:type="dxa"/>
          </w:tcPr>
          <w:p>
            <w:pPr>
              <w:spacing w:before="240" w:line="240" w:lineRule="auto"/>
              <w:ind w:left="0" w:right="0"/>
              <w:jc w:val="both"/>
              <w:rPr>
                <w:rFonts w:hint="cs"/>
                <w:sz w:val="20"/>
                <w:szCs w:val="20"/>
                <w:rtl/>
              </w:rPr>
            </w:pPr>
            <w:r>
              <w:rPr>
                <w:rFonts w:hint="cs"/>
                <w:sz w:val="20"/>
                <w:szCs w:val="20"/>
                <w:rtl/>
              </w:rPr>
              <w:t>5</w:t>
            </w:r>
          </w:p>
        </w:tc>
        <w:tc>
          <w:tcPr>
            <w:tcW w:w="1687" w:type="dxa"/>
          </w:tcPr>
          <w:p>
            <w:pPr>
              <w:spacing w:before="240" w:line="240" w:lineRule="auto"/>
              <w:ind w:left="0" w:right="0"/>
              <w:jc w:val="both"/>
              <w:rPr>
                <w:rFonts w:hint="cs"/>
                <w:sz w:val="20"/>
                <w:szCs w:val="20"/>
                <w:rtl/>
              </w:rPr>
            </w:pPr>
            <w:r>
              <w:rPr>
                <w:rFonts w:hint="cs"/>
                <w:sz w:val="20"/>
                <w:szCs w:val="20"/>
                <w:rtl/>
              </w:rPr>
              <w:t>7</w:t>
            </w:r>
          </w:p>
        </w:tc>
        <w:tc>
          <w:tcPr>
            <w:tcW w:w="1053" w:type="dxa"/>
          </w:tcPr>
          <w:p>
            <w:pPr>
              <w:spacing w:before="240" w:line="240" w:lineRule="auto"/>
              <w:ind w:left="0" w:right="0"/>
              <w:jc w:val="both"/>
              <w:rPr>
                <w:rFonts w:hint="cs"/>
                <w:sz w:val="20"/>
                <w:szCs w:val="20"/>
                <w:rtl/>
              </w:rPr>
            </w:pPr>
            <w:r>
              <w:rPr>
                <w:rFonts w:hint="cs"/>
                <w:sz w:val="20"/>
                <w:szCs w:val="20"/>
                <w:rtl/>
              </w:rPr>
              <w:t>3(**)</w:t>
            </w:r>
          </w:p>
        </w:tc>
        <w:tc>
          <w:tcPr>
            <w:tcW w:w="504" w:type="dxa"/>
          </w:tcPr>
          <w:p>
            <w:pPr>
              <w:spacing w:before="240" w:line="240" w:lineRule="auto"/>
              <w:ind w:left="0" w:right="0"/>
              <w:jc w:val="both"/>
              <w:rPr>
                <w:rFonts w:hint="cs"/>
                <w:sz w:val="20"/>
                <w:szCs w:val="20"/>
                <w:rtl/>
              </w:rPr>
            </w:pPr>
            <w:r>
              <w:rPr>
                <w:rFonts w:hint="cs"/>
                <w:sz w:val="20"/>
                <w:szCs w:val="20"/>
                <w:rtl/>
              </w:rPr>
              <w:t>10</w:t>
            </w:r>
          </w:p>
        </w:tc>
        <w:tc>
          <w:tcPr>
            <w:tcW w:w="3504" w:type="dxa"/>
          </w:tcPr>
          <w:p>
            <w:pPr>
              <w:spacing w:before="240" w:line="240" w:lineRule="auto"/>
              <w:ind w:left="0" w:right="0"/>
              <w:jc w:val="both"/>
              <w:rPr>
                <w:rFonts w:hint="cs"/>
                <w:sz w:val="20"/>
                <w:szCs w:val="20"/>
                <w:rtl/>
              </w:rPr>
            </w:pPr>
            <w:r>
              <w:rPr>
                <w:rFonts w:hint="cs"/>
                <w:sz w:val="20"/>
                <w:szCs w:val="20"/>
                <w:rtl/>
              </w:rPr>
              <w:t>החברה הממשלתית למדליות ומטבעות בע"מ</w:t>
            </w:r>
          </w:p>
        </w:tc>
      </w:tr>
      <w:tr>
        <w:tblPrEx>
          <w:tblW w:w="0" w:type="auto"/>
          <w:jc w:val="right"/>
          <w:tblInd w:w="0" w:type="dxa"/>
          <w:tblCellMar>
            <w:left w:w="108" w:type="dxa"/>
            <w:right w:w="108" w:type="dxa"/>
          </w:tblCellMar>
          <w:tblLook w:val="0000"/>
        </w:tblPrEx>
        <w:trPr>
          <w:jc w:val="right"/>
        </w:trPr>
        <w:tc>
          <w:tcPr>
            <w:tcW w:w="1688" w:type="dxa"/>
          </w:tcPr>
          <w:p>
            <w:pPr>
              <w:spacing w:before="240" w:line="240" w:lineRule="auto"/>
              <w:ind w:left="0" w:right="0"/>
              <w:jc w:val="both"/>
              <w:rPr>
                <w:rFonts w:hint="cs"/>
                <w:sz w:val="20"/>
                <w:szCs w:val="20"/>
                <w:rtl/>
              </w:rPr>
            </w:pPr>
            <w:r>
              <w:rPr>
                <w:rFonts w:hint="cs"/>
                <w:sz w:val="20"/>
                <w:szCs w:val="20"/>
                <w:rtl/>
              </w:rPr>
              <w:t>3</w:t>
            </w:r>
          </w:p>
        </w:tc>
        <w:tc>
          <w:tcPr>
            <w:tcW w:w="1687" w:type="dxa"/>
          </w:tcPr>
          <w:p>
            <w:pPr>
              <w:spacing w:before="240" w:line="240" w:lineRule="auto"/>
              <w:ind w:left="0" w:right="0"/>
              <w:jc w:val="both"/>
              <w:rPr>
                <w:rFonts w:hint="cs"/>
                <w:sz w:val="20"/>
                <w:szCs w:val="20"/>
                <w:rtl/>
              </w:rPr>
            </w:pPr>
            <w:r>
              <w:rPr>
                <w:rFonts w:hint="cs"/>
                <w:sz w:val="20"/>
                <w:szCs w:val="20"/>
                <w:rtl/>
              </w:rPr>
              <w:t>5</w:t>
            </w:r>
          </w:p>
        </w:tc>
        <w:tc>
          <w:tcPr>
            <w:tcW w:w="1053" w:type="dxa"/>
          </w:tcPr>
          <w:p>
            <w:pPr>
              <w:spacing w:before="240" w:line="240" w:lineRule="auto"/>
              <w:ind w:left="0" w:right="0"/>
              <w:jc w:val="both"/>
              <w:rPr>
                <w:rFonts w:hint="cs"/>
                <w:sz w:val="20"/>
                <w:szCs w:val="20"/>
                <w:rtl/>
              </w:rPr>
            </w:pPr>
            <w:r>
              <w:rPr>
                <w:rFonts w:hint="cs"/>
                <w:sz w:val="20"/>
                <w:szCs w:val="20"/>
                <w:rtl/>
              </w:rPr>
              <w:t>0</w:t>
            </w:r>
          </w:p>
        </w:tc>
        <w:tc>
          <w:tcPr>
            <w:tcW w:w="504" w:type="dxa"/>
          </w:tcPr>
          <w:p>
            <w:pPr>
              <w:spacing w:before="240" w:line="240" w:lineRule="auto"/>
              <w:ind w:left="0" w:right="0"/>
              <w:jc w:val="both"/>
              <w:rPr>
                <w:rFonts w:hint="cs"/>
                <w:sz w:val="20"/>
                <w:szCs w:val="20"/>
                <w:rtl/>
              </w:rPr>
            </w:pPr>
            <w:r>
              <w:rPr>
                <w:rFonts w:hint="cs"/>
                <w:sz w:val="20"/>
                <w:szCs w:val="20"/>
                <w:rtl/>
              </w:rPr>
              <w:t>5</w:t>
            </w:r>
          </w:p>
        </w:tc>
        <w:tc>
          <w:tcPr>
            <w:tcW w:w="3504" w:type="dxa"/>
          </w:tcPr>
          <w:p>
            <w:pPr>
              <w:spacing w:before="240" w:line="240" w:lineRule="auto"/>
              <w:ind w:left="0" w:right="0"/>
              <w:jc w:val="both"/>
              <w:rPr>
                <w:rFonts w:hint="cs"/>
                <w:sz w:val="20"/>
                <w:szCs w:val="20"/>
                <w:rtl/>
              </w:rPr>
            </w:pPr>
            <w:r>
              <w:rPr>
                <w:rFonts w:hint="cs"/>
                <w:sz w:val="20"/>
                <w:szCs w:val="20"/>
                <w:rtl/>
              </w:rPr>
              <w:t>החברה לפיתוח קיסריה</w:t>
            </w:r>
          </w:p>
        </w:tc>
      </w:tr>
      <w:tr>
        <w:tblPrEx>
          <w:tblW w:w="0" w:type="auto"/>
          <w:jc w:val="right"/>
          <w:tblInd w:w="0" w:type="dxa"/>
          <w:tblCellMar>
            <w:left w:w="108" w:type="dxa"/>
            <w:right w:w="108" w:type="dxa"/>
          </w:tblCellMar>
          <w:tblLook w:val="0000"/>
        </w:tblPrEx>
        <w:trPr>
          <w:jc w:val="right"/>
        </w:trPr>
        <w:tc>
          <w:tcPr>
            <w:tcW w:w="1688" w:type="dxa"/>
          </w:tcPr>
          <w:p>
            <w:pPr>
              <w:spacing w:before="240" w:line="240" w:lineRule="auto"/>
              <w:ind w:left="0" w:right="0"/>
              <w:jc w:val="both"/>
              <w:rPr>
                <w:rFonts w:hint="cs"/>
                <w:sz w:val="20"/>
                <w:szCs w:val="20"/>
                <w:rtl/>
              </w:rPr>
            </w:pPr>
            <w:r>
              <w:rPr>
                <w:rFonts w:hint="cs"/>
                <w:sz w:val="20"/>
                <w:szCs w:val="20"/>
                <w:rtl/>
              </w:rPr>
              <w:t>12</w:t>
            </w:r>
          </w:p>
        </w:tc>
        <w:tc>
          <w:tcPr>
            <w:tcW w:w="1687" w:type="dxa"/>
          </w:tcPr>
          <w:p>
            <w:pPr>
              <w:spacing w:before="240" w:line="240" w:lineRule="auto"/>
              <w:ind w:left="0" w:right="0"/>
              <w:jc w:val="both"/>
              <w:rPr>
                <w:rFonts w:hint="cs"/>
                <w:sz w:val="20"/>
                <w:szCs w:val="20"/>
                <w:rtl/>
              </w:rPr>
            </w:pPr>
            <w:r>
              <w:rPr>
                <w:rFonts w:hint="cs"/>
                <w:sz w:val="20"/>
                <w:szCs w:val="20"/>
                <w:rtl/>
              </w:rPr>
              <w:t>13</w:t>
            </w:r>
          </w:p>
        </w:tc>
        <w:tc>
          <w:tcPr>
            <w:tcW w:w="1053" w:type="dxa"/>
          </w:tcPr>
          <w:p>
            <w:pPr>
              <w:spacing w:before="240" w:line="240" w:lineRule="auto"/>
              <w:ind w:left="0" w:right="0"/>
              <w:jc w:val="both"/>
              <w:rPr>
                <w:rFonts w:hint="cs"/>
                <w:sz w:val="20"/>
                <w:szCs w:val="20"/>
                <w:rtl/>
              </w:rPr>
            </w:pPr>
            <w:r>
              <w:rPr>
                <w:rFonts w:hint="cs"/>
                <w:sz w:val="20"/>
                <w:szCs w:val="20"/>
                <w:rtl/>
              </w:rPr>
              <w:t>2</w:t>
            </w:r>
          </w:p>
        </w:tc>
        <w:tc>
          <w:tcPr>
            <w:tcW w:w="504" w:type="dxa"/>
          </w:tcPr>
          <w:p>
            <w:pPr>
              <w:spacing w:before="240" w:line="240" w:lineRule="auto"/>
              <w:ind w:left="0" w:right="0"/>
              <w:jc w:val="both"/>
              <w:rPr>
                <w:rFonts w:hint="cs"/>
                <w:sz w:val="20"/>
                <w:szCs w:val="20"/>
                <w:rtl/>
              </w:rPr>
            </w:pPr>
            <w:r>
              <w:rPr>
                <w:rFonts w:hint="cs"/>
                <w:sz w:val="20"/>
                <w:szCs w:val="20"/>
                <w:rtl/>
              </w:rPr>
              <w:t>15</w:t>
            </w:r>
          </w:p>
        </w:tc>
        <w:tc>
          <w:tcPr>
            <w:tcW w:w="3504" w:type="dxa"/>
          </w:tcPr>
          <w:p>
            <w:pPr>
              <w:spacing w:before="240" w:line="240" w:lineRule="auto"/>
              <w:ind w:left="0" w:right="0"/>
              <w:jc w:val="both"/>
              <w:rPr>
                <w:rFonts w:hint="cs"/>
                <w:sz w:val="20"/>
                <w:szCs w:val="20"/>
                <w:rtl/>
              </w:rPr>
            </w:pPr>
            <w:r>
              <w:rPr>
                <w:rFonts w:hint="cs"/>
                <w:sz w:val="20"/>
                <w:szCs w:val="20"/>
                <w:rtl/>
              </w:rPr>
              <w:t>החברה לפיתוח מפעלי תיירות בע"מ</w:t>
            </w:r>
          </w:p>
        </w:tc>
      </w:tr>
      <w:tr>
        <w:tblPrEx>
          <w:tblW w:w="0" w:type="auto"/>
          <w:jc w:val="right"/>
          <w:tblInd w:w="0" w:type="dxa"/>
          <w:tblCellMar>
            <w:left w:w="108" w:type="dxa"/>
            <w:right w:w="108" w:type="dxa"/>
          </w:tblCellMar>
          <w:tblLook w:val="0000"/>
        </w:tblPrEx>
        <w:trPr>
          <w:jc w:val="right"/>
        </w:trPr>
        <w:tc>
          <w:tcPr>
            <w:tcW w:w="1688" w:type="dxa"/>
          </w:tcPr>
          <w:p>
            <w:pPr>
              <w:spacing w:before="240" w:line="240" w:lineRule="auto"/>
              <w:ind w:left="0" w:right="0"/>
              <w:jc w:val="both"/>
              <w:rPr>
                <w:rFonts w:hint="cs"/>
                <w:sz w:val="20"/>
                <w:szCs w:val="20"/>
                <w:rtl/>
              </w:rPr>
            </w:pPr>
            <w:r>
              <w:rPr>
                <w:rFonts w:hint="cs"/>
                <w:sz w:val="20"/>
                <w:szCs w:val="20"/>
                <w:rtl/>
              </w:rPr>
              <w:t>6</w:t>
            </w:r>
          </w:p>
        </w:tc>
        <w:tc>
          <w:tcPr>
            <w:tcW w:w="1687" w:type="dxa"/>
          </w:tcPr>
          <w:p>
            <w:pPr>
              <w:spacing w:before="240" w:line="240" w:lineRule="auto"/>
              <w:ind w:left="0" w:right="0"/>
              <w:jc w:val="both"/>
              <w:rPr>
                <w:rFonts w:hint="cs"/>
                <w:sz w:val="20"/>
                <w:szCs w:val="20"/>
                <w:rtl/>
              </w:rPr>
            </w:pPr>
            <w:r>
              <w:rPr>
                <w:rFonts w:hint="cs"/>
                <w:sz w:val="20"/>
                <w:szCs w:val="20"/>
                <w:rtl/>
              </w:rPr>
              <w:t>13</w:t>
            </w:r>
          </w:p>
        </w:tc>
        <w:tc>
          <w:tcPr>
            <w:tcW w:w="1053" w:type="dxa"/>
          </w:tcPr>
          <w:p>
            <w:pPr>
              <w:spacing w:before="240" w:line="240" w:lineRule="auto"/>
              <w:ind w:left="0" w:right="0"/>
              <w:jc w:val="both"/>
              <w:rPr>
                <w:rFonts w:hint="cs"/>
                <w:sz w:val="20"/>
                <w:szCs w:val="20"/>
                <w:rtl/>
              </w:rPr>
            </w:pPr>
            <w:r>
              <w:rPr>
                <w:rFonts w:hint="cs"/>
                <w:sz w:val="20"/>
                <w:szCs w:val="20"/>
                <w:rtl/>
              </w:rPr>
              <w:t>4</w:t>
            </w:r>
          </w:p>
        </w:tc>
        <w:tc>
          <w:tcPr>
            <w:tcW w:w="504" w:type="dxa"/>
          </w:tcPr>
          <w:p>
            <w:pPr>
              <w:spacing w:before="240" w:line="240" w:lineRule="auto"/>
              <w:ind w:left="0" w:right="0"/>
              <w:jc w:val="both"/>
              <w:rPr>
                <w:rFonts w:hint="cs"/>
                <w:sz w:val="20"/>
                <w:szCs w:val="20"/>
                <w:rtl/>
              </w:rPr>
            </w:pPr>
            <w:r>
              <w:rPr>
                <w:rFonts w:hint="cs"/>
                <w:sz w:val="20"/>
                <w:szCs w:val="20"/>
                <w:rtl/>
              </w:rPr>
              <w:t>17</w:t>
            </w:r>
          </w:p>
        </w:tc>
        <w:tc>
          <w:tcPr>
            <w:tcW w:w="3504" w:type="dxa"/>
          </w:tcPr>
          <w:p>
            <w:pPr>
              <w:spacing w:before="240" w:line="240" w:lineRule="auto"/>
              <w:ind w:left="0" w:right="0"/>
              <w:jc w:val="both"/>
              <w:rPr>
                <w:rFonts w:hint="cs"/>
                <w:sz w:val="20"/>
                <w:szCs w:val="20"/>
                <w:rtl/>
              </w:rPr>
            </w:pPr>
            <w:r>
              <w:rPr>
                <w:rFonts w:hint="cs"/>
                <w:sz w:val="20"/>
                <w:szCs w:val="20"/>
                <w:rtl/>
              </w:rPr>
              <w:t>חברת החשמל לישראל בע"מ</w:t>
            </w:r>
          </w:p>
        </w:tc>
      </w:tr>
      <w:tr>
        <w:tblPrEx>
          <w:tblW w:w="0" w:type="auto"/>
          <w:jc w:val="right"/>
          <w:tblInd w:w="0" w:type="dxa"/>
          <w:tblCellMar>
            <w:left w:w="108" w:type="dxa"/>
            <w:right w:w="108" w:type="dxa"/>
          </w:tblCellMar>
          <w:tblLook w:val="0000"/>
        </w:tblPrEx>
        <w:trPr>
          <w:jc w:val="right"/>
        </w:trPr>
        <w:tc>
          <w:tcPr>
            <w:tcW w:w="1688" w:type="dxa"/>
          </w:tcPr>
          <w:p>
            <w:pPr>
              <w:spacing w:before="240" w:line="240" w:lineRule="auto"/>
              <w:ind w:left="0" w:right="0"/>
              <w:jc w:val="both"/>
              <w:rPr>
                <w:rFonts w:hint="cs"/>
                <w:sz w:val="20"/>
                <w:szCs w:val="20"/>
                <w:rtl/>
              </w:rPr>
            </w:pPr>
            <w:r>
              <w:rPr>
                <w:rFonts w:hint="cs"/>
                <w:sz w:val="20"/>
                <w:szCs w:val="20"/>
                <w:rtl/>
              </w:rPr>
              <w:t>6</w:t>
            </w:r>
          </w:p>
        </w:tc>
        <w:tc>
          <w:tcPr>
            <w:tcW w:w="1687" w:type="dxa"/>
          </w:tcPr>
          <w:p>
            <w:pPr>
              <w:spacing w:before="240" w:line="240" w:lineRule="auto"/>
              <w:ind w:left="0" w:right="0"/>
              <w:jc w:val="both"/>
              <w:rPr>
                <w:rFonts w:hint="cs"/>
                <w:sz w:val="20"/>
                <w:szCs w:val="20"/>
                <w:rtl/>
              </w:rPr>
            </w:pPr>
            <w:r>
              <w:rPr>
                <w:rFonts w:hint="cs"/>
                <w:sz w:val="20"/>
                <w:szCs w:val="20"/>
                <w:rtl/>
              </w:rPr>
              <w:t>11</w:t>
            </w:r>
          </w:p>
        </w:tc>
        <w:tc>
          <w:tcPr>
            <w:tcW w:w="1053" w:type="dxa"/>
          </w:tcPr>
          <w:p>
            <w:pPr>
              <w:spacing w:before="240" w:line="240" w:lineRule="auto"/>
              <w:ind w:left="0" w:right="0"/>
              <w:jc w:val="both"/>
              <w:rPr>
                <w:rFonts w:hint="cs"/>
                <w:sz w:val="20"/>
                <w:szCs w:val="20"/>
                <w:rtl/>
              </w:rPr>
            </w:pPr>
            <w:r>
              <w:rPr>
                <w:rFonts w:hint="cs"/>
                <w:sz w:val="20"/>
                <w:szCs w:val="20"/>
                <w:rtl/>
              </w:rPr>
              <w:t>2</w:t>
            </w:r>
          </w:p>
        </w:tc>
        <w:tc>
          <w:tcPr>
            <w:tcW w:w="504" w:type="dxa"/>
          </w:tcPr>
          <w:p>
            <w:pPr>
              <w:spacing w:before="240" w:line="240" w:lineRule="auto"/>
              <w:ind w:left="0" w:right="0"/>
              <w:jc w:val="both"/>
              <w:rPr>
                <w:rFonts w:hint="cs"/>
                <w:sz w:val="20"/>
                <w:szCs w:val="20"/>
                <w:rtl/>
              </w:rPr>
            </w:pPr>
            <w:r>
              <w:rPr>
                <w:rFonts w:hint="cs"/>
                <w:sz w:val="20"/>
                <w:szCs w:val="20"/>
                <w:rtl/>
              </w:rPr>
              <w:t>13</w:t>
            </w:r>
          </w:p>
        </w:tc>
        <w:tc>
          <w:tcPr>
            <w:tcW w:w="3504" w:type="dxa"/>
          </w:tcPr>
          <w:p>
            <w:pPr>
              <w:spacing w:before="240" w:line="240" w:lineRule="auto"/>
              <w:ind w:left="0" w:right="0"/>
              <w:jc w:val="both"/>
              <w:rPr>
                <w:rFonts w:hint="cs"/>
                <w:sz w:val="20"/>
                <w:szCs w:val="20"/>
                <w:rtl/>
              </w:rPr>
            </w:pPr>
            <w:r>
              <w:rPr>
                <w:rFonts w:hint="cs"/>
                <w:sz w:val="20"/>
                <w:szCs w:val="20"/>
                <w:rtl/>
              </w:rPr>
              <w:t>חקר ימים ואגמים</w:t>
            </w:r>
          </w:p>
        </w:tc>
      </w:tr>
      <w:tr>
        <w:tblPrEx>
          <w:tblW w:w="0" w:type="auto"/>
          <w:jc w:val="right"/>
          <w:tblInd w:w="0" w:type="dxa"/>
          <w:tblCellMar>
            <w:left w:w="108" w:type="dxa"/>
            <w:right w:w="108" w:type="dxa"/>
          </w:tblCellMar>
          <w:tblLook w:val="0000"/>
        </w:tblPrEx>
        <w:trPr>
          <w:jc w:val="right"/>
        </w:trPr>
        <w:tc>
          <w:tcPr>
            <w:tcW w:w="1688" w:type="dxa"/>
          </w:tcPr>
          <w:p>
            <w:pPr>
              <w:spacing w:before="240" w:line="240" w:lineRule="auto"/>
              <w:ind w:left="0" w:right="0"/>
              <w:jc w:val="both"/>
              <w:rPr>
                <w:rFonts w:hint="cs"/>
                <w:sz w:val="20"/>
                <w:szCs w:val="20"/>
                <w:rtl/>
              </w:rPr>
            </w:pPr>
            <w:r>
              <w:rPr>
                <w:rFonts w:hint="cs"/>
                <w:sz w:val="20"/>
                <w:szCs w:val="20"/>
                <w:rtl/>
              </w:rPr>
              <w:t>8</w:t>
            </w:r>
          </w:p>
        </w:tc>
        <w:tc>
          <w:tcPr>
            <w:tcW w:w="1687" w:type="dxa"/>
          </w:tcPr>
          <w:p>
            <w:pPr>
              <w:spacing w:before="240" w:line="240" w:lineRule="auto"/>
              <w:ind w:left="0" w:right="0"/>
              <w:jc w:val="both"/>
              <w:rPr>
                <w:rFonts w:hint="cs"/>
                <w:sz w:val="20"/>
                <w:szCs w:val="20"/>
                <w:rtl/>
              </w:rPr>
            </w:pPr>
            <w:r>
              <w:rPr>
                <w:rFonts w:hint="cs"/>
                <w:sz w:val="20"/>
                <w:szCs w:val="20"/>
                <w:rtl/>
              </w:rPr>
              <w:t>10</w:t>
            </w:r>
          </w:p>
        </w:tc>
        <w:tc>
          <w:tcPr>
            <w:tcW w:w="1053" w:type="dxa"/>
          </w:tcPr>
          <w:p>
            <w:pPr>
              <w:spacing w:before="240" w:line="240" w:lineRule="auto"/>
              <w:ind w:left="0" w:right="0"/>
              <w:jc w:val="both"/>
              <w:rPr>
                <w:rFonts w:hint="cs"/>
                <w:sz w:val="20"/>
                <w:szCs w:val="20"/>
                <w:rtl/>
              </w:rPr>
            </w:pPr>
            <w:r>
              <w:rPr>
                <w:rFonts w:hint="cs"/>
                <w:sz w:val="20"/>
                <w:szCs w:val="20"/>
                <w:rtl/>
              </w:rPr>
              <w:t>0</w:t>
            </w:r>
          </w:p>
        </w:tc>
        <w:tc>
          <w:tcPr>
            <w:tcW w:w="504" w:type="dxa"/>
          </w:tcPr>
          <w:p>
            <w:pPr>
              <w:spacing w:before="240" w:line="240" w:lineRule="auto"/>
              <w:ind w:left="0" w:right="0"/>
              <w:jc w:val="both"/>
              <w:rPr>
                <w:rFonts w:hint="cs"/>
                <w:sz w:val="20"/>
                <w:szCs w:val="20"/>
                <w:rtl/>
              </w:rPr>
            </w:pPr>
            <w:r>
              <w:rPr>
                <w:rFonts w:hint="cs"/>
                <w:sz w:val="20"/>
                <w:szCs w:val="20"/>
                <w:rtl/>
              </w:rPr>
              <w:t>10</w:t>
            </w:r>
          </w:p>
        </w:tc>
        <w:tc>
          <w:tcPr>
            <w:tcW w:w="3504" w:type="dxa"/>
          </w:tcPr>
          <w:p>
            <w:pPr>
              <w:spacing w:before="240" w:line="240" w:lineRule="auto"/>
              <w:ind w:left="0" w:right="0"/>
              <w:jc w:val="both"/>
              <w:rPr>
                <w:rFonts w:hint="cs"/>
                <w:sz w:val="20"/>
                <w:szCs w:val="20"/>
                <w:rtl/>
              </w:rPr>
            </w:pPr>
            <w:r>
              <w:rPr>
                <w:rFonts w:hint="cs"/>
                <w:sz w:val="20"/>
                <w:szCs w:val="20"/>
                <w:rtl/>
              </w:rPr>
              <w:t>חברת הנפט הלאומית לישראל בע"מ</w:t>
            </w:r>
          </w:p>
        </w:tc>
      </w:tr>
      <w:tr>
        <w:tblPrEx>
          <w:tblW w:w="0" w:type="auto"/>
          <w:jc w:val="right"/>
          <w:tblInd w:w="0" w:type="dxa"/>
          <w:tblCellMar>
            <w:left w:w="108" w:type="dxa"/>
            <w:right w:w="108" w:type="dxa"/>
          </w:tblCellMar>
          <w:tblLook w:val="0000"/>
        </w:tblPrEx>
        <w:trPr>
          <w:jc w:val="right"/>
        </w:trPr>
        <w:tc>
          <w:tcPr>
            <w:tcW w:w="1688" w:type="dxa"/>
          </w:tcPr>
          <w:p>
            <w:pPr>
              <w:spacing w:before="240" w:line="240" w:lineRule="auto"/>
              <w:ind w:left="0" w:right="0"/>
              <w:jc w:val="both"/>
              <w:rPr>
                <w:rFonts w:hint="cs"/>
                <w:sz w:val="20"/>
                <w:szCs w:val="20"/>
                <w:rtl/>
              </w:rPr>
            </w:pPr>
            <w:r>
              <w:rPr>
                <w:rFonts w:hint="cs"/>
                <w:sz w:val="20"/>
                <w:szCs w:val="20"/>
                <w:rtl/>
              </w:rPr>
              <w:t>7</w:t>
            </w:r>
          </w:p>
        </w:tc>
        <w:tc>
          <w:tcPr>
            <w:tcW w:w="1687" w:type="dxa"/>
          </w:tcPr>
          <w:p>
            <w:pPr>
              <w:spacing w:before="240" w:line="240" w:lineRule="auto"/>
              <w:ind w:left="0" w:right="0"/>
              <w:jc w:val="both"/>
              <w:rPr>
                <w:rFonts w:hint="cs"/>
                <w:sz w:val="20"/>
                <w:szCs w:val="20"/>
                <w:rtl/>
              </w:rPr>
            </w:pPr>
            <w:r>
              <w:rPr>
                <w:rFonts w:hint="cs"/>
                <w:sz w:val="20"/>
                <w:szCs w:val="20"/>
                <w:rtl/>
              </w:rPr>
              <w:t>11</w:t>
            </w:r>
          </w:p>
        </w:tc>
        <w:tc>
          <w:tcPr>
            <w:tcW w:w="1053" w:type="dxa"/>
          </w:tcPr>
          <w:p>
            <w:pPr>
              <w:spacing w:before="240" w:line="240" w:lineRule="auto"/>
              <w:ind w:left="0" w:right="0"/>
              <w:jc w:val="both"/>
              <w:rPr>
                <w:rFonts w:hint="cs"/>
                <w:sz w:val="20"/>
                <w:szCs w:val="20"/>
                <w:rtl/>
              </w:rPr>
            </w:pPr>
            <w:r>
              <w:rPr>
                <w:rFonts w:hint="cs"/>
                <w:sz w:val="20"/>
                <w:szCs w:val="20"/>
                <w:rtl/>
              </w:rPr>
              <w:t>2</w:t>
            </w:r>
          </w:p>
        </w:tc>
        <w:tc>
          <w:tcPr>
            <w:tcW w:w="504" w:type="dxa"/>
          </w:tcPr>
          <w:p>
            <w:pPr>
              <w:spacing w:before="240" w:line="240" w:lineRule="auto"/>
              <w:ind w:left="0" w:right="0"/>
              <w:jc w:val="both"/>
              <w:rPr>
                <w:rFonts w:hint="cs"/>
                <w:sz w:val="20"/>
                <w:szCs w:val="20"/>
                <w:rtl/>
              </w:rPr>
            </w:pPr>
            <w:r>
              <w:rPr>
                <w:rFonts w:hint="cs"/>
                <w:sz w:val="20"/>
                <w:szCs w:val="20"/>
                <w:rtl/>
              </w:rPr>
              <w:t>13</w:t>
            </w:r>
          </w:p>
        </w:tc>
        <w:tc>
          <w:tcPr>
            <w:tcW w:w="3504" w:type="dxa"/>
          </w:tcPr>
          <w:p>
            <w:pPr>
              <w:spacing w:before="240" w:line="240" w:lineRule="auto"/>
              <w:ind w:left="0" w:right="0"/>
              <w:jc w:val="both"/>
              <w:rPr>
                <w:rFonts w:hint="cs"/>
                <w:sz w:val="20"/>
                <w:szCs w:val="20"/>
                <w:rtl/>
              </w:rPr>
            </w:pPr>
            <w:r>
              <w:rPr>
                <w:rFonts w:hint="cs"/>
                <w:sz w:val="20"/>
                <w:szCs w:val="20"/>
                <w:rtl/>
              </w:rPr>
              <w:t>חברה כלכלית לירושלים</w:t>
            </w:r>
          </w:p>
        </w:tc>
      </w:tr>
      <w:tr>
        <w:tblPrEx>
          <w:tblW w:w="0" w:type="auto"/>
          <w:jc w:val="right"/>
          <w:tblInd w:w="0" w:type="dxa"/>
          <w:tblCellMar>
            <w:left w:w="108" w:type="dxa"/>
            <w:right w:w="108" w:type="dxa"/>
          </w:tblCellMar>
          <w:tblLook w:val="0000"/>
        </w:tblPrEx>
        <w:trPr>
          <w:jc w:val="right"/>
        </w:trPr>
        <w:tc>
          <w:tcPr>
            <w:tcW w:w="1688" w:type="dxa"/>
          </w:tcPr>
          <w:p>
            <w:pPr>
              <w:spacing w:before="240" w:line="240" w:lineRule="auto"/>
              <w:ind w:left="0" w:right="0"/>
              <w:jc w:val="both"/>
              <w:rPr>
                <w:rFonts w:hint="cs"/>
                <w:sz w:val="20"/>
                <w:szCs w:val="20"/>
                <w:rtl/>
              </w:rPr>
            </w:pPr>
            <w:r>
              <w:rPr>
                <w:rFonts w:hint="cs"/>
                <w:sz w:val="20"/>
                <w:szCs w:val="20"/>
                <w:rtl/>
              </w:rPr>
              <w:t>4</w:t>
            </w:r>
          </w:p>
        </w:tc>
        <w:tc>
          <w:tcPr>
            <w:tcW w:w="1687" w:type="dxa"/>
          </w:tcPr>
          <w:p>
            <w:pPr>
              <w:spacing w:before="240" w:line="240" w:lineRule="auto"/>
              <w:ind w:left="0" w:right="0"/>
              <w:jc w:val="both"/>
              <w:rPr>
                <w:rFonts w:hint="cs"/>
                <w:sz w:val="20"/>
                <w:szCs w:val="20"/>
                <w:rtl/>
              </w:rPr>
            </w:pPr>
            <w:r>
              <w:rPr>
                <w:rFonts w:hint="cs"/>
                <w:sz w:val="20"/>
                <w:szCs w:val="20"/>
                <w:rtl/>
              </w:rPr>
              <w:t>4</w:t>
            </w:r>
          </w:p>
        </w:tc>
        <w:tc>
          <w:tcPr>
            <w:tcW w:w="1053" w:type="dxa"/>
          </w:tcPr>
          <w:p>
            <w:pPr>
              <w:spacing w:before="240" w:line="240" w:lineRule="auto"/>
              <w:ind w:left="0" w:right="0"/>
              <w:jc w:val="both"/>
              <w:rPr>
                <w:rFonts w:hint="cs"/>
                <w:sz w:val="20"/>
                <w:szCs w:val="20"/>
                <w:rtl/>
              </w:rPr>
            </w:pPr>
            <w:r>
              <w:rPr>
                <w:rFonts w:hint="cs"/>
                <w:sz w:val="20"/>
                <w:szCs w:val="20"/>
                <w:rtl/>
              </w:rPr>
              <w:t>0</w:t>
            </w:r>
          </w:p>
        </w:tc>
        <w:tc>
          <w:tcPr>
            <w:tcW w:w="504" w:type="dxa"/>
          </w:tcPr>
          <w:p>
            <w:pPr>
              <w:spacing w:before="240" w:line="240" w:lineRule="auto"/>
              <w:ind w:left="0" w:right="0"/>
              <w:jc w:val="both"/>
              <w:rPr>
                <w:rFonts w:hint="cs"/>
                <w:sz w:val="20"/>
                <w:szCs w:val="20"/>
                <w:rtl/>
              </w:rPr>
            </w:pPr>
            <w:r>
              <w:rPr>
                <w:rFonts w:hint="cs"/>
                <w:sz w:val="20"/>
                <w:szCs w:val="20"/>
                <w:rtl/>
              </w:rPr>
              <w:t>4</w:t>
            </w:r>
          </w:p>
        </w:tc>
        <w:tc>
          <w:tcPr>
            <w:tcW w:w="3504" w:type="dxa"/>
          </w:tcPr>
          <w:p>
            <w:pPr>
              <w:spacing w:before="240" w:line="240" w:lineRule="auto"/>
              <w:ind w:left="0" w:right="0"/>
              <w:jc w:val="both"/>
              <w:rPr>
                <w:rFonts w:hint="cs"/>
                <w:sz w:val="20"/>
                <w:szCs w:val="20"/>
                <w:rtl/>
              </w:rPr>
            </w:pPr>
            <w:r>
              <w:rPr>
                <w:rFonts w:hint="cs"/>
                <w:sz w:val="20"/>
                <w:szCs w:val="20"/>
                <w:rtl/>
              </w:rPr>
              <w:t>מכון היהלומים</w:t>
            </w:r>
          </w:p>
        </w:tc>
      </w:tr>
    </w:tbl>
    <w:p>
      <w:pPr>
        <w:pStyle w:val="FootnoteText"/>
        <w:spacing w:line="240" w:lineRule="auto"/>
        <w:ind w:left="567" w:right="0"/>
        <w:jc w:val="both"/>
        <w:rPr>
          <w:rFonts w:hint="cs"/>
          <w:rtl/>
        </w:rPr>
      </w:pPr>
    </w:p>
    <w:p>
      <w:pPr>
        <w:pStyle w:val="FootnoteText"/>
        <w:spacing w:line="240" w:lineRule="auto"/>
        <w:ind w:left="567" w:right="0"/>
        <w:jc w:val="both"/>
        <w:rPr>
          <w:rFonts w:hint="cs"/>
          <w:rtl/>
        </w:rPr>
      </w:pPr>
      <w:r>
        <w:rPr>
          <w:rFonts w:hint="cs"/>
          <w:rtl/>
        </w:rPr>
        <w:t>---------------</w:t>
      </w:r>
    </w:p>
    <w:p>
      <w:pPr>
        <w:pStyle w:val="FootnoteText"/>
        <w:spacing w:line="240" w:lineRule="auto"/>
        <w:ind w:left="567" w:right="0"/>
        <w:jc w:val="both"/>
        <w:rPr>
          <w:rFonts w:hint="cs"/>
          <w:sz w:val="18"/>
          <w:rtl/>
        </w:rPr>
      </w:pPr>
      <w:r>
        <w:rPr>
          <w:rFonts w:hint="cs"/>
          <w:sz w:val="18"/>
          <w:rtl/>
        </w:rPr>
        <w:t>(*)</w:t>
        <w:tab/>
        <w:t>כולל עובדי חברות.</w:t>
      </w:r>
    </w:p>
    <w:p>
      <w:pPr>
        <w:pStyle w:val="FootnoteText"/>
        <w:spacing w:line="240" w:lineRule="auto"/>
        <w:ind w:left="567" w:right="0"/>
        <w:jc w:val="both"/>
        <w:rPr>
          <w:rFonts w:hint="cs"/>
          <w:sz w:val="18"/>
          <w:rtl/>
        </w:rPr>
      </w:pPr>
      <w:r>
        <w:rPr>
          <w:rFonts w:hint="cs"/>
          <w:sz w:val="18"/>
          <w:rtl/>
        </w:rPr>
        <w:t>(**)</w:t>
        <w:tab/>
        <w:t>כולל עובד בנק ישראל.</w:t>
      </w:r>
    </w:p>
    <w:p>
      <w:pPr>
        <w:pStyle w:val="FootnoteText"/>
        <w:spacing w:line="240" w:lineRule="auto"/>
        <w:ind w:left="567" w:right="0"/>
        <w:jc w:val="both"/>
        <w:rPr>
          <w:rtl/>
        </w:rPr>
      </w:pPr>
    </w:p>
    <w:p>
      <w:pPr>
        <w:spacing w:before="240" w:line="240" w:lineRule="auto"/>
        <w:ind w:left="0" w:right="0"/>
        <w:jc w:val="both"/>
        <w:rPr>
          <w:rFonts w:hint="cs"/>
          <w:rtl/>
        </w:rPr>
      </w:pPr>
      <w:r>
        <w:rPr>
          <w:rtl/>
        </w:rPr>
        <w:br w:type="page"/>
      </w:r>
      <w:r>
        <w:rPr>
          <w:rFonts w:hint="cs"/>
          <w:rtl/>
        </w:rPr>
        <w:t>לדעת הביקורת, מן הראוי שבחברות, בהן גדול מאוד מספרם של הדירקטורים מקרב הציבור, שחלקם מונו משיקולים פוליטיים, יפעלו השרים למינוי דירקטורים עובדי מדינה, כדי להגביר את משקלם בקרב הדירקטורים. עובדי מדינה אלה, שהם בעלי רמה מקצועית ומומחיות  בתחום עיסוקיהן של החברות, יוכלו לתרום להעלאת רמת הדיונים בישיבות הדירקטוריונים וועדותיהם ויוכלו לתת ביטוי לאינטרסים הממלכתיים שבמסגרת השיקולים המשמשים בסיס לקבלת החלטות בישיבות הדירקטוריון; ואף להקטין את משקל המינויים הפוליטיים בקרב הדירקטוריונים.</w:t>
      </w:r>
    </w:p>
    <w:p>
      <w:pPr>
        <w:pStyle w:val="3"/>
        <w:spacing w:line="240" w:lineRule="auto"/>
        <w:ind w:left="0" w:right="0"/>
        <w:jc w:val="left"/>
        <w:rPr>
          <w:rFonts w:hint="cs"/>
          <w:rtl/>
        </w:rPr>
      </w:pPr>
    </w:p>
    <w:p>
      <w:pPr>
        <w:pStyle w:val="3"/>
        <w:spacing w:line="240" w:lineRule="auto"/>
        <w:ind w:left="0" w:right="0"/>
        <w:jc w:val="left"/>
        <w:rPr>
          <w:rFonts w:hint="cs"/>
          <w:rtl/>
        </w:rPr>
      </w:pPr>
      <w:r>
        <w:rPr>
          <w:rFonts w:hint="cs"/>
          <w:rtl/>
        </w:rPr>
        <w:t>ניגוד עניינים בקרב עובדי מדינה</w:t>
      </w:r>
    </w:p>
    <w:p>
      <w:pPr>
        <w:spacing w:before="240" w:line="240" w:lineRule="auto"/>
        <w:ind w:left="0" w:right="0"/>
        <w:jc w:val="both"/>
        <w:rPr>
          <w:rFonts w:hint="cs"/>
          <w:rtl/>
        </w:rPr>
      </w:pPr>
      <w:r>
        <w:rPr>
          <w:rFonts w:hint="cs"/>
          <w:rtl/>
        </w:rPr>
        <w:t>הסייגים בחוק בנוגע לניגוד עניינים של דירקטורים מקרב הציבור אינם חלים על דירקטורים עובדי מדינה. בתפקודם של דירקטורים אלה נוצר לעתים מצב של ניגוד עניינים בין תפקידם במשרד הממשלתי לבין נאמנותם לחברה שבה הם מכהנים כדירקטורים. לדוגמה, מנהל מינהל הדלק במשרד האנרגיה מכהן גם כדירקטור בבז"ן: מחד, בתפקידו כדירקטור הוא אחראי להכנת תעריפי הזיקוק של בז</w:t>
      </w:r>
      <w:r>
        <w:rPr>
          <w:rFonts w:hint="eastAsia"/>
          <w:rtl/>
        </w:rPr>
        <w:t>”</w:t>
      </w:r>
      <w:r>
        <w:rPr>
          <w:rFonts w:hint="cs"/>
          <w:rtl/>
        </w:rPr>
        <w:t>ן שבמסגרת הסכמי הזיקוק שלה עם חברות הדלק; מאידך, כמנהל מינהל הדלק הוא מאשר את הסכמי הזיקוק(*).</w:t>
      </w:r>
    </w:p>
    <w:p>
      <w:pPr>
        <w:pStyle w:val="FootnoteText"/>
        <w:spacing w:line="240" w:lineRule="auto"/>
        <w:ind w:left="567" w:right="0"/>
        <w:jc w:val="both"/>
        <w:rPr>
          <w:rFonts w:hint="cs"/>
          <w:rtl/>
        </w:rPr>
      </w:pPr>
    </w:p>
    <w:p>
      <w:pPr>
        <w:pStyle w:val="FootnoteText"/>
        <w:spacing w:line="240" w:lineRule="auto"/>
        <w:ind w:left="567" w:right="0"/>
        <w:jc w:val="both"/>
        <w:rPr>
          <w:rFonts w:hint="cs"/>
          <w:rtl/>
        </w:rPr>
      </w:pPr>
    </w:p>
    <w:p>
      <w:pPr>
        <w:pStyle w:val="FootnoteText"/>
        <w:spacing w:line="240" w:lineRule="auto"/>
        <w:ind w:left="567" w:right="0"/>
        <w:jc w:val="both"/>
        <w:rPr>
          <w:rFonts w:hint="cs"/>
          <w:rtl/>
        </w:rPr>
      </w:pPr>
    </w:p>
    <w:p>
      <w:pPr>
        <w:pStyle w:val="FootnoteText"/>
        <w:spacing w:line="240" w:lineRule="auto"/>
        <w:ind w:left="567" w:right="0"/>
        <w:jc w:val="both"/>
        <w:rPr>
          <w:rFonts w:hint="cs"/>
          <w:rtl/>
        </w:rPr>
      </w:pPr>
    </w:p>
    <w:p>
      <w:pPr>
        <w:pStyle w:val="FootnoteText"/>
        <w:spacing w:line="240" w:lineRule="auto"/>
        <w:ind w:left="567" w:right="0"/>
        <w:jc w:val="both"/>
        <w:rPr>
          <w:rFonts w:hint="cs"/>
          <w:rtl/>
        </w:rPr>
      </w:pPr>
    </w:p>
    <w:p>
      <w:pPr>
        <w:pStyle w:val="FootnoteText"/>
        <w:spacing w:line="240" w:lineRule="auto"/>
        <w:ind w:left="567" w:right="0"/>
        <w:jc w:val="both"/>
        <w:rPr>
          <w:rFonts w:hint="cs"/>
          <w:rtl/>
        </w:rPr>
      </w:pPr>
    </w:p>
    <w:p>
      <w:pPr>
        <w:pStyle w:val="FootnoteText"/>
        <w:spacing w:line="240" w:lineRule="auto"/>
        <w:ind w:left="567" w:right="0"/>
        <w:jc w:val="both"/>
        <w:rPr>
          <w:rFonts w:hint="cs"/>
          <w:rtl/>
        </w:rPr>
      </w:pPr>
    </w:p>
    <w:p>
      <w:pPr>
        <w:pStyle w:val="FootnoteText"/>
        <w:spacing w:line="240" w:lineRule="auto"/>
        <w:ind w:left="567" w:right="0"/>
        <w:jc w:val="both"/>
        <w:rPr>
          <w:rFonts w:hint="cs"/>
          <w:rtl/>
        </w:rPr>
      </w:pPr>
    </w:p>
    <w:p>
      <w:pPr>
        <w:pStyle w:val="FootnoteText"/>
        <w:spacing w:line="240" w:lineRule="auto"/>
        <w:ind w:left="567" w:right="0"/>
        <w:jc w:val="both"/>
        <w:rPr>
          <w:rFonts w:hint="cs"/>
          <w:rtl/>
        </w:rPr>
      </w:pPr>
      <w:r>
        <w:rPr>
          <w:rFonts w:hint="cs"/>
          <w:rtl/>
        </w:rPr>
        <w:t>-----------------</w:t>
      </w:r>
    </w:p>
    <w:p>
      <w:pPr>
        <w:pStyle w:val="FootnoteText"/>
        <w:spacing w:line="240" w:lineRule="auto"/>
        <w:ind w:left="567" w:right="0"/>
        <w:jc w:val="both"/>
        <w:rPr>
          <w:rFonts w:hint="cs"/>
          <w:sz w:val="18"/>
          <w:rtl/>
        </w:rPr>
      </w:pPr>
      <w:r>
        <w:rPr>
          <w:rFonts w:hint="cs"/>
          <w:sz w:val="18"/>
          <w:rtl/>
        </w:rPr>
        <w:t>(*)</w:t>
        <w:tab/>
        <w:t>בנושא זה ראה דוח על הביקורת בבתי זיקוק לנפט בע"מ מספטמבר 1981, עמ' 6.21.</w:t>
      </w:r>
    </w:p>
    <w:p>
      <w:pPr>
        <w:spacing w:before="240" w:line="240" w:lineRule="auto"/>
        <w:ind w:left="0" w:right="0"/>
        <w:jc w:val="both"/>
        <w:rPr>
          <w:rFonts w:hint="cs"/>
          <w:rtl/>
        </w:rPr>
      </w:pPr>
      <w:r>
        <w:rPr>
          <w:rtl/>
        </w:rPr>
        <w:br w:type="page"/>
      </w:r>
      <w:r>
        <w:rPr>
          <w:rFonts w:hint="cs"/>
          <w:rtl/>
        </w:rPr>
        <w:t>ועדת ברק שהכינה את הצעת החוק, הציעה, כפתרון לבעיה זו, שעובדי מדינה המטפלים מטעם המדינה במישרין בענייני חברה ממשלתית, לא ימונו דירקטורים בחברה זו. הוועדה הסבירה, כי התפקיד הכפול מעמיד את עובדי המדינה במצב של קונפליקט אפשרי ולא ניתן לצפות כי ישקלו אך ורק את טובתה של החברה ויתעלמו ממעמדם כעובדי מדינה. עם זאת, לדעת הוועדה, אין לפסול מינוי דירקטור עובד מדינה, שאינו מטפל במישרין בענייני חברה ממשלתית, ולא עוד אלא אף רצוי שעובד מדינה הקרוב לתחום עיסוקה של חברה ממשלתית יכהן בה כדירקטור ויסייע לה בעבודתה. עמדת ועדת ברק לא התקבלה, והחוק מתיר כאמור למנות כל עובד מדינה כדירקטור בחברה ממשלתית, ואפילו הוא בעל סמכויות שלטוניות עליה.</w:t>
      </w:r>
    </w:p>
    <w:p>
      <w:pPr>
        <w:spacing w:before="240" w:line="240" w:lineRule="auto"/>
        <w:ind w:left="0" w:right="0"/>
        <w:jc w:val="both"/>
        <w:rPr>
          <w:rFonts w:hint="cs"/>
          <w:rtl/>
        </w:rPr>
      </w:pPr>
      <w:r>
        <w:rPr>
          <w:rFonts w:hint="cs"/>
          <w:rtl/>
        </w:rPr>
        <w:t>בית המשפט הגבוה לצדק, שהתייחס לניגוד עניינים של עובדי ציבור, קבע בפסק דין מנחה (בג"צ 531/79 סיעת הליכוד בעירית פתח-תקווה נ. מועצת עירית פתח-תקווה), כי הכלל, האוסר על עובד ציבור להימצא במצב בו קיימת אפשרות ממשית של ניגוד עניינים נובע מכך, שעל עובד ציבור להפעיל את סמכותו, תוך שהוא מעמיד לנגד עיניו את מכלול השיקולים הרלבנטיים להפעלתה של אותה סמכות, ושיקולים אלה בלבד. הכלל האמור אוסר עצם הימצאות במצב, בו עלול להיות ניגוד אינטרסים, אף אם שיקול הדעת הופעל כהלכה.</w:t>
      </w:r>
    </w:p>
    <w:p>
      <w:pPr>
        <w:spacing w:before="240" w:line="240" w:lineRule="auto"/>
        <w:ind w:left="0" w:right="0"/>
        <w:jc w:val="both"/>
        <w:rPr>
          <w:rtl/>
        </w:rPr>
      </w:pPr>
      <w:r>
        <w:rPr>
          <w:rtl/>
        </w:rPr>
        <w:br w:type="page"/>
      </w:r>
      <w:r>
        <w:rPr>
          <w:rFonts w:hint="cs"/>
          <w:rtl/>
        </w:rPr>
        <w:t>הרשות הסבירה למשרד מבקר המדינה, כי רצוי למנוע, על ידי תיקון החוק, מצב של ניגוד עניינים בקרב דירקטורים עובדי מדינה; בעיקר יש למנוע מצב, שבו מנכ"ל משרד ממשלתי מכהן בדירקטוריון של חברה ממשלתית עיסקית שמשרדו אחראי עליה(*).</w:t>
      </w:r>
    </w:p>
    <w:p>
      <w:pPr>
        <w:spacing w:before="240" w:line="240" w:lineRule="auto"/>
        <w:ind w:left="0" w:right="0"/>
        <w:jc w:val="center"/>
        <w:rPr>
          <w:rFonts w:hint="cs"/>
          <w:rtl/>
        </w:rPr>
      </w:pPr>
    </w:p>
    <w:p>
      <w:pPr>
        <w:spacing w:before="240" w:line="240" w:lineRule="auto"/>
        <w:ind w:left="0" w:right="0"/>
        <w:jc w:val="center"/>
        <w:rPr>
          <w:rFonts w:hint="cs"/>
          <w:rtl/>
        </w:rPr>
      </w:pPr>
    </w:p>
    <w:p>
      <w:pPr>
        <w:spacing w:before="240" w:line="240" w:lineRule="auto"/>
        <w:ind w:left="0" w:right="0"/>
        <w:jc w:val="center"/>
        <w:rPr>
          <w:rFonts w:hint="cs"/>
          <w:rtl/>
        </w:rPr>
      </w:pPr>
    </w:p>
    <w:p>
      <w:pPr>
        <w:spacing w:before="240" w:line="240" w:lineRule="auto"/>
        <w:ind w:left="0" w:right="0"/>
        <w:jc w:val="center"/>
        <w:rPr>
          <w:rFonts w:hint="cs"/>
          <w:rtl/>
        </w:rPr>
      </w:pPr>
    </w:p>
    <w:p>
      <w:pPr>
        <w:spacing w:before="240" w:line="240" w:lineRule="auto"/>
        <w:ind w:left="0" w:right="0"/>
        <w:jc w:val="center"/>
        <w:rPr>
          <w:rFonts w:hint="cs"/>
          <w:rtl/>
        </w:rPr>
      </w:pPr>
    </w:p>
    <w:p>
      <w:pPr>
        <w:spacing w:before="240" w:line="240" w:lineRule="auto"/>
        <w:ind w:left="0" w:right="0"/>
        <w:jc w:val="center"/>
        <w:rPr>
          <w:rFonts w:hint="cs"/>
          <w:rtl/>
        </w:rPr>
      </w:pPr>
    </w:p>
    <w:p>
      <w:pPr>
        <w:spacing w:before="240" w:line="240" w:lineRule="auto"/>
        <w:ind w:left="0" w:right="0"/>
        <w:jc w:val="center"/>
        <w:rPr>
          <w:rFonts w:hint="cs"/>
          <w:rtl/>
        </w:rPr>
      </w:pPr>
    </w:p>
    <w:p>
      <w:pPr>
        <w:pStyle w:val="FootnoteText"/>
        <w:spacing w:line="240" w:lineRule="auto"/>
        <w:ind w:left="567" w:right="0"/>
        <w:jc w:val="both"/>
        <w:rPr>
          <w:rFonts w:hint="cs"/>
          <w:rtl/>
        </w:rPr>
      </w:pPr>
      <w:r>
        <w:rPr>
          <w:rFonts w:hint="cs"/>
          <w:rtl/>
        </w:rPr>
        <w:t>------------------</w:t>
      </w:r>
    </w:p>
    <w:p>
      <w:pPr>
        <w:pStyle w:val="FootnoteText"/>
        <w:spacing w:line="240" w:lineRule="auto"/>
        <w:ind w:left="567" w:right="0"/>
        <w:jc w:val="both"/>
        <w:rPr>
          <w:rFonts w:hint="cs"/>
          <w:sz w:val="18"/>
          <w:rtl/>
        </w:rPr>
      </w:pPr>
      <w:r>
        <w:rPr>
          <w:rFonts w:hint="cs"/>
          <w:sz w:val="18"/>
          <w:rtl/>
        </w:rPr>
        <w:t>(*)</w:t>
        <w:tab/>
        <w:t>בנושא ניגוד עניינים ראה גם דוח שנתי 27 עמ' 887, ודוח שנתי 31 עמ' 148.</w:t>
      </w:r>
    </w:p>
    <w:p>
      <w:pPr>
        <w:pStyle w:val="1"/>
        <w:spacing w:before="100" w:beforeAutospacing="1" w:after="100" w:afterAutospacing="1" w:line="240" w:lineRule="auto"/>
        <w:ind w:left="0" w:right="0"/>
        <w:jc w:val="center"/>
        <w:rPr>
          <w:rFonts w:hint="cs"/>
          <w:rtl/>
        </w:rPr>
      </w:pPr>
      <w:r>
        <w:rPr>
          <w:rtl/>
        </w:rPr>
        <w:br w:type="page"/>
      </w:r>
      <w:r>
        <w:rPr>
          <w:rFonts w:hint="cs"/>
          <w:rtl/>
        </w:rPr>
        <w:t>סיכום</w:t>
      </w:r>
    </w:p>
    <w:p>
      <w:pPr>
        <w:spacing w:before="100" w:beforeAutospacing="1" w:after="100" w:afterAutospacing="1" w:line="240" w:lineRule="auto"/>
        <w:ind w:left="0" w:right="0"/>
        <w:jc w:val="both"/>
        <w:rPr>
          <w:rFonts w:hint="cs"/>
          <w:rtl/>
        </w:rPr>
      </w:pPr>
      <w:r>
        <w:rPr>
          <w:rFonts w:hint="cs"/>
          <w:rtl/>
        </w:rPr>
        <w:t>מרקם היחסים שבין החברה הממשלתית, לבין רשות החברות הממשלתיות ולבין השר האחראי לחברה הוא עדין ומורכב. בידי החברות הממשלתיות מרוכזים משאבים של הלאום בהיקף עצום ולדרך בה הן מתנהלות השפעה מהותית על מצב המשק בכללותו. חוק החברות הממשלתיות, התשל"ה-1975, חוות דעת היועץ המשפטי לממשלה והוראות רשות החברות הממשלתיות - נועדו ליצור את האיזון הדרוש בין המגמות השונות והמנוגדות הנובעות מעצם מעמדה של חברה שהיא עיסקית מחד וממשלתית מאידך.</w:t>
      </w:r>
    </w:p>
    <w:p>
      <w:pPr>
        <w:spacing w:before="240" w:line="240" w:lineRule="auto"/>
        <w:ind w:left="0" w:right="0"/>
        <w:jc w:val="both"/>
        <w:rPr>
          <w:rFonts w:hint="cs"/>
          <w:rtl/>
        </w:rPr>
      </w:pPr>
      <w:r>
        <w:rPr>
          <w:rFonts w:hint="cs"/>
          <w:rtl/>
        </w:rPr>
        <w:t>כאשר הגביל המחוקק את מספר הדירקטורים שמקרב עובדי המדינה ללא יותר משני שליש מכלל הדירקטורים, הייתה כוונתו, בין היתר, למנוע בכך מצב, בו עובדי המדינה, במקרה של חשש לניגוד אינטרסים בין תפקידם כעובדי מדינה לבין תפקידם כדירקטורים, יכהנו בדירקטוריון בלי בקרה כל שהיא מצד נציגים אובייקטיביים של הציבור.</w:t>
      </w:r>
    </w:p>
    <w:p>
      <w:pPr>
        <w:spacing w:before="240" w:line="240" w:lineRule="auto"/>
        <w:ind w:left="0" w:right="0"/>
        <w:jc w:val="both"/>
        <w:rPr>
          <w:rtl/>
        </w:rPr>
      </w:pPr>
      <w:r>
        <w:rPr>
          <w:rFonts w:hint="cs"/>
          <w:rtl/>
        </w:rPr>
        <w:t>ממצאי הביקורת מעידים בבירור שהדירקטורים מקרב הציבור מתמנים ברובם מבין חברי מרכזי המפלגות. אין במינוי דירקטורים כאלה כדי להשיג בקרה אובייקטיבית ראויה לשמה.</w:t>
      </w:r>
    </w:p>
    <w:p>
      <w:pPr>
        <w:spacing w:before="240" w:line="240" w:lineRule="auto"/>
        <w:ind w:left="0" w:right="0"/>
        <w:jc w:val="both"/>
        <w:rPr>
          <w:rFonts w:hint="cs"/>
          <w:rtl/>
        </w:rPr>
      </w:pPr>
      <w:r>
        <w:rPr>
          <w:rtl/>
        </w:rPr>
        <w:br w:type="page"/>
      </w:r>
      <w:r>
        <w:rPr>
          <w:rFonts w:hint="cs"/>
          <w:rtl/>
        </w:rPr>
        <w:t>יתירה מזו, לדירקטור בחברה נחוצים, כמפורט בגוף הדוח, כישורים מקצועיים מגוונים כולל ספציפיים לאותה חברה, וכן אמינות גבוהה. הפנייה המאסיבית מצד השרים אל מרכזי המפלגות בתור המאגר העיקרי למועמדים לדירקטורים, מצמצמת בהכרח את הוודאות שאותרו האנשים בעלי הכישורים המתאימים ביותר.</w:t>
      </w:r>
    </w:p>
    <w:p>
      <w:pPr>
        <w:spacing w:before="240" w:line="240" w:lineRule="auto"/>
        <w:ind w:left="0" w:right="0"/>
        <w:jc w:val="both"/>
        <w:rPr>
          <w:rFonts w:hint="cs"/>
          <w:rtl/>
        </w:rPr>
      </w:pPr>
      <w:r>
        <w:rPr>
          <w:rFonts w:hint="cs"/>
          <w:rtl/>
        </w:rPr>
        <w:t>אומנם לא על כל מקרה ספציפי, בו מונה חבר מרכז מפלגה כדירקטור, ניתן לומר, שהמינוי אכן היה בשל הרקע הפוליטי ולא מסיבות ענייניות, אולם התופעה הוכחה בעליל.</w:t>
      </w:r>
    </w:p>
    <w:p>
      <w:pPr>
        <w:spacing w:before="240" w:line="240" w:lineRule="auto"/>
        <w:ind w:left="0" w:right="0"/>
        <w:jc w:val="both"/>
        <w:rPr>
          <w:rFonts w:hint="cs"/>
          <w:rtl/>
        </w:rPr>
      </w:pPr>
      <w:r>
        <w:rPr>
          <w:rFonts w:hint="cs"/>
          <w:rtl/>
        </w:rPr>
        <w:t>בחומרה יתירה יש להתייחס לאותם מקרים, שדוגמאותיהם הובאו בדוח, בהם נדחו לתקופה ארוכה, ולעתים לא בוצעו כלל, עקב שיקולים פוליטיים. מינויים של דירקטורים לחברות, עד כדי נטילת יכולת תפקודם של הדירקטוריונים באותן חברות.</w:t>
      </w:r>
    </w:p>
    <w:p>
      <w:pPr>
        <w:spacing w:before="240" w:line="240" w:lineRule="auto"/>
        <w:ind w:left="0" w:right="0"/>
        <w:jc w:val="both"/>
        <w:rPr>
          <w:rFonts w:hint="cs"/>
          <w:rtl/>
        </w:rPr>
      </w:pPr>
      <w:r>
        <w:rPr>
          <w:rFonts w:hint="cs"/>
          <w:rtl/>
        </w:rPr>
        <w:t>התמונה המצטיירת מכלל הממצאים בדו"ח מצביעה על מצב עגום, בו מורכבים הדירקטוריונים בעיקר ממועמדים חברי מרכזי מפלגות של השרים האחראיים לכל חברה וחברה. קיים צורך דחוף בקביעתם של קריטריונים שיבטיחו מינוי דירקטורים בחברות ממשלתיות על יסוד שיקולים ענינים בלבד ודרושה הקפדה על ישומם הלכה למעשה.</w:t>
      </w:r>
    </w:p>
    <w:p>
      <w:pPr>
        <w:spacing w:before="240" w:line="240" w:lineRule="auto"/>
        <w:ind w:left="0" w:right="0"/>
        <w:jc w:val="both"/>
        <w:rPr>
          <w:rFonts w:hint="cs"/>
          <w:rtl/>
        </w:rPr>
      </w:pPr>
    </w:p>
    <w:p>
      <w:pPr>
        <w:spacing w:before="240" w:line="240" w:lineRule="auto"/>
        <w:ind w:left="6804" w:right="0"/>
        <w:jc w:val="both"/>
        <w:rPr>
          <w:rFonts w:hint="cs"/>
          <w:rtl/>
        </w:rPr>
      </w:pPr>
      <w:r>
        <w:rPr>
          <w:rFonts w:hint="cs"/>
          <w:rtl/>
        </w:rPr>
        <w:t>מרים בן-פורת</w:t>
      </w:r>
    </w:p>
    <w:p>
      <w:pPr>
        <w:spacing w:before="240" w:line="240" w:lineRule="auto"/>
        <w:ind w:left="6804" w:right="0"/>
        <w:jc w:val="both"/>
        <w:rPr>
          <w:rFonts w:hint="cs"/>
          <w:rtl/>
        </w:rPr>
      </w:pPr>
      <w:r>
        <w:rPr>
          <w:rFonts w:hint="cs"/>
          <w:rtl/>
        </w:rPr>
        <w:t>מבקר המדינה</w:t>
      </w:r>
    </w:p>
    <w:p>
      <w:pPr>
        <w:spacing w:before="240" w:line="240" w:lineRule="auto"/>
        <w:ind w:left="0" w:right="0"/>
        <w:jc w:val="both"/>
        <w:rPr>
          <w:rFonts w:hint="cs"/>
          <w:rtl/>
        </w:rPr>
      </w:pPr>
    </w:p>
    <w:p>
      <w:pPr>
        <w:spacing w:before="240" w:line="240" w:lineRule="auto"/>
        <w:ind w:left="0" w:right="0"/>
        <w:jc w:val="both"/>
        <w:rPr>
          <w:rFonts w:hint="cs"/>
          <w:rtl/>
        </w:rPr>
      </w:pPr>
    </w:p>
    <w:p>
      <w:pPr>
        <w:spacing w:before="240" w:line="240" w:lineRule="auto"/>
        <w:ind w:left="0" w:right="0"/>
        <w:jc w:val="both"/>
        <w:rPr>
          <w:rFonts w:hint="cs"/>
          <w:rtl/>
        </w:rPr>
      </w:pPr>
      <w:r>
        <w:rPr>
          <w:rFonts w:hint="cs"/>
          <w:rtl/>
        </w:rPr>
        <w:t>ירושלים, אייר התשמ"ט</w:t>
      </w:r>
    </w:p>
    <w:p>
      <w:pPr>
        <w:spacing w:before="240" w:line="240" w:lineRule="auto"/>
        <w:ind w:left="567" w:right="0"/>
        <w:jc w:val="both"/>
        <w:rPr>
          <w:rFonts w:hint="cs"/>
          <w:rtl/>
        </w:rPr>
      </w:pPr>
      <w:r>
        <w:rPr>
          <w:rFonts w:hint="cs"/>
          <w:rtl/>
        </w:rPr>
        <w:t xml:space="preserve">     מאי 1989</w:t>
      </w:r>
    </w:p>
    <w:sectPr>
      <w:headerReference w:type="default" r:id="rId7"/>
      <w:pgSz w:w="11906" w:h="16838" w:code="9"/>
      <w:pgMar w:top="1701" w:right="1985" w:bottom="1588" w:left="1701" w:header="709" w:footer="709" w:gutter="0"/>
      <w:pgNumType w:start="7"/>
      <w:cols w:space="720"/>
      <w:bidi/>
      <w:rtlGutter/>
      <w:docGrid w:linePitch="1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 w:name="Miriam">
    <w:panose1 w:val="00000000000000000000"/>
    <w:charset w:val="B1"/>
    <w:family w:val="auto"/>
    <w:pitch w:val="variable"/>
    <w:sig w:usb0="00001801" w:usb1="00000000" w:usb2="00000000" w:usb3="00000000" w:csb0="00000020" w:csb1="00000000"/>
  </w:font>
  <w:font w:name="David">
    <w:panose1 w:val="00000000000000000000"/>
    <w:charset w:val="B1"/>
    <w:family w:val="auto"/>
    <w:pitch w:val="variable"/>
    <w:sig w:usb0="00001801" w:usb1="00000000" w:usb2="00000000" w:usb3="00000000" w:csb0="0000002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framePr w:wrap="around" w:vAnchor="text" w:hAnchor="margin" w:xAlign="center" w:y="1"/>
      <w:ind w:left="0" w:right="0"/>
      <w:jc w:val="both"/>
      <w:rPr>
        <w:rStyle w:val="PageNumber"/>
        <w:rtl/>
      </w:rPr>
    </w:pPr>
    <w:r>
      <w:rPr>
        <w:rStyle w:val="PageNumber"/>
        <w:rtl/>
      </w:rPr>
      <w:fldChar w:fldCharType="begin"/>
    </w:r>
    <w:r>
      <w:rPr>
        <w:rStyle w:val="PageNumber"/>
      </w:rPr>
      <w:instrText xml:space="preserve">PAGE  </w:instrText>
    </w:r>
    <w:r>
      <w:rPr>
        <w:rStyle w:val="PageNumber"/>
        <w:rtl/>
      </w:rPr>
      <w:fldChar w:fldCharType="separate"/>
    </w:r>
    <w:r>
      <w:rPr>
        <w:rStyle w:val="PageNumber"/>
        <w:rtl/>
      </w:rPr>
      <w:fldChar w:fldCharType="end"/>
    </w:r>
  </w:p>
  <w:p>
    <w:pPr>
      <w:pStyle w:val="Header"/>
      <w:ind w:left="0" w:right="0"/>
      <w:jc w:val="both"/>
      <w:rPr>
        <w:rt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framePr w:wrap="around" w:vAnchor="text" w:hAnchor="margin" w:xAlign="center" w:y="1"/>
      <w:ind w:left="0" w:right="0"/>
      <w:jc w:val="both"/>
      <w:rPr>
        <w:rStyle w:val="PageNumber"/>
        <w:rFonts w:hint="cs"/>
        <w:rtl/>
      </w:rPr>
    </w:pPr>
  </w:p>
  <w:p>
    <w:pPr>
      <w:pStyle w:val="Header"/>
      <w:ind w:left="0" w:right="0"/>
      <w:jc w:val="both"/>
      <w:rPr>
        <w:rt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framePr w:wrap="around" w:vAnchor="text" w:hAnchor="margin" w:xAlign="center" w:y="1"/>
      <w:ind w:left="0" w:right="0"/>
      <w:jc w:val="center"/>
      <w:rPr>
        <w:rStyle w:val="PageNumber"/>
        <w:rFonts w:hint="cs"/>
        <w:rtl/>
      </w:rPr>
    </w:pPr>
    <w:r>
      <w:rPr>
        <w:rStyle w:val="PageNumber"/>
        <w:rFonts w:hint="cs"/>
        <w:rtl/>
      </w:rPr>
      <w:t xml:space="preserve"> -</w:t>
    </w:r>
    <w:r>
      <w:rPr>
        <w:rStyle w:val="PageNumber"/>
        <w:rtl/>
      </w:rPr>
      <w:fldChar w:fldCharType="begin"/>
    </w:r>
    <w:r>
      <w:rPr>
        <w:rStyle w:val="PageNumber"/>
      </w:rPr>
      <w:instrText xml:space="preserve">PAGE  </w:instrText>
    </w:r>
    <w:r>
      <w:rPr>
        <w:rStyle w:val="PageNumber"/>
        <w:rtl/>
      </w:rPr>
      <w:fldChar w:fldCharType="separate"/>
    </w:r>
    <w:r>
      <w:rPr>
        <w:rStyle w:val="PageNumber"/>
        <w:rtl/>
      </w:rPr>
      <w:t>48</w:t>
    </w:r>
    <w:r>
      <w:rPr>
        <w:rStyle w:val="PageNumber"/>
        <w:rtl/>
      </w:rPr>
      <w:fldChar w:fldCharType="end"/>
    </w:r>
    <w:r>
      <w:rPr>
        <w:rStyle w:val="PageNumber"/>
        <w:rFonts w:hint="cs"/>
        <w:rtl/>
      </w:rPr>
      <w:t xml:space="preserve"> -</w:t>
    </w:r>
  </w:p>
  <w:p>
    <w:pPr>
      <w:pStyle w:val="Header"/>
      <w:ind w:left="0" w:right="0"/>
      <w:jc w:val="both"/>
      <w:rPr>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E4701908"/>
    <w:lvl w:ilvl="0">
      <w:start w:val="1"/>
      <w:numFmt w:val="decimal"/>
      <w:lvlText w:val="%1."/>
      <w:lvlJc w:val="left"/>
      <w:pPr>
        <w:tabs>
          <w:tab w:val="num" w:pos="1440"/>
        </w:tabs>
        <w:ind w:left="1440" w:right="1440" w:hanging="360"/>
      </w:pPr>
    </w:lvl>
  </w:abstractNum>
  <w:abstractNum w:abstractNumId="1">
    <w:nsid w:val="3443390D"/>
    <w:multiLevelType w:val="singleLevel"/>
    <w:tmpl w:val="A07AD338"/>
    <w:lvl w:ilvl="0">
      <w:start w:val="1"/>
      <w:numFmt w:val="upperRoman"/>
      <w:lvlText w:val="%1."/>
      <w:lvlJc w:val="center"/>
      <w:pPr>
        <w:tabs>
          <w:tab w:val="num" w:pos="648"/>
        </w:tabs>
        <w:ind w:left="648" w:right="648" w:hanging="360"/>
      </w:pPr>
    </w:lvl>
  </w:abstractNum>
  <w:abstractNum w:abstractNumId="2">
    <w:nsid w:val="413561E6"/>
    <w:multiLevelType w:val="singleLevel"/>
    <w:tmpl w:val="5678B488"/>
    <w:lvl w:ilvl="0">
      <w:start w:val="1"/>
      <w:numFmt w:val="decimal"/>
      <w:lvlText w:val="%1."/>
      <w:lvlJc w:val="left"/>
      <w:pPr>
        <w:tabs>
          <w:tab w:val="num" w:pos="360"/>
        </w:tabs>
        <w:ind w:left="360" w:right="360" w:hanging="360"/>
      </w:pPr>
      <w:rPr>
        <w:rFonts w:hint="default"/>
        <w:sz w:val="28"/>
      </w:rPr>
    </w:lvl>
  </w:abstractNum>
  <w:abstractNum w:abstractNumId="3">
    <w:nsid w:val="55403117"/>
    <w:multiLevelType w:val="hybridMultilevel"/>
    <w:tmpl w:val="D8A81D96"/>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4">
    <w:nsid w:val="6A1C7FB5"/>
    <w:multiLevelType w:val="singleLevel"/>
    <w:tmpl w:val="CB646ABA"/>
    <w:lvl w:ilvl="0">
      <w:start w:val="1"/>
      <w:numFmt w:val="hebrew1"/>
      <w:lvlText w:val="%1."/>
      <w:lvlJc w:val="center"/>
      <w:pPr>
        <w:tabs>
          <w:tab w:val="num" w:pos="797"/>
        </w:tabs>
        <w:ind w:left="797" w:right="797" w:hanging="360"/>
      </w:pPr>
    </w:lvl>
  </w:abstractNum>
  <w:num w:numId="1">
    <w:abstractNumId w:val="2"/>
  </w:num>
  <w:num w:numId="2">
    <w:abstractNumId w:val="2"/>
  </w:num>
  <w:num w:numId="3">
    <w:abstractNumId w:val="2"/>
  </w:num>
  <w:num w:numId="4">
    <w:abstractNumId w:val="1"/>
  </w:num>
  <w:num w:numId="5">
    <w:abstractNumId w:val="4"/>
  </w:num>
  <w:num w:numId="6">
    <w:abstractNumId w:val="4"/>
  </w:num>
  <w:num w:numId="7">
    <w:abstractNumId w:val="2"/>
  </w:num>
  <w:num w:numId="8">
    <w:abstractNumId w:val="2"/>
  </w:num>
  <w:num w:numId="9">
    <w:abstractNumId w:val="4"/>
  </w:num>
  <w:num w:numId="10">
    <w:abstractNumId w:val="2"/>
  </w:num>
  <w:num w:numId="11">
    <w:abstractNumId w:val="4"/>
  </w:num>
  <w:num w:numId="12">
    <w:abstractNumId w:val="3"/>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oNotTrackMoves/>
  <w:defaultTabStop w:val="567"/>
  <w:drawingGridHorizontalSpacing w:val="72"/>
  <w:drawingGridVerticalSpacing w:val="98"/>
  <w:displayHorizontalDrawingGridEvery w:val="2"/>
  <w:displayVerticalDrawingGridEvery w:val="2"/>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Miriam"/>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bidi/>
      <w:spacing w:line="312" w:lineRule="auto"/>
      <w:ind w:left="0" w:right="0"/>
      <w:jc w:val="both"/>
    </w:pPr>
    <w:rPr>
      <w:rFonts w:cs="David"/>
      <w:sz w:val="24"/>
      <w:szCs w:val="24"/>
      <w:lang w:val="en-US" w:eastAsia="he-IL" w:bidi="he-IL"/>
    </w:rPr>
  </w:style>
  <w:style w:type="paragraph" w:styleId="Heading1">
    <w:name w:val="heading 1"/>
    <w:basedOn w:val="Normal"/>
    <w:next w:val="Normal"/>
    <w:uiPriority w:val="9"/>
    <w:qFormat/>
    <w:pPr>
      <w:keepNext/>
      <w:spacing w:before="240" w:after="60"/>
      <w:ind w:left="0" w:right="0"/>
      <w:jc w:val="center"/>
      <w:outlineLvl w:val="0"/>
    </w:pPr>
    <w:rPr>
      <w:rFonts w:cs="Times New Roman"/>
      <w:b/>
      <w:bCs/>
      <w:kern w:val="32"/>
      <w:sz w:val="32"/>
      <w:szCs w:val="32"/>
      <w:u w:val="single"/>
    </w:rPr>
  </w:style>
  <w:style w:type="paragraph" w:styleId="Heading2">
    <w:name w:val="heading 2"/>
    <w:basedOn w:val="Normal"/>
    <w:next w:val="Normal"/>
    <w:uiPriority w:val="9"/>
    <w:qFormat/>
    <w:pPr>
      <w:keepNext/>
      <w:spacing w:before="240" w:after="60"/>
      <w:ind w:left="0" w:right="0"/>
      <w:jc w:val="both"/>
      <w:outlineLvl w:val="1"/>
    </w:pPr>
    <w:rPr>
      <w:rFonts w:ascii="Arial" w:hAnsi="Arial" w:cs="Arial"/>
      <w:b/>
      <w:bCs/>
      <w:i/>
      <w:iCs/>
      <w:sz w:val="28"/>
      <w:szCs w:val="28"/>
    </w:rPr>
  </w:style>
  <w:style w:type="paragraph" w:styleId="Heading3">
    <w:name w:val="heading 3"/>
    <w:basedOn w:val="Normal"/>
    <w:next w:val="Normal"/>
    <w:uiPriority w:val="9"/>
    <w:qFormat/>
    <w:pPr>
      <w:keepNext/>
      <w:spacing w:line="240" w:lineRule="auto"/>
      <w:ind w:left="0" w:right="0"/>
      <w:jc w:val="left"/>
      <w:outlineLvl w:val="2"/>
    </w:pPr>
    <w:rPr>
      <w:sz w:val="36"/>
      <w:szCs w:val="3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Title">
    <w:name w:val="Title"/>
    <w:basedOn w:val="Normal"/>
    <w:uiPriority w:val="10"/>
    <w:qFormat/>
    <w:pPr>
      <w:ind w:left="0" w:right="0"/>
      <w:jc w:val="center"/>
    </w:pPr>
    <w:rPr>
      <w:b/>
      <w:bCs/>
      <w:u w:val="single"/>
    </w:rPr>
  </w:style>
  <w:style w:type="paragraph" w:customStyle="1" w:styleId="1">
    <w:name w:val="כותרת 1"/>
    <w:basedOn w:val="Normal"/>
    <w:next w:val="Normal"/>
    <w:pPr>
      <w:spacing w:before="240" w:after="480" w:line="288" w:lineRule="auto"/>
      <w:ind w:left="0" w:right="0"/>
      <w:jc w:val="center"/>
    </w:pPr>
    <w:rPr>
      <w:b/>
      <w:bCs/>
      <w:sz w:val="32"/>
      <w:szCs w:val="36"/>
      <w:u w:val="single"/>
    </w:rPr>
  </w:style>
  <w:style w:type="paragraph" w:customStyle="1" w:styleId="2">
    <w:name w:val="כותרת 2"/>
    <w:basedOn w:val="Normal"/>
    <w:next w:val="Normal"/>
    <w:pPr>
      <w:spacing w:before="100" w:beforeAutospacing="1" w:after="240" w:line="264" w:lineRule="auto"/>
      <w:ind w:left="0" w:right="0"/>
      <w:jc w:val="center"/>
    </w:pPr>
    <w:rPr>
      <w:b/>
      <w:bCs/>
      <w:sz w:val="28"/>
      <w:szCs w:val="32"/>
    </w:rPr>
  </w:style>
  <w:style w:type="paragraph" w:customStyle="1" w:styleId="3">
    <w:name w:val="כותרת 3"/>
    <w:basedOn w:val="Normal"/>
    <w:next w:val="Normal"/>
    <w:pPr>
      <w:spacing w:before="100" w:beforeAutospacing="1" w:line="288" w:lineRule="auto"/>
      <w:ind w:left="0" w:right="0"/>
      <w:jc w:val="left"/>
    </w:pPr>
    <w:rPr>
      <w:b/>
      <w:bCs/>
      <w:sz w:val="24"/>
      <w:szCs w:val="28"/>
      <w:u w:val="single"/>
    </w:rPr>
  </w:style>
  <w:style w:type="paragraph" w:customStyle="1" w:styleId="4">
    <w:name w:val="כותרת 4"/>
    <w:basedOn w:val="Normal"/>
    <w:next w:val="Normal"/>
    <w:pPr>
      <w:spacing w:before="100" w:beforeAutospacing="1" w:line="264" w:lineRule="auto"/>
      <w:ind w:left="0" w:right="0"/>
      <w:jc w:val="left"/>
    </w:pPr>
    <w:rPr>
      <w:b/>
      <w:bCs/>
      <w:sz w:val="22"/>
      <w:szCs w:val="26"/>
    </w:rPr>
  </w:style>
  <w:style w:type="paragraph" w:customStyle="1" w:styleId="a">
    <w:name w:val="נבנצלים"/>
    <w:basedOn w:val="Normal"/>
    <w:next w:val="Normal"/>
    <w:pPr>
      <w:ind w:left="-567" w:right="0"/>
      <w:jc w:val="both"/>
    </w:pPr>
    <w:rPr>
      <w:szCs w:val="20"/>
    </w:rPr>
  </w:style>
  <w:style w:type="paragraph" w:styleId="BodyText">
    <w:name w:val="Body Text"/>
    <w:basedOn w:val="Normal"/>
    <w:pPr>
      <w:ind w:left="0" w:right="0"/>
      <w:jc w:val="both"/>
    </w:pPr>
  </w:style>
  <w:style w:type="paragraph" w:styleId="BodyText2">
    <w:name w:val="Body Text 2"/>
    <w:basedOn w:val="Normal"/>
    <w:pPr>
      <w:ind w:left="0" w:right="0"/>
      <w:jc w:val="left"/>
    </w:pPr>
  </w:style>
  <w:style w:type="paragraph" w:styleId="Header">
    <w:name w:val="header"/>
    <w:basedOn w:val="Normal"/>
    <w:pPr>
      <w:tabs>
        <w:tab w:val="center" w:pos="4153"/>
        <w:tab w:val="right" w:pos="8306"/>
      </w:tabs>
      <w:ind w:left="0" w:right="0"/>
      <w:jc w:val="both"/>
    </w:pPr>
  </w:style>
  <w:style w:type="paragraph" w:styleId="Footer">
    <w:name w:val="footer"/>
    <w:basedOn w:val="Normal"/>
    <w:pPr>
      <w:tabs>
        <w:tab w:val="center" w:pos="4153"/>
        <w:tab w:val="right" w:pos="8306"/>
      </w:tabs>
      <w:ind w:left="0" w:right="0"/>
      <w:jc w:val="both"/>
    </w:pPr>
  </w:style>
  <w:style w:type="character" w:styleId="PageNumber">
    <w:name w:val="page number"/>
    <w:basedOn w:val="DefaultParagraphFont"/>
  </w:style>
  <w:style w:type="paragraph" w:styleId="FootnoteText">
    <w:name w:val="footnote text"/>
    <w:basedOn w:val="Normal"/>
    <w:semiHidden/>
    <w:pPr>
      <w:ind w:left="567" w:right="0" w:hanging="567"/>
      <w:jc w:val="both"/>
    </w:pPr>
    <w:rPr>
      <w:szCs w:val="20"/>
    </w:rPr>
  </w:style>
  <w:style w:type="character" w:styleId="FootnoteReference">
    <w:name w:val="footnote reference"/>
    <w:basedOn w:val="DefaultParagraphFont"/>
    <w:semiHidden/>
    <w:rPr>
      <w:vertAlign w:val="superscript"/>
    </w:rPr>
  </w:style>
  <w:style w:type="paragraph" w:styleId="EndnoteText">
    <w:name w:val="endnote text"/>
    <w:basedOn w:val="Normal"/>
    <w:semiHidden/>
    <w:pPr>
      <w:ind w:left="0" w:right="0"/>
      <w:jc w:val="both"/>
    </w:pPr>
    <w:rPr>
      <w:szCs w:val="20"/>
    </w:rPr>
  </w:style>
  <w:style w:type="character" w:styleId="EndnoteReference">
    <w:name w:val="endnote reference"/>
    <w:basedOn w:val="DefaultParagraphFont"/>
    <w:semiHidden/>
    <w:rPr>
      <w:vertAlign w:val="superscript"/>
    </w:rPr>
  </w:style>
  <w:style w:type="paragraph" w:styleId="BodyText3">
    <w:name w:val="Body Text 3"/>
    <w:basedOn w:val="Normal"/>
    <w:pPr>
      <w:widowControl w:val="0"/>
      <w:ind w:left="0" w:right="0"/>
      <w:jc w:val="both"/>
    </w:pPr>
  </w:style>
  <w:style w:type="character" w:customStyle="1" w:styleId="5">
    <w:name w:val="כותרת 5"/>
    <w:basedOn w:val="DefaultParagraphFont"/>
    <w:rPr>
      <w:rFonts w:ascii="Times New Roman" w:hAnsi="Times New Roman" w:cs="David"/>
      <w:b/>
      <w:bCs/>
      <w:dstrike w:val="0"/>
      <w:color w:val="auto"/>
      <w:spacing w:val="40"/>
      <w:w w:val="100"/>
      <w:position w:val="0"/>
      <w:sz w:val="20"/>
      <w:szCs w:val="24"/>
      <w:u w:val="none" w:color="auto"/>
      <w:vertAlign w:val="baseline"/>
    </w:rPr>
  </w:style>
  <w:style w:type="character" w:customStyle="1" w:styleId="6">
    <w:name w:val="כותרת 6"/>
    <w:basedOn w:val="DefaultParagraphFont"/>
    <w:rPr>
      <w:rFonts w:ascii="Times New Roman" w:hAnsi="Times New Roman" w:cs="David"/>
      <w:color w:val="auto"/>
      <w:spacing w:val="40"/>
      <w:w w:val="100"/>
      <w:position w:val="0"/>
      <w:sz w:val="20"/>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3" Type="http://schemas.openxmlformats.org/officeDocument/2006/relationships/fontTable" Target="fontTable.xml"/><Relationship Id="rId7" Type="http://schemas.openxmlformats.org/officeDocument/2006/relationships/header" Target="header3.xml"/><Relationship Id="rId12" Type="http://schemas.openxmlformats.org/officeDocument/2006/relationships/customXml" Target="../customXml/item3.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header" Target="header2.xml"/><Relationship Id="rId11" Type="http://schemas.openxmlformats.org/officeDocument/2006/relationships/customXml" Target="../customXml/item2.xml"/><Relationship Id="rId5" Type="http://schemas.openxmlformats.org/officeDocument/2006/relationships/header" Target="header1.xml"/><Relationship Id="rId10" Type="http://schemas.openxmlformats.org/officeDocument/2006/relationships/customXml" Target="../customXml/item1.xml"/><Relationship Id="rId4" Type="http://schemas.openxmlformats.org/officeDocument/2006/relationships/image" Target="media/image1.png"/><Relationship Id="rId9" Type="http://schemas.openxmlformats.org/officeDocument/2006/relationships/styles" Target="styles.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E7EDE21-505B-4BE1-A19C-E3A3F970AF16}"/>
</file>

<file path=customXml/itemProps2.xml><?xml version="1.0" encoding="utf-8"?>
<ds:datastoreItem xmlns:ds="http://schemas.openxmlformats.org/officeDocument/2006/customXml" ds:itemID="{B0288C3F-5D06-4110-90EF-AD0DA76682F4}"/>
</file>

<file path=customXml/itemProps3.xml><?xml version="1.0" encoding="utf-8"?>
<ds:datastoreItem xmlns:ds="http://schemas.openxmlformats.org/officeDocument/2006/customXml" ds:itemID="{5EC12808-CE67-42D1-9CFA-AEC7DBB62C9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