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spacing w:line="240" w:lineRule="auto"/>
        <w:ind w:left="0" w:right="0"/>
        <w:jc w:val="both"/>
        <w:rPr>
          <w:rtl/>
        </w:rPr>
      </w:pPr>
    </w:p>
    <w:p>
      <w:pPr>
        <w:spacing w:line="240" w:lineRule="auto"/>
        <w:ind w:left="0" w:right="0"/>
        <w:jc w:val="center"/>
        <w:rPr>
          <w:rFonts w:hint="cs"/>
          <w:szCs w:val="20"/>
          <w:rtl/>
        </w:rPr>
      </w:pP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5" o:title="\\New\new c\MacMove\semel.tif"/>
          </v:shape>
        </w:pict>
      </w:r>
    </w:p>
    <w:p>
      <w:pPr>
        <w:pStyle w:val="Heading3"/>
        <w:spacing w:line="240" w:lineRule="auto"/>
        <w:ind w:left="0" w:right="0"/>
        <w:jc w:val="center"/>
        <w:rPr>
          <w:rFonts w:hint="cs"/>
          <w:rtl/>
        </w:rPr>
      </w:pPr>
      <w:r>
        <w:rPr>
          <w:rFonts w:hint="cs"/>
          <w:rtl/>
        </w:rPr>
        <w:t>מבקר המדינה</w:t>
      </w:r>
    </w:p>
    <w:p>
      <w:pPr>
        <w:spacing w:line="240" w:lineRule="auto"/>
        <w:ind w:left="0" w:right="0"/>
        <w:jc w:val="center"/>
        <w:rPr>
          <w:rFonts w:hint="cs"/>
          <w:b/>
          <w:bCs/>
          <w:sz w:val="46"/>
          <w:szCs w:val="40"/>
          <w:rtl/>
        </w:rPr>
      </w:pPr>
    </w:p>
    <w:p>
      <w:pPr>
        <w:pStyle w:val="Heading4"/>
        <w:spacing w:line="240" w:lineRule="auto"/>
        <w:ind w:left="0" w:right="0"/>
        <w:jc w:val="center"/>
        <w:rPr>
          <w:rFonts w:hint="cs"/>
          <w:rtl/>
        </w:rPr>
      </w:pPr>
      <w:r>
        <w:rPr>
          <w:rFonts w:hint="cs"/>
          <w:rtl/>
        </w:rPr>
        <w:t>דוח על הביקורת</w:t>
      </w:r>
    </w:p>
    <w:p>
      <w:pPr>
        <w:spacing w:line="240" w:lineRule="auto"/>
        <w:ind w:left="0" w:right="0"/>
        <w:jc w:val="center"/>
        <w:rPr>
          <w:rFonts w:hint="cs"/>
          <w:b/>
          <w:bCs/>
          <w:sz w:val="46"/>
          <w:szCs w:val="40"/>
          <w:rtl/>
        </w:rPr>
      </w:pPr>
      <w:r>
        <w:rPr>
          <w:rFonts w:hint="cs"/>
          <w:b/>
          <w:bCs/>
          <w:sz w:val="46"/>
          <w:szCs w:val="40"/>
          <w:rtl/>
        </w:rPr>
        <w:t>בקרנות השתלמות לעובדי הוראה</w:t>
      </w:r>
    </w:p>
    <w:p>
      <w:pPr>
        <w:spacing w:line="240" w:lineRule="auto"/>
        <w:ind w:left="0" w:right="0"/>
        <w:jc w:val="center"/>
        <w:rPr>
          <w:rFonts w:hint="cs"/>
          <w:b/>
          <w:bCs/>
          <w:sz w:val="46"/>
          <w:szCs w:val="40"/>
          <w:rtl/>
        </w:rPr>
      </w:pPr>
    </w:p>
    <w:p>
      <w:pPr>
        <w:pStyle w:val="Heading5"/>
        <w:spacing w:line="240" w:lineRule="auto"/>
        <w:ind w:left="0" w:right="0"/>
        <w:jc w:val="center"/>
        <w:rPr>
          <w:rFonts w:hint="cs"/>
          <w:rtl/>
        </w:rPr>
      </w:pPr>
      <w:r>
        <w:rPr>
          <w:rFonts w:hint="cs"/>
          <w:rtl/>
        </w:rPr>
        <w:t>קרן השתלמות למורים על יסודיים בע"מ</w:t>
      </w:r>
    </w:p>
    <w:p>
      <w:pPr>
        <w:spacing w:line="240" w:lineRule="auto"/>
        <w:ind w:left="0" w:right="0"/>
        <w:jc w:val="center"/>
        <w:rPr>
          <w:rFonts w:hint="cs"/>
          <w:b/>
          <w:bCs/>
          <w:sz w:val="34"/>
          <w:szCs w:val="32"/>
          <w:rtl/>
        </w:rPr>
      </w:pPr>
      <w:r>
        <w:rPr>
          <w:rFonts w:hint="cs"/>
          <w:b/>
          <w:bCs/>
          <w:sz w:val="34"/>
          <w:szCs w:val="32"/>
          <w:rtl/>
        </w:rPr>
        <w:t>קרן השתלמות למורים ולגננות בע"מ</w:t>
      </w:r>
    </w:p>
    <w:p>
      <w:pPr>
        <w:spacing w:line="240" w:lineRule="auto"/>
        <w:ind w:left="0" w:right="0"/>
        <w:jc w:val="center"/>
        <w:rPr>
          <w:rFonts w:hint="cs"/>
          <w:b/>
          <w:bCs/>
          <w:sz w:val="34"/>
          <w:szCs w:val="32"/>
          <w:rtl/>
        </w:rPr>
      </w:pPr>
      <w:r>
        <w:rPr>
          <w:rFonts w:hint="cs"/>
          <w:b/>
          <w:bCs/>
          <w:sz w:val="34"/>
          <w:szCs w:val="32"/>
          <w:rtl/>
        </w:rPr>
        <w:t>קרן השתלמות למורים תיכוניים,</w:t>
      </w:r>
    </w:p>
    <w:p>
      <w:pPr>
        <w:spacing w:line="240" w:lineRule="auto"/>
        <w:ind w:left="0" w:right="0"/>
        <w:jc w:val="center"/>
        <w:rPr>
          <w:rFonts w:hint="cs"/>
          <w:b/>
          <w:bCs/>
          <w:sz w:val="34"/>
          <w:szCs w:val="32"/>
          <w:rtl/>
        </w:rPr>
      </w:pPr>
      <w:r>
        <w:rPr>
          <w:rFonts w:hint="cs"/>
          <w:b/>
          <w:bCs/>
          <w:sz w:val="34"/>
          <w:szCs w:val="32"/>
          <w:rtl/>
        </w:rPr>
        <w:t>מורי סמינרים ומפקחים בע"מ</w:t>
      </w:r>
    </w:p>
    <w:p>
      <w:pPr>
        <w:spacing w:line="240" w:lineRule="auto"/>
        <w:ind w:left="0" w:right="0"/>
        <w:jc w:val="center"/>
        <w:rPr>
          <w:rFonts w:hint="cs"/>
          <w:b/>
          <w:bCs/>
          <w:sz w:val="34"/>
          <w:szCs w:val="32"/>
          <w:rtl/>
        </w:rPr>
      </w:pPr>
    </w:p>
    <w:p>
      <w:pPr>
        <w:spacing w:line="240" w:lineRule="auto"/>
        <w:ind w:left="0" w:right="0"/>
        <w:jc w:val="center"/>
        <w:rPr>
          <w:rFonts w:hint="cs"/>
          <w:b/>
          <w:bCs/>
          <w:sz w:val="34"/>
          <w:szCs w:val="32"/>
          <w:rtl/>
        </w:rPr>
      </w:pPr>
    </w:p>
    <w:p>
      <w:pPr>
        <w:spacing w:line="240" w:lineRule="auto"/>
        <w:ind w:left="0" w:right="0"/>
        <w:jc w:val="center"/>
        <w:rPr>
          <w:rFonts w:hint="cs"/>
          <w:b/>
          <w:bCs/>
          <w:sz w:val="34"/>
          <w:szCs w:val="32"/>
          <w:rtl/>
        </w:rPr>
      </w:pPr>
    </w:p>
    <w:p>
      <w:pPr>
        <w:spacing w:line="240" w:lineRule="auto"/>
        <w:ind w:left="0" w:right="0"/>
        <w:jc w:val="center"/>
        <w:rPr>
          <w:b/>
          <w:bCs/>
          <w:sz w:val="34"/>
          <w:szCs w:val="32"/>
          <w:rtl/>
        </w:rPr>
      </w:pPr>
      <w:r>
        <w:rPr>
          <w:rFonts w:hint="cs"/>
          <w:b/>
          <w:bCs/>
          <w:sz w:val="34"/>
          <w:szCs w:val="32"/>
          <w:rtl/>
        </w:rPr>
        <w:t xml:space="preserve">ירושלים, התשנ"ב </w:t>
      </w:r>
      <w:r>
        <w:rPr>
          <w:b/>
          <w:bCs/>
          <w:sz w:val="34"/>
          <w:szCs w:val="32"/>
          <w:rtl/>
        </w:rPr>
        <w:t>-</w:t>
      </w:r>
      <w:r>
        <w:rPr>
          <w:rFonts w:hint="cs"/>
          <w:b/>
          <w:bCs/>
          <w:sz w:val="34"/>
          <w:szCs w:val="32"/>
          <w:rtl/>
        </w:rPr>
        <w:t xml:space="preserve"> 1992</w:t>
      </w:r>
    </w:p>
    <w:p>
      <w:pPr>
        <w:spacing w:line="240" w:lineRule="auto"/>
        <w:ind w:left="0" w:right="0"/>
        <w:jc w:val="center"/>
        <w:rPr>
          <w:rFonts w:hint="cs"/>
          <w:b/>
          <w:bCs/>
          <w:sz w:val="34"/>
          <w:rtl/>
        </w:rPr>
      </w:pPr>
      <w:r>
        <w:rPr>
          <w:b/>
          <w:bCs/>
          <w:sz w:val="34"/>
          <w:szCs w:val="32"/>
          <w:rtl/>
        </w:rPr>
        <w:br w:type="page"/>
      </w: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p>
    <w:p>
      <w:pPr>
        <w:spacing w:line="240" w:lineRule="auto"/>
        <w:ind w:left="0" w:right="0"/>
        <w:jc w:val="center"/>
        <w:rPr>
          <w:rFonts w:hint="cs"/>
          <w:b/>
          <w:bCs/>
          <w:sz w:val="34"/>
          <w:rtl/>
        </w:rPr>
      </w:pPr>
      <w:r>
        <w:rPr>
          <w:rFonts w:hint="cs"/>
          <w:b/>
          <w:bCs/>
          <w:sz w:val="34"/>
          <w:rtl/>
        </w:rPr>
        <w:t>משרד מבקר המדינה</w:t>
      </w:r>
    </w:p>
    <w:p>
      <w:pPr>
        <w:spacing w:line="240" w:lineRule="auto"/>
        <w:ind w:left="0" w:right="0"/>
        <w:jc w:val="center"/>
        <w:rPr>
          <w:rFonts w:hint="cs"/>
          <w:b/>
          <w:bCs/>
          <w:sz w:val="34"/>
          <w:rtl/>
        </w:rPr>
      </w:pPr>
      <w:r>
        <w:rPr>
          <w:rFonts w:hint="cs"/>
          <w:b/>
          <w:bCs/>
          <w:sz w:val="34"/>
          <w:rtl/>
        </w:rPr>
        <w:t>ביקורת האיגודים</w:t>
      </w:r>
    </w:p>
    <w:p>
      <w:pPr>
        <w:spacing w:line="240" w:lineRule="auto"/>
        <w:ind w:left="0" w:right="0"/>
        <w:jc w:val="center"/>
        <w:rPr>
          <w:rFonts w:hint="cs"/>
          <w:b/>
          <w:bCs/>
          <w:sz w:val="34"/>
          <w:rtl/>
        </w:rPr>
      </w:pPr>
      <w:r>
        <w:rPr>
          <w:rFonts w:hint="cs"/>
          <w:b/>
          <w:bCs/>
          <w:sz w:val="34"/>
          <w:rtl/>
        </w:rPr>
        <w:t xml:space="preserve">7932-0792 </w:t>
      </w:r>
      <w:r>
        <w:rPr>
          <w:rFonts w:hint="cs"/>
          <w:b/>
          <w:bCs/>
          <w:sz w:val="34"/>
        </w:rPr>
        <w:t>ISSN</w:t>
      </w:r>
    </w:p>
    <w:p>
      <w:pPr>
        <w:spacing w:line="240" w:lineRule="auto"/>
        <w:ind w:left="0" w:right="0"/>
        <w:jc w:val="center"/>
        <w:rPr>
          <w:rFonts w:hint="cs"/>
          <w:b/>
          <w:bCs/>
          <w:sz w:val="34"/>
          <w:rtl/>
        </w:rPr>
      </w:pPr>
      <w:r>
        <w:rPr>
          <w:rFonts w:hint="cs"/>
          <w:b/>
          <w:bCs/>
          <w:sz w:val="34"/>
          <w:rtl/>
        </w:rPr>
        <w:t>003-92</w:t>
      </w:r>
    </w:p>
    <w:p>
      <w:pPr>
        <w:spacing w:line="240" w:lineRule="auto"/>
        <w:ind w:left="0" w:right="0"/>
        <w:jc w:val="center"/>
        <w:rPr>
          <w:rFonts w:hint="cs"/>
          <w:b/>
          <w:bCs/>
          <w:sz w:val="34"/>
          <w:rtl/>
        </w:rPr>
      </w:pPr>
    </w:p>
    <w:p>
      <w:pPr>
        <w:spacing w:line="240" w:lineRule="auto"/>
        <w:ind w:left="0" w:right="0"/>
        <w:jc w:val="center"/>
        <w:rPr>
          <w:rFonts w:hint="cs"/>
          <w:b/>
          <w:bCs/>
          <w:sz w:val="34"/>
          <w:szCs w:val="32"/>
          <w:rtl/>
        </w:rPr>
      </w:pPr>
      <w:r>
        <w:rPr>
          <w:b/>
          <w:bCs/>
          <w:sz w:val="34"/>
          <w:szCs w:val="32"/>
          <w:rtl/>
        </w:rPr>
        <w:br w:type="page"/>
      </w:r>
    </w:p>
    <w:p>
      <w:pPr>
        <w:spacing w:line="240" w:lineRule="auto"/>
        <w:ind w:left="0" w:right="0"/>
        <w:jc w:val="center"/>
        <w:rPr>
          <w:rFonts w:hint="cs"/>
          <w:b/>
          <w:bCs/>
          <w:sz w:val="34"/>
          <w:szCs w:val="32"/>
          <w:rtl/>
        </w:rPr>
      </w:pPr>
    </w:p>
    <w:p>
      <w:pPr>
        <w:spacing w:line="240" w:lineRule="auto"/>
        <w:ind w:left="567" w:right="0"/>
        <w:jc w:val="both"/>
        <w:rPr>
          <w:rFonts w:hint="cs"/>
          <w:b/>
          <w:bCs/>
          <w:sz w:val="24"/>
          <w:rtl/>
        </w:rPr>
      </w:pPr>
      <w:r>
        <w:rPr>
          <w:rFonts w:hint="cs"/>
          <w:b/>
          <w:bCs/>
          <w:sz w:val="24"/>
          <w:rtl/>
        </w:rPr>
        <w:t>דין וחשבון זה של מבקר המדינה מסכם את הביקורת על פעולות קרנות ההשתלמות לעובדי הוראה (קרן השתלמות למורים על יסודיים בע"מ, קרן השתלמות למורים ולגננות בע"מ, וקרן השתלמות למורים תיכוניים, מורי סמינרים ומפקחים בע"מ), שנערכה בשנים 1988-1990 לסירוגין. נתונים אחדים עודכנו עד 1991.</w:t>
      </w:r>
    </w:p>
    <w:p>
      <w:pPr>
        <w:spacing w:line="240" w:lineRule="auto"/>
        <w:ind w:left="0" w:right="0"/>
        <w:jc w:val="both"/>
        <w:rPr>
          <w:rFonts w:hint="cs"/>
          <w:b/>
          <w:bCs/>
          <w:sz w:val="24"/>
          <w:rtl/>
        </w:rPr>
      </w:pPr>
    </w:p>
    <w:p>
      <w:pPr>
        <w:spacing w:line="240" w:lineRule="auto"/>
        <w:ind w:left="567" w:right="0"/>
        <w:jc w:val="both"/>
        <w:rPr>
          <w:rFonts w:hint="cs"/>
          <w:b/>
          <w:bCs/>
          <w:sz w:val="24"/>
          <w:rtl/>
        </w:rPr>
      </w:pPr>
      <w:r>
        <w:rPr>
          <w:rFonts w:hint="cs"/>
          <w:b/>
          <w:bCs/>
          <w:sz w:val="24"/>
          <w:rtl/>
        </w:rPr>
        <w:t>הממצאים שהועלו במהלך הביקורת הובאו לידיעת ההנהלות של הקרנות; בדין וחשבון זה מובאים הממצאים העיקריים.</w:t>
      </w:r>
    </w:p>
    <w:p>
      <w:pPr>
        <w:spacing w:line="240" w:lineRule="auto"/>
        <w:ind w:left="0" w:right="0"/>
        <w:jc w:val="both"/>
        <w:rPr>
          <w:rFonts w:hint="cs"/>
          <w:b/>
          <w:bCs/>
          <w:sz w:val="24"/>
          <w:rtl/>
        </w:rPr>
      </w:pPr>
    </w:p>
    <w:p>
      <w:pPr>
        <w:spacing w:line="240" w:lineRule="auto"/>
        <w:ind w:left="567" w:right="0"/>
        <w:jc w:val="both"/>
        <w:rPr>
          <w:rFonts w:hint="cs"/>
          <w:b/>
          <w:bCs/>
          <w:sz w:val="24"/>
          <w:rtl/>
        </w:rPr>
      </w:pPr>
      <w:r>
        <w:rPr>
          <w:rFonts w:hint="cs"/>
          <w:b/>
          <w:bCs/>
          <w:sz w:val="24"/>
          <w:rtl/>
        </w:rPr>
        <w:t>הקרנות עומדות לביקורת מבקר המדינה, לפי סעיף 9(5) לחוק מבקר המדינה, התשי"ח-1958 (נוסח משולב), כגופים שהממשלה משתתפת בהנהלתם.</w:t>
      </w:r>
    </w:p>
    <w:p>
      <w:pPr>
        <w:spacing w:line="240" w:lineRule="auto"/>
        <w:ind w:left="0" w:right="0"/>
        <w:jc w:val="both"/>
        <w:rPr>
          <w:rFonts w:hint="cs"/>
          <w:b/>
          <w:bCs/>
          <w:sz w:val="24"/>
          <w:rtl/>
        </w:rPr>
      </w:pPr>
    </w:p>
    <w:p>
      <w:pPr>
        <w:pStyle w:val="BodyTextIndent3"/>
        <w:spacing w:line="240" w:lineRule="auto"/>
        <w:ind w:left="567" w:right="0"/>
        <w:jc w:val="both"/>
        <w:rPr>
          <w:rtl/>
        </w:rPr>
      </w:pPr>
      <w:r>
        <w:rPr>
          <w:rFonts w:hint="cs"/>
          <w:rtl/>
        </w:rPr>
        <w:t>שלוש קרנות ההשתלמות הן חברות מעורבות כמשמעותן בחוק החברות הממשלתיות, התשל"ה-1975; שר החינוך והתרבות הוא השר האחראי לענייניהן לפי חוק זה, ובידו, יחד עם שר האוצר, הסמכויות המפורטות בחוק בענייני החברות.</w:t>
      </w:r>
    </w:p>
    <w:p>
      <w:pPr>
        <w:spacing w:line="240" w:lineRule="auto"/>
        <w:ind w:left="567" w:right="0"/>
        <w:jc w:val="both"/>
        <w:rPr>
          <w:rFonts w:hint="cs"/>
          <w:b/>
          <w:bCs/>
          <w:sz w:val="30"/>
          <w:szCs w:val="28"/>
          <w:rtl/>
        </w:rPr>
      </w:pPr>
      <w:r>
        <w:rPr>
          <w:b/>
          <w:bCs/>
          <w:sz w:val="30"/>
          <w:szCs w:val="28"/>
          <w:rtl/>
        </w:rPr>
        <w:br w:type="page"/>
      </w:r>
    </w:p>
    <w:p>
      <w:pPr>
        <w:pStyle w:val="2"/>
        <w:spacing w:line="240" w:lineRule="auto"/>
        <w:ind w:left="0" w:right="0"/>
        <w:jc w:val="center"/>
        <w:rPr>
          <w:rFonts w:hint="cs"/>
          <w:rtl/>
        </w:rPr>
      </w:pPr>
    </w:p>
    <w:p>
      <w:pPr>
        <w:pStyle w:val="2"/>
        <w:spacing w:line="240" w:lineRule="auto"/>
        <w:ind w:left="0" w:right="0"/>
        <w:jc w:val="center"/>
        <w:rPr>
          <w:rFonts w:hint="cs"/>
          <w:rtl/>
        </w:rPr>
      </w:pPr>
      <w:r>
        <w:rPr>
          <w:rtl/>
        </w:rPr>
        <w:br w:type="page"/>
      </w:r>
      <w:r>
        <w:rPr>
          <w:rFonts w:hint="cs"/>
          <w:rtl/>
        </w:rPr>
        <w:t>תוכן העניינים</w:t>
      </w:r>
    </w:p>
    <w:p>
      <w:pPr>
        <w:pStyle w:val="Heading6"/>
        <w:spacing w:line="240" w:lineRule="auto"/>
        <w:ind w:left="0" w:right="0"/>
        <w:jc w:val="both"/>
        <w:rPr>
          <w:rFonts w:hint="cs"/>
          <w:sz w:val="24"/>
          <w:szCs w:val="24"/>
          <w:rtl/>
        </w:rPr>
      </w:pPr>
      <w:r>
        <w:rPr>
          <w:rFonts w:hint="cs"/>
          <w:sz w:val="24"/>
          <w:szCs w:val="24"/>
          <w:rtl/>
        </w:rPr>
        <w:t>הקרנות ומוסדותיהן</w:t>
        <w:tab/>
        <w:tab/>
        <w:tab/>
        <w:tab/>
        <w:tab/>
        <w:tab/>
        <w:tab/>
        <w:tab/>
        <w:t>7</w:t>
      </w:r>
    </w:p>
    <w:p>
      <w:pPr>
        <w:spacing w:line="240" w:lineRule="auto"/>
        <w:ind w:left="0" w:right="0"/>
        <w:jc w:val="both"/>
        <w:rPr>
          <w:rFonts w:hint="cs"/>
          <w:sz w:val="24"/>
          <w:rtl/>
        </w:rPr>
      </w:pPr>
      <w:r>
        <w:rPr>
          <w:rFonts w:hint="cs"/>
          <w:b/>
          <w:bCs/>
          <w:sz w:val="24"/>
          <w:rtl/>
        </w:rPr>
        <w:tab/>
      </w:r>
      <w:r>
        <w:rPr>
          <w:rFonts w:hint="cs"/>
          <w:sz w:val="24"/>
          <w:rtl/>
        </w:rPr>
        <w:t>הקמת הקרנות</w:t>
        <w:tab/>
        <w:tab/>
        <w:tab/>
        <w:tab/>
        <w:tab/>
        <w:tab/>
        <w:tab/>
        <w:tab/>
        <w:t>7</w:t>
      </w:r>
    </w:p>
    <w:p>
      <w:pPr>
        <w:spacing w:line="240" w:lineRule="auto"/>
        <w:ind w:left="0" w:right="0"/>
        <w:jc w:val="both"/>
        <w:rPr>
          <w:rFonts w:hint="cs"/>
          <w:sz w:val="24"/>
          <w:rtl/>
        </w:rPr>
      </w:pPr>
      <w:r>
        <w:rPr>
          <w:rFonts w:hint="cs"/>
          <w:sz w:val="24"/>
          <w:rtl/>
        </w:rPr>
        <w:tab/>
        <w:t>מוסדות מנהלים</w:t>
        <w:tab/>
        <w:tab/>
        <w:tab/>
        <w:tab/>
        <w:tab/>
        <w:tab/>
        <w:tab/>
        <w:tab/>
        <w:t>8</w:t>
      </w:r>
    </w:p>
    <w:p>
      <w:pPr>
        <w:spacing w:line="240" w:lineRule="auto"/>
        <w:ind w:left="0" w:right="0"/>
        <w:jc w:val="both"/>
        <w:rPr>
          <w:rFonts w:hint="cs"/>
          <w:sz w:val="24"/>
          <w:rtl/>
        </w:rPr>
      </w:pPr>
      <w:r>
        <w:rPr>
          <w:rFonts w:hint="cs"/>
          <w:sz w:val="24"/>
          <w:rtl/>
        </w:rPr>
        <w:tab/>
        <w:t>תכניות הקרנות (קווי פעולה)</w:t>
        <w:tab/>
        <w:tab/>
        <w:tab/>
        <w:tab/>
        <w:tab/>
        <w:tab/>
        <w:t>9</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יציאה להשתלמות</w:t>
        <w:tab/>
        <w:tab/>
        <w:tab/>
        <w:tab/>
        <w:tab/>
        <w:tab/>
        <w:tab/>
        <w:tab/>
        <w:tab/>
      </w:r>
      <w:r>
        <w:rPr>
          <w:rFonts w:hint="cs"/>
          <w:sz w:val="24"/>
          <w:rtl/>
        </w:rPr>
        <w:t>11</w:t>
      </w:r>
    </w:p>
    <w:p>
      <w:pPr>
        <w:pStyle w:val="Heading7"/>
        <w:spacing w:line="240" w:lineRule="auto"/>
        <w:ind w:left="0" w:right="0"/>
        <w:jc w:val="both"/>
        <w:rPr>
          <w:rFonts w:hint="cs"/>
          <w:sz w:val="24"/>
          <w:szCs w:val="24"/>
          <w:rtl/>
        </w:rPr>
      </w:pPr>
      <w:r>
        <w:rPr>
          <w:rFonts w:hint="cs"/>
          <w:sz w:val="24"/>
          <w:szCs w:val="24"/>
          <w:rtl/>
        </w:rPr>
        <w:t>איזון אקטוארי</w:t>
        <w:tab/>
        <w:tab/>
        <w:tab/>
        <w:tab/>
        <w:tab/>
        <w:tab/>
        <w:tab/>
        <w:tab/>
        <w:tab/>
      </w:r>
      <w:r>
        <w:rPr>
          <w:rFonts w:hint="cs"/>
          <w:b w:val="0"/>
          <w:bCs w:val="0"/>
          <w:sz w:val="24"/>
          <w:szCs w:val="24"/>
          <w:rtl/>
        </w:rPr>
        <w:t>13</w:t>
      </w:r>
    </w:p>
    <w:p>
      <w:pPr>
        <w:spacing w:line="240" w:lineRule="auto"/>
        <w:ind w:left="0" w:right="0"/>
        <w:jc w:val="both"/>
        <w:rPr>
          <w:rFonts w:hint="cs"/>
          <w:sz w:val="24"/>
          <w:rtl/>
        </w:rPr>
      </w:pPr>
      <w:r>
        <w:rPr>
          <w:rFonts w:hint="cs"/>
          <w:b/>
          <w:bCs/>
          <w:sz w:val="24"/>
          <w:rtl/>
        </w:rPr>
        <w:t>חישוב ההפרשות והעברתן לקרנות</w:t>
        <w:tab/>
        <w:tab/>
        <w:tab/>
        <w:tab/>
        <w:tab/>
        <w:tab/>
      </w:r>
      <w:r>
        <w:rPr>
          <w:rFonts w:hint="cs"/>
          <w:sz w:val="24"/>
          <w:rtl/>
        </w:rPr>
        <w:t>18</w:t>
      </w:r>
    </w:p>
    <w:p>
      <w:pPr>
        <w:spacing w:line="240" w:lineRule="auto"/>
        <w:ind w:left="0" w:right="0"/>
        <w:jc w:val="both"/>
        <w:rPr>
          <w:rFonts w:hint="cs"/>
          <w:sz w:val="24"/>
          <w:rtl/>
        </w:rPr>
      </w:pPr>
      <w:r>
        <w:rPr>
          <w:rFonts w:hint="cs"/>
          <w:b/>
          <w:bCs/>
          <w:sz w:val="24"/>
          <w:rtl/>
        </w:rPr>
        <w:tab/>
      </w:r>
      <w:r>
        <w:rPr>
          <w:rFonts w:hint="cs"/>
          <w:sz w:val="24"/>
          <w:rtl/>
        </w:rPr>
        <w:t>תשלום על ידי הוראת קבע</w:t>
        <w:tab/>
        <w:tab/>
        <w:tab/>
        <w:tab/>
        <w:tab/>
        <w:tab/>
        <w:tab/>
        <w:t>18</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כספים ומינהל</w:t>
        <w:tab/>
        <w:tab/>
        <w:tab/>
        <w:tab/>
        <w:tab/>
        <w:tab/>
        <w:tab/>
        <w:tab/>
        <w:tab/>
      </w:r>
      <w:r>
        <w:rPr>
          <w:rFonts w:hint="cs"/>
          <w:sz w:val="24"/>
          <w:rtl/>
        </w:rPr>
        <w:t>21</w:t>
      </w:r>
    </w:p>
    <w:p>
      <w:pPr>
        <w:spacing w:line="240" w:lineRule="auto"/>
        <w:ind w:left="0" w:right="0"/>
        <w:jc w:val="both"/>
        <w:rPr>
          <w:rFonts w:hint="cs"/>
          <w:sz w:val="24"/>
          <w:rtl/>
        </w:rPr>
      </w:pPr>
      <w:r>
        <w:rPr>
          <w:rFonts w:hint="cs"/>
          <w:b/>
          <w:bCs/>
          <w:sz w:val="24"/>
          <w:rtl/>
        </w:rPr>
        <w:tab/>
      </w:r>
      <w:r>
        <w:rPr>
          <w:rFonts w:hint="cs"/>
          <w:sz w:val="24"/>
          <w:rtl/>
        </w:rPr>
        <w:t>דמי ניהול למנהל העסקים</w:t>
        <w:tab/>
        <w:tab/>
        <w:tab/>
        <w:tab/>
        <w:tab/>
        <w:tab/>
        <w:tab/>
        <w:t>22</w:t>
      </w:r>
    </w:p>
    <w:p>
      <w:pPr>
        <w:spacing w:line="240" w:lineRule="auto"/>
        <w:ind w:left="0" w:right="0"/>
        <w:jc w:val="both"/>
        <w:rPr>
          <w:rFonts w:hint="cs"/>
          <w:sz w:val="24"/>
          <w:rtl/>
        </w:rPr>
      </w:pPr>
      <w:r>
        <w:rPr>
          <w:rFonts w:hint="cs"/>
          <w:sz w:val="24"/>
          <w:rtl/>
        </w:rPr>
        <w:tab/>
        <w:t>החזר הוצאות הדירקטוריון</w:t>
        <w:tab/>
        <w:tab/>
        <w:tab/>
        <w:tab/>
        <w:tab/>
        <w:tab/>
        <w:t>22</w:t>
      </w:r>
    </w:p>
    <w:p>
      <w:pPr>
        <w:pStyle w:val="Heading8"/>
        <w:spacing w:line="240" w:lineRule="auto"/>
        <w:ind w:left="0" w:right="0"/>
        <w:jc w:val="both"/>
        <w:rPr>
          <w:rFonts w:hint="cs"/>
          <w:sz w:val="24"/>
          <w:szCs w:val="24"/>
          <w:rtl/>
        </w:rPr>
      </w:pPr>
      <w:r>
        <w:rPr>
          <w:rFonts w:hint="cs"/>
          <w:sz w:val="24"/>
          <w:szCs w:val="24"/>
          <w:rtl/>
        </w:rPr>
        <w:tab/>
        <w:t>הוצאות החזקת משרד</w:t>
        <w:tab/>
        <w:tab/>
        <w:tab/>
        <w:tab/>
        <w:tab/>
        <w:tab/>
        <w:tab/>
        <w:t>24</w:t>
      </w:r>
    </w:p>
    <w:p>
      <w:pPr>
        <w:spacing w:line="240" w:lineRule="auto"/>
        <w:ind w:left="0" w:right="0"/>
        <w:jc w:val="both"/>
        <w:rPr>
          <w:sz w:val="24"/>
          <w:rtl/>
        </w:rPr>
      </w:pPr>
      <w:r>
        <w:rPr>
          <w:rFonts w:hint="cs"/>
          <w:sz w:val="24"/>
          <w:rtl/>
        </w:rPr>
        <w:tab/>
        <w:t>ניהול חשבונות</w:t>
        <w:tab/>
        <w:tab/>
        <w:tab/>
        <w:tab/>
        <w:tab/>
        <w:tab/>
        <w:tab/>
        <w:tab/>
        <w:t>24</w:t>
      </w:r>
    </w:p>
    <w:p>
      <w:pPr>
        <w:spacing w:line="240" w:lineRule="auto"/>
        <w:ind w:left="0" w:right="0"/>
        <w:jc w:val="both"/>
        <w:rPr>
          <w:rFonts w:hint="cs"/>
          <w:sz w:val="46"/>
          <w:szCs w:val="28"/>
          <w:rtl/>
        </w:rPr>
      </w:pPr>
      <w:r>
        <w:rPr>
          <w:sz w:val="46"/>
          <w:szCs w:val="28"/>
          <w:rtl/>
        </w:rPr>
        <w:br w:type="page"/>
      </w:r>
    </w:p>
    <w:p>
      <w:pPr>
        <w:pStyle w:val="2"/>
        <w:spacing w:line="240" w:lineRule="auto"/>
        <w:ind w:left="0" w:right="0"/>
        <w:jc w:val="center"/>
        <w:rPr>
          <w:rtl/>
        </w:rPr>
        <w:sectPr>
          <w:headerReference w:type="default" r:id="rId6"/>
          <w:footerReference w:type="default" r:id="rId7"/>
          <w:headerReference w:type="first" r:id="rId8"/>
          <w:footerReference w:type="first" r:id="rId9"/>
          <w:pgSz w:w="11906" w:h="16838" w:code="9"/>
          <w:pgMar w:top="1701" w:right="1985" w:bottom="1588" w:left="1701" w:header="709" w:footer="709" w:gutter="0"/>
          <w:cols w:space="720"/>
          <w:titlePg/>
          <w:bidi/>
          <w:rtlGutter/>
          <w:docGrid w:linePitch="196"/>
        </w:sectPr>
      </w:pPr>
    </w:p>
    <w:p>
      <w:pPr>
        <w:pStyle w:val="2"/>
        <w:spacing w:line="240" w:lineRule="auto"/>
        <w:ind w:left="0" w:right="0"/>
        <w:jc w:val="center"/>
        <w:rPr>
          <w:rFonts w:hint="cs"/>
          <w:rtl/>
        </w:rPr>
      </w:pPr>
      <w:r>
        <w:rPr>
          <w:rFonts w:hint="cs"/>
          <w:rtl/>
        </w:rPr>
        <w:t>הקרנות ומוסדותיהן</w:t>
      </w:r>
    </w:p>
    <w:p>
      <w:pPr>
        <w:pStyle w:val="4"/>
        <w:spacing w:line="240" w:lineRule="auto"/>
        <w:ind w:left="0" w:right="0"/>
        <w:jc w:val="left"/>
        <w:rPr>
          <w:rFonts w:hint="cs"/>
          <w:rtl/>
        </w:rPr>
      </w:pPr>
      <w:r>
        <w:rPr>
          <w:rFonts w:hint="cs"/>
          <w:rtl/>
        </w:rPr>
        <w:t>הקמת הקרנות</w:t>
      </w:r>
    </w:p>
    <w:p>
      <w:pPr>
        <w:spacing w:line="240" w:lineRule="auto"/>
        <w:ind w:left="0" w:right="0"/>
        <w:jc w:val="both"/>
        <w:rPr>
          <w:rFonts w:hint="cs"/>
          <w:sz w:val="46"/>
          <w:rtl/>
        </w:rPr>
      </w:pPr>
      <w:r>
        <w:rPr>
          <w:rFonts w:hint="cs"/>
          <w:sz w:val="46"/>
          <w:rtl/>
        </w:rPr>
        <w:t>בשנות השישים הקימה הממשלה, יחד עם ארגוני המורים, קרנות השתלמות, שמטרתן להעמיק את ידיעות המורים בתחומי ההוראה השונים ולהרחיב את השכלתם לשם שיפור רמת ההוראה. הקרנות מאפשרות לעובד ההוראה לצאת לשנת שבתון, שתנוצל להשתלמות.</w:t>
      </w:r>
    </w:p>
    <w:p>
      <w:pPr>
        <w:spacing w:line="240" w:lineRule="auto"/>
        <w:ind w:left="0" w:right="0"/>
        <w:jc w:val="both"/>
        <w:rPr>
          <w:rFonts w:hint="cs"/>
          <w:sz w:val="46"/>
          <w:rtl/>
        </w:rPr>
      </w:pPr>
    </w:p>
    <w:p>
      <w:pPr>
        <w:spacing w:line="240" w:lineRule="auto"/>
        <w:ind w:left="0" w:right="0"/>
        <w:jc w:val="both"/>
        <w:rPr>
          <w:rFonts w:hint="cs"/>
          <w:sz w:val="46"/>
          <w:rtl/>
        </w:rPr>
      </w:pPr>
      <w:r>
        <w:rPr>
          <w:rFonts w:hint="cs"/>
          <w:sz w:val="46"/>
          <w:rtl/>
        </w:rPr>
        <w:t xml:space="preserve">בפברואר 1963 הוקמה יחד עם ארגון המורים בבתי ספר על יסודיים קרן השתלמות למורים על יסודיים בע"מ (להלן </w:t>
      </w:r>
      <w:r>
        <w:rPr>
          <w:sz w:val="46"/>
          <w:rtl/>
        </w:rPr>
        <w:t>-</w:t>
      </w:r>
      <w:r>
        <w:rPr>
          <w:rFonts w:hint="cs"/>
          <w:sz w:val="46"/>
          <w:rtl/>
        </w:rPr>
        <w:t xml:space="preserve"> קרן על יסודיים); באפריל 1966 הוקמה יחד עם הסתדרות המורים קרן השתלמות למורים ולגננות בע"מ (להלן </w:t>
      </w:r>
      <w:r>
        <w:rPr>
          <w:sz w:val="46"/>
          <w:rtl/>
        </w:rPr>
        <w:t>-</w:t>
      </w:r>
      <w:r>
        <w:rPr>
          <w:rFonts w:hint="cs"/>
          <w:sz w:val="46"/>
          <w:rtl/>
        </w:rPr>
        <w:t xml:space="preserve"> קרן מו"ג); בדצמבר 1969 הוקמה יחד עם הסתדרות המורים קרן השתלמות למורים תיכוניים, מורי סמינרים ומפקחים בע"מ (להלן </w:t>
      </w:r>
      <w:r>
        <w:rPr>
          <w:sz w:val="46"/>
          <w:rtl/>
        </w:rPr>
        <w:t>-</w:t>
      </w:r>
      <w:r>
        <w:rPr>
          <w:rFonts w:hint="cs"/>
          <w:sz w:val="46"/>
          <w:rtl/>
        </w:rPr>
        <w:t xml:space="preserve"> קרן תיכוניים).</w:t>
      </w:r>
    </w:p>
    <w:p>
      <w:pPr>
        <w:spacing w:line="240" w:lineRule="auto"/>
        <w:ind w:left="0" w:right="0"/>
        <w:jc w:val="both"/>
        <w:rPr>
          <w:rFonts w:hint="cs"/>
          <w:sz w:val="46"/>
          <w:rtl/>
        </w:rPr>
      </w:pPr>
    </w:p>
    <w:p>
      <w:pPr>
        <w:spacing w:line="240" w:lineRule="auto"/>
        <w:ind w:left="0" w:right="0"/>
        <w:jc w:val="both"/>
        <w:rPr>
          <w:rFonts w:hint="cs"/>
          <w:sz w:val="46"/>
          <w:rtl/>
        </w:rPr>
      </w:pPr>
      <w:r>
        <w:rPr>
          <w:rFonts w:hint="cs"/>
          <w:sz w:val="46"/>
          <w:rtl/>
        </w:rPr>
        <w:t xml:space="preserve">הקרנות מאוגדות כחברות מוגבלות בערבות בלי הון מניות. בקרנות חברים ארגוני המורים שהשתתפו בייסוד הקרן והם מחזיקים במחצית מכלל זכויות ההצבעה; המעסיקים מחזיקים במחצית השנייה של זכויות ההצבעה: בקרן מו"ג </w:t>
      </w:r>
      <w:r>
        <w:rPr>
          <w:sz w:val="46"/>
          <w:rtl/>
        </w:rPr>
        <w:t>-</w:t>
      </w:r>
      <w:r>
        <w:rPr>
          <w:rFonts w:hint="cs"/>
          <w:sz w:val="46"/>
          <w:rtl/>
        </w:rPr>
        <w:t xml:space="preserve"> המדינה; בקרן תיכוניים </w:t>
      </w:r>
      <w:r>
        <w:rPr>
          <w:sz w:val="46"/>
          <w:rtl/>
        </w:rPr>
        <w:t>-</w:t>
      </w:r>
      <w:r>
        <w:rPr>
          <w:rFonts w:hint="cs"/>
          <w:sz w:val="46"/>
          <w:rtl/>
        </w:rPr>
        <w:t xml:space="preserve"> המדינה ומרכז השלטון המקומי; ובקרן על יסודיים </w:t>
      </w:r>
      <w:r>
        <w:rPr>
          <w:sz w:val="46"/>
          <w:rtl/>
        </w:rPr>
        <w:t>-</w:t>
      </w:r>
      <w:r>
        <w:rPr>
          <w:rFonts w:hint="cs"/>
          <w:sz w:val="46"/>
          <w:rtl/>
        </w:rPr>
        <w:t xml:space="preserve"> המדינה, מרכז השלטון המקומי ואיגוד בתי הספר התיכוניים.</w:t>
      </w:r>
    </w:p>
    <w:p>
      <w:pPr>
        <w:spacing w:line="240" w:lineRule="auto"/>
        <w:ind w:left="0" w:right="0"/>
        <w:jc w:val="both"/>
        <w:rPr>
          <w:rFonts w:hint="cs"/>
          <w:sz w:val="46"/>
          <w:rtl/>
        </w:rPr>
      </w:pPr>
    </w:p>
    <w:p>
      <w:pPr>
        <w:spacing w:line="240" w:lineRule="auto"/>
        <w:ind w:left="0" w:right="0"/>
        <w:jc w:val="both"/>
        <w:rPr>
          <w:rFonts w:hint="cs"/>
          <w:sz w:val="46"/>
          <w:rtl/>
        </w:rPr>
      </w:pPr>
      <w:r>
        <w:rPr>
          <w:rFonts w:hint="cs"/>
          <w:sz w:val="46"/>
          <w:rtl/>
        </w:rPr>
        <w:t>בתכנית של כל קרן</w:t>
      </w:r>
      <w:r>
        <w:rPr>
          <w:rStyle w:val="FootnoteReference"/>
          <w:sz w:val="46"/>
          <w:rtl/>
        </w:rPr>
        <w:footnoteReference w:id="2"/>
      </w:r>
      <w:r>
        <w:rPr>
          <w:rFonts w:hint="cs"/>
          <w:sz w:val="46"/>
          <w:rtl/>
        </w:rPr>
        <w:t xml:space="preserve">, שהיא תוספת לתקנות ההתאגדות שלה, נקבע, שלשם מימון הקרן ישלם עובד הוראה המצטרף אליה (להלן </w:t>
      </w:r>
      <w:r>
        <w:rPr>
          <w:sz w:val="46"/>
          <w:rtl/>
        </w:rPr>
        <w:t>-</w:t>
      </w:r>
      <w:r>
        <w:rPr>
          <w:rFonts w:hint="cs"/>
          <w:sz w:val="46"/>
          <w:rtl/>
        </w:rPr>
        <w:t xml:space="preserve"> עמית), מדי חודש בחודשו, סכומים ששיעורם בשנים האחרונות היה 4.2% מהמשכורת ברוטו והמעסיק ישלם פי שניים, כלומר 8.4%</w:t>
      </w:r>
      <w:r>
        <w:rPr>
          <w:rStyle w:val="FootnoteReference"/>
          <w:sz w:val="46"/>
          <w:rtl/>
        </w:rPr>
        <w:footnoteReference w:id="3"/>
      </w:r>
      <w:r>
        <w:rPr>
          <w:rFonts w:hint="cs"/>
          <w:sz w:val="46"/>
          <w:rtl/>
        </w:rPr>
        <w:t>; לאחר שש שנות חיסכון יוכל עמית בקרן לצאת לשנת השתלמות ולקבל מלגת השתלמות בשיעור 66.6% ממשכורתו וכן דמי השתלמות עד לשיעור של שכר הלימוד באוניברסיטה. הואיל ושנת ההשתלמות הוכרה כשנת ותק בהוראה ולצורך יציאה לפנסיה וחישובה, התחייבו קרנות ההשתלמות לשאת בהוצאות לרכישת זכויות הפנסיה בגין שנת ההשתלמות.</w:t>
      </w:r>
    </w:p>
    <w:p>
      <w:pPr>
        <w:spacing w:line="240" w:lineRule="auto"/>
        <w:ind w:left="0" w:right="0"/>
        <w:jc w:val="both"/>
        <w:rPr>
          <w:rFonts w:hint="cs"/>
          <w:sz w:val="46"/>
          <w:rtl/>
        </w:rPr>
      </w:pPr>
    </w:p>
    <w:p>
      <w:pPr>
        <w:spacing w:line="240" w:lineRule="auto"/>
        <w:ind w:left="0" w:right="0"/>
        <w:jc w:val="both"/>
        <w:rPr>
          <w:sz w:val="46"/>
          <w:rtl/>
        </w:rPr>
      </w:pPr>
      <w:r>
        <w:rPr>
          <w:rFonts w:hint="cs"/>
          <w:sz w:val="46"/>
          <w:rtl/>
        </w:rPr>
        <w:t>בתקנות ההתאגדות של הקרנות נקבע, שבנק ישמש מנהל העסקים שלהן ויעשה את כל העבודות המינהליות הכרוכות בהפעלתן, על ידי פקידיו</w:t>
      </w:r>
    </w:p>
    <w:p>
      <w:pPr>
        <w:spacing w:line="240" w:lineRule="auto"/>
        <w:ind w:left="0" w:right="0"/>
        <w:jc w:val="both"/>
        <w:rPr>
          <w:rFonts w:hint="cs"/>
          <w:sz w:val="46"/>
          <w:rtl/>
        </w:rPr>
      </w:pPr>
      <w:r>
        <w:rPr>
          <w:sz w:val="46"/>
          <w:rtl/>
        </w:rPr>
        <w:br w:type="page"/>
      </w:r>
      <w:r>
        <w:rPr>
          <w:rFonts w:hint="cs"/>
          <w:sz w:val="46"/>
          <w:rtl/>
        </w:rPr>
        <w:t xml:space="preserve">ובאמצעות משרדיו וציודו. מנהל העסקים יטפל גם בכל העניינים הנוגעים להשקעותיהן. תמורת שירותים אלה ישלמו הקרנות תשלום כפי שייקבע. קרן מו"ג וקרן תיכוניים מינו את בנק מסד בע"מ, מיסודה של הסתדרות המורים, למנהל עסקים; וקרן על יסודיים </w:t>
      </w:r>
      <w:r>
        <w:rPr>
          <w:sz w:val="46"/>
          <w:rtl/>
        </w:rPr>
        <w:t>-</w:t>
      </w:r>
      <w:r>
        <w:rPr>
          <w:rFonts w:hint="cs"/>
          <w:sz w:val="46"/>
          <w:rtl/>
        </w:rPr>
        <w:t xml:space="preserve"> את בנק לאומי לישראל בע"מ. כן נקבע בתקנות, שהקרנות לא יעסיקו עובדים, אולם מותר להן להתקשר עם יועץ משפטי, רואה חשבון, מבקר פנים ובעלי תפקידים חיוניים אחרים, ובלבד שלא ייווצרו בין הקרנות וממלאי תפקידים אלה יחסי עובד ומעביד. המשרד הרשום של כל קרן יהיה בין כותלי מנהל העסקים.</w:t>
      </w:r>
    </w:p>
    <w:p>
      <w:pPr>
        <w:spacing w:line="240" w:lineRule="auto"/>
        <w:ind w:left="0" w:right="0"/>
        <w:jc w:val="both"/>
        <w:rPr>
          <w:sz w:val="46"/>
          <w:rtl/>
        </w:rPr>
      </w:pPr>
    </w:p>
    <w:p>
      <w:pPr>
        <w:spacing w:line="240" w:lineRule="auto"/>
        <w:ind w:left="0" w:right="0"/>
        <w:jc w:val="both"/>
        <w:rPr>
          <w:rFonts w:hint="cs"/>
          <w:sz w:val="46"/>
          <w:rtl/>
        </w:rPr>
      </w:pPr>
      <w:r>
        <w:rPr>
          <w:rFonts w:hint="cs"/>
          <w:sz w:val="46"/>
          <w:rtl/>
        </w:rPr>
        <w:t>הקרנות אושרו כקופות גמל, על פי תקנות מס הכנסה (כללים לאישור ולניהול קופות גמל), התשכ"ד-1964, והשקעת הכספים המצטברים בהן כפופה להוראות שבתקנות אלה. על סמך האישור, ההכנסות של הקרן פטורות ממס (על פי סעיף 9(2) לפקודת מס הכנסה) ותשלומי המעסיקים לקרן מוכרים כהוצאה (על פי סעיף 17(5) לפקודה).</w:t>
      </w:r>
    </w:p>
    <w:p>
      <w:pPr>
        <w:spacing w:line="240" w:lineRule="auto"/>
        <w:ind w:left="0" w:right="0"/>
        <w:jc w:val="both"/>
        <w:rPr>
          <w:rFonts w:hint="cs"/>
          <w:sz w:val="46"/>
          <w:rtl/>
        </w:rPr>
      </w:pPr>
    </w:p>
    <w:p>
      <w:pPr>
        <w:pStyle w:val="4"/>
        <w:ind w:left="0" w:right="0"/>
        <w:jc w:val="left"/>
        <w:rPr>
          <w:rFonts w:hint="cs"/>
          <w:rtl/>
        </w:rPr>
      </w:pPr>
      <w:r>
        <w:rPr>
          <w:rFonts w:hint="cs"/>
          <w:rtl/>
        </w:rPr>
        <w:t>מוסדות מנהלים</w:t>
      </w:r>
    </w:p>
    <w:p>
      <w:pPr>
        <w:spacing w:line="240" w:lineRule="auto"/>
        <w:ind w:left="0" w:right="0"/>
        <w:jc w:val="both"/>
        <w:rPr>
          <w:rFonts w:hint="cs"/>
          <w:sz w:val="46"/>
          <w:rtl/>
        </w:rPr>
      </w:pPr>
      <w:r>
        <w:rPr>
          <w:rFonts w:hint="cs"/>
          <w:sz w:val="46"/>
          <w:rtl/>
        </w:rPr>
        <w:t>על פי תקנות ההתאגדות של קרן על יסודיים, יכהנו בדירקטוריון שלה לפחות 12 חברים, מחציתם ימונו בידי ארגון המורים העל יסודיים, שניים בידי מרכז השלטון המקומי, אחד (שיהיה יו"ר הדירקטוריון) בידי שר החינוך והתרבות, אחד בידי שר האוצר, אחד בידי שר הפנים ואחד בידי איגוד בתי הספר התיכוניים.</w:t>
      </w:r>
    </w:p>
    <w:p>
      <w:pPr>
        <w:spacing w:line="240" w:lineRule="auto"/>
        <w:ind w:left="0" w:right="0"/>
        <w:jc w:val="both"/>
        <w:rPr>
          <w:rFonts w:hint="cs"/>
          <w:sz w:val="46"/>
          <w:rtl/>
        </w:rPr>
      </w:pPr>
    </w:p>
    <w:p>
      <w:pPr>
        <w:spacing w:line="240" w:lineRule="auto"/>
        <w:ind w:left="0" w:right="0"/>
        <w:jc w:val="both"/>
        <w:rPr>
          <w:rFonts w:hint="cs"/>
          <w:sz w:val="46"/>
          <w:rtl/>
        </w:rPr>
      </w:pPr>
      <w:r>
        <w:rPr>
          <w:rFonts w:hint="cs"/>
          <w:sz w:val="46"/>
          <w:rtl/>
        </w:rPr>
        <w:t xml:space="preserve">בדירקטוריון קרן מו"ג יכהנו שישה חברים לפחות, מחציתם ימונו בידי הסתדרות המורים, אחד בידי שר האוצר ושניים בידי שר החינוך והתרבות </w:t>
      </w:r>
      <w:r>
        <w:rPr>
          <w:sz w:val="46"/>
          <w:rtl/>
        </w:rPr>
        <w:t>-</w:t>
      </w:r>
      <w:r>
        <w:rPr>
          <w:rFonts w:hint="cs"/>
          <w:sz w:val="46"/>
          <w:rtl/>
        </w:rPr>
        <w:t xml:space="preserve"> אחד מהם נציג ציבור והאחר, שאינו נציג ציבור, יכהן כיו"ר הדירקטוריון. בדירקטוריון של קרן תיכוניים יכהנו לא פחות משמונה חברים, מחציתם ימונו בידי הסתדרות המורים, אחד בידי שר האוצר, שניים בידי שר החינוך והתרבות </w:t>
      </w:r>
      <w:r>
        <w:rPr>
          <w:sz w:val="46"/>
          <w:rtl/>
        </w:rPr>
        <w:t>-</w:t>
      </w:r>
      <w:r>
        <w:rPr>
          <w:rFonts w:hint="cs"/>
          <w:sz w:val="46"/>
          <w:rtl/>
        </w:rPr>
        <w:t xml:space="preserve"> אחד מהם נציג ציבור והאחר, שאינו נציג ציבור, יכהן כיו"ר הדירקטוריון </w:t>
      </w:r>
      <w:r>
        <w:rPr>
          <w:sz w:val="46"/>
          <w:rtl/>
        </w:rPr>
        <w:t>-</w:t>
      </w:r>
      <w:r>
        <w:rPr>
          <w:rFonts w:hint="cs"/>
          <w:sz w:val="46"/>
          <w:rtl/>
        </w:rPr>
        <w:t xml:space="preserve"> ואחד ימונה בידי מרכז השלטון המקומי.</w:t>
      </w:r>
    </w:p>
    <w:p>
      <w:pPr>
        <w:spacing w:line="240" w:lineRule="auto"/>
        <w:ind w:left="0" w:right="0"/>
        <w:jc w:val="both"/>
        <w:rPr>
          <w:rFonts w:hint="cs"/>
          <w:sz w:val="46"/>
          <w:rtl/>
        </w:rPr>
      </w:pPr>
    </w:p>
    <w:p>
      <w:pPr>
        <w:spacing w:line="240" w:lineRule="auto"/>
        <w:ind w:left="0" w:right="0"/>
        <w:jc w:val="both"/>
        <w:rPr>
          <w:sz w:val="46"/>
          <w:rtl/>
        </w:rPr>
      </w:pPr>
      <w:r>
        <w:rPr>
          <w:rFonts w:hint="cs"/>
          <w:sz w:val="46"/>
          <w:rtl/>
        </w:rPr>
        <w:t>עוד בשנת 1979 מינה שר החינוך והתרבות אחד מהעובדים הבכירים של משרדו ליו"ר בדירקטוריונים של שלוש קרנות ההשתלמות, והוא ממשיך לכהן בתפקידים אלה במועד סיום הביקורת. כל אחד מארגוני המורים, השותפים בקרנות ממנה על פי התקנות את אחד מנציגיו בדירקטוריון לתפקיד של</w:t>
      </w:r>
    </w:p>
    <w:p>
      <w:pPr>
        <w:spacing w:line="240" w:lineRule="auto"/>
        <w:ind w:left="0" w:right="0"/>
        <w:jc w:val="both"/>
        <w:rPr>
          <w:rFonts w:hint="cs"/>
          <w:sz w:val="46"/>
          <w:rtl/>
        </w:rPr>
      </w:pPr>
      <w:r>
        <w:rPr>
          <w:sz w:val="46"/>
          <w:rtl/>
        </w:rPr>
        <w:br w:type="page"/>
      </w:r>
      <w:r>
        <w:rPr>
          <w:rFonts w:hint="cs"/>
          <w:sz w:val="46"/>
          <w:rtl/>
        </w:rPr>
        <w:t xml:space="preserve">מזכיר הקרן (להלן </w:t>
      </w:r>
      <w:r>
        <w:rPr>
          <w:sz w:val="46"/>
          <w:rtl/>
        </w:rPr>
        <w:t>-</w:t>
      </w:r>
      <w:r>
        <w:rPr>
          <w:rFonts w:hint="cs"/>
          <w:sz w:val="46"/>
          <w:rtl/>
        </w:rPr>
        <w:t xml:space="preserve"> המזכיר). המזכיר ויו"ר הדירקטוריון מהווים יחד את מזכירות הקרן, המטפלת בניהולה השוטף ובאישור תכניות ההשתלמות.</w:t>
      </w:r>
    </w:p>
    <w:p>
      <w:pPr>
        <w:pStyle w:val="4"/>
        <w:spacing w:line="240" w:lineRule="auto"/>
        <w:ind w:left="0" w:right="0"/>
        <w:jc w:val="left"/>
        <w:rPr>
          <w:rFonts w:hint="cs"/>
          <w:rtl/>
        </w:rPr>
      </w:pPr>
    </w:p>
    <w:p>
      <w:pPr>
        <w:pStyle w:val="4"/>
        <w:ind w:left="0" w:right="0"/>
        <w:jc w:val="left"/>
        <w:rPr>
          <w:rFonts w:hint="cs"/>
          <w:rtl/>
        </w:rPr>
      </w:pPr>
      <w:r>
        <w:rPr>
          <w:rFonts w:hint="cs"/>
          <w:rtl/>
        </w:rPr>
        <w:t>תכניות הקרנות (קווי פעולה)</w:t>
      </w:r>
    </w:p>
    <w:p>
      <w:pPr>
        <w:spacing w:line="240" w:lineRule="auto"/>
        <w:ind w:left="0" w:right="0"/>
        <w:jc w:val="both"/>
        <w:rPr>
          <w:rtl/>
        </w:rPr>
      </w:pPr>
      <w:r>
        <w:rPr>
          <w:rFonts w:hint="cs"/>
          <w:rtl/>
        </w:rPr>
        <w:t>התכניות אחידות בכל הקרנות; להלן עיקרי התכניות של הקרנות, שהן בלתי נפרד מתקנות ההתאגדות שלהן.</w:t>
      </w:r>
    </w:p>
    <w:p>
      <w:pPr>
        <w:spacing w:line="240" w:lineRule="auto"/>
        <w:ind w:left="0" w:right="0"/>
        <w:jc w:val="both"/>
        <w:rPr>
          <w:rFonts w:hint="cs"/>
          <w:rtl/>
        </w:rPr>
      </w:pPr>
      <w:r>
        <w:rPr>
          <w:rFonts w:hint="cs"/>
          <w:rtl/>
        </w:rPr>
        <w:t>א.</w:t>
        <w:tab/>
        <w:t xml:space="preserve">עובדי הוראה במוסד חינוכי שבפיקוח משרד החינוך והתרבות (להלן </w:t>
      </w:r>
      <w:r>
        <w:rPr>
          <w:rtl/>
        </w:rPr>
        <w:t>-</w:t>
      </w:r>
      <w:r>
        <w:rPr>
          <w:rFonts w:hint="cs"/>
          <w:rtl/>
        </w:rPr>
        <w:t xml:space="preserve"> המשרד) או בפיקוח ממשלתי אחר, המועסקים בחצי משרה לפחות, או בשליש משרה אם זו עבודתם היחידה, יוכלו להצטרף לקרן, בתנאי שעם תום חופשת ההשתלמות שלהם יישארו לפחות עוד שלוש שנות עבודה עד הגיעם לגיל שבו יוכלו לפרוש לגמלאות מרצונם;</w:t>
      </w:r>
    </w:p>
    <w:p>
      <w:pPr>
        <w:spacing w:line="240" w:lineRule="auto"/>
        <w:ind w:left="0" w:right="0"/>
        <w:jc w:val="both"/>
        <w:rPr>
          <w:rFonts w:hint="cs"/>
          <w:rtl/>
        </w:rPr>
      </w:pPr>
    </w:p>
    <w:p>
      <w:pPr>
        <w:spacing w:line="240" w:lineRule="auto"/>
        <w:ind w:left="0" w:right="0"/>
        <w:jc w:val="both"/>
        <w:rPr>
          <w:rFonts w:hint="cs"/>
          <w:rtl/>
        </w:rPr>
      </w:pPr>
      <w:r>
        <w:rPr>
          <w:rFonts w:hint="cs"/>
          <w:rtl/>
        </w:rPr>
        <w:t>ב.</w:t>
        <w:tab/>
        <w:t xml:space="preserve">כבסיס לחיסכון בקרן ולתשלום מענק השתלמות, מוכרת המשכורת </w:t>
      </w:r>
      <w:r>
        <w:rPr>
          <w:rtl/>
        </w:rPr>
        <w:t>-</w:t>
      </w:r>
      <w:r>
        <w:rPr>
          <w:rFonts w:hint="cs"/>
          <w:rtl/>
        </w:rPr>
        <w:t xml:space="preserve"> לרבות כל התוספות הקבועות לצורך גמלאות </w:t>
      </w:r>
      <w:r>
        <w:rPr>
          <w:rtl/>
        </w:rPr>
        <w:t>-</w:t>
      </w:r>
      <w:r>
        <w:rPr>
          <w:rFonts w:hint="cs"/>
          <w:rtl/>
        </w:rPr>
        <w:t xml:space="preserve"> בעבור משרה אחת בלבד. השיעורים של תשלומי העמיתים והמעסיקים וארגוני המורים, השתנו פעמים מספר, ומאז שנת 1972 הם, כאמור, בשיעור של 4.2% מהמשכורת ברוטו מצד העמית ו-8.4% מצד המעסיק; בעבור עמיתים המועסקים באזורי פיתוח משלם המעסיק גם את חלקו של העמית.</w:t>
      </w:r>
    </w:p>
    <w:p>
      <w:pPr>
        <w:spacing w:line="240" w:lineRule="auto"/>
        <w:ind w:left="0" w:right="0"/>
        <w:jc w:val="both"/>
        <w:rPr>
          <w:rFonts w:hint="cs"/>
          <w:rtl/>
        </w:rPr>
      </w:pPr>
    </w:p>
    <w:p>
      <w:pPr>
        <w:spacing w:line="240" w:lineRule="auto"/>
        <w:ind w:left="0" w:right="0"/>
        <w:jc w:val="both"/>
        <w:rPr>
          <w:rFonts w:hint="cs"/>
          <w:rtl/>
        </w:rPr>
      </w:pPr>
      <w:r>
        <w:rPr>
          <w:rFonts w:hint="cs"/>
          <w:rtl/>
        </w:rPr>
        <w:t>ג.</w:t>
        <w:tab/>
        <w:t>עמית, ששילם את תשלומיו כסדרם ומילא אחר התנאים המזכים אותו בחופשת השתלמות, רשאי לצאת לחופשה של שנת לימודים בגין כל תקופת חיסכון (שש שנים, בדרך כלל), בתנאי שתכנית ההשתלמות אושרה בידי הקרן. תקופת ההשתלמות נחשבת כחופשה ללא תשלום, אולם נכללת במניין שנות הוותק, הן לצורך תשלום תוספת הוותק והן לצורך הפנסיה וזכויות אחרות בעת פרישה. לשם כך תרכוש הקרן את זכויות הפנסיה בגין שנת ההשתלמות בשביל העמית. העמית רשאי לעבוד בתקופת ההשתלמות עד כדי שליש משרה.</w:t>
      </w:r>
    </w:p>
    <w:p>
      <w:pPr>
        <w:spacing w:line="240" w:lineRule="auto"/>
        <w:ind w:left="0" w:right="0"/>
        <w:jc w:val="both"/>
        <w:rPr>
          <w:rFonts w:hint="cs"/>
          <w:rtl/>
        </w:rPr>
      </w:pPr>
    </w:p>
    <w:p>
      <w:pPr>
        <w:spacing w:line="240" w:lineRule="auto"/>
        <w:ind w:left="0" w:right="0"/>
        <w:jc w:val="both"/>
        <w:rPr>
          <w:rtl/>
        </w:rPr>
      </w:pPr>
      <w:r>
        <w:rPr>
          <w:rFonts w:hint="cs"/>
          <w:rtl/>
        </w:rPr>
        <w:t>ד.</w:t>
        <w:tab/>
        <w:t>בתקופת ההשתלמות מקבל העמית מענק השתלמות חודשי, פטור ממס, בשיעור של 66.6% מהמשכורת ברוטו האחרונה שלו, לפי שיעור ממוצע של המשרה שלו במשך שש שנות החיסכון. ניתן להאריך את תקופת החיסכון לשבע או לשמונה שנים ואז מגיע מענק ההשתלמות ל-77.7% או ל-88.8%, בהתאמה. נוסף על כך מכסה הקרן את שכר הלימוד של העמית עד לשיעור שכר הלימוד באוניברסיטה, מחזירה לו את התשלומים ששילם לביטוח לאומי לפי "תעריף סטודנט", ונושאת בתשלום של תגמול מילואים או דמי לידה, אם</w:t>
      </w:r>
    </w:p>
    <w:p>
      <w:pPr>
        <w:spacing w:line="240" w:lineRule="auto"/>
        <w:ind w:left="0" w:right="0"/>
        <w:jc w:val="both"/>
        <w:rPr>
          <w:rFonts w:hint="cs"/>
          <w:rtl/>
        </w:rPr>
      </w:pPr>
      <w:r>
        <w:rPr>
          <w:rtl/>
        </w:rPr>
        <w:br w:type="page"/>
      </w:r>
      <w:r>
        <w:rPr>
          <w:rFonts w:hint="cs"/>
          <w:rtl/>
        </w:rPr>
        <w:t>המשתלם אינו זכאי לקבלם במלואם מהמוסד לביטוח לאומי.</w:t>
      </w:r>
    </w:p>
    <w:p>
      <w:pPr>
        <w:spacing w:line="240" w:lineRule="auto"/>
        <w:ind w:left="0" w:right="0"/>
        <w:jc w:val="both"/>
        <w:rPr>
          <w:rFonts w:hint="cs"/>
          <w:rtl/>
        </w:rPr>
      </w:pPr>
    </w:p>
    <w:p>
      <w:pPr>
        <w:spacing w:line="240" w:lineRule="auto"/>
        <w:ind w:left="0" w:right="0"/>
        <w:jc w:val="both"/>
        <w:rPr>
          <w:rFonts w:hint="cs"/>
          <w:rtl/>
        </w:rPr>
      </w:pPr>
      <w:r>
        <w:rPr>
          <w:rFonts w:hint="cs"/>
          <w:rtl/>
        </w:rPr>
        <w:t>יציאת עמית לשנת שבתון מותנית ביכולת מערכת החינוך לשחררו למשך אותה שנה. אין העמית חייב לממש את זכותו לצאת לשנת שבתון מיד עם תום תכנית החיסכון, וזכותו נשמרת עד שיבקש זאת. עובד הוראה רשאי, בתום תקופת חיסכון (של שש, שבע או שמונה שנים), להתחיל בתכנית חיסכון נוספת, בין שיצא להשתלמות בין שלא יצא.</w:t>
      </w:r>
    </w:p>
    <w:p>
      <w:pPr>
        <w:spacing w:line="240" w:lineRule="auto"/>
        <w:ind w:left="0" w:right="0"/>
        <w:jc w:val="both"/>
        <w:rPr>
          <w:rFonts w:hint="cs"/>
          <w:rtl/>
        </w:rPr>
      </w:pPr>
    </w:p>
    <w:p>
      <w:pPr>
        <w:spacing w:line="240" w:lineRule="auto"/>
        <w:ind w:left="0" w:right="0"/>
        <w:jc w:val="both"/>
        <w:rPr>
          <w:rFonts w:hint="cs"/>
          <w:rtl/>
        </w:rPr>
      </w:pPr>
      <w:r>
        <w:rPr>
          <w:rFonts w:hint="cs"/>
          <w:rtl/>
        </w:rPr>
        <w:t>שנת הכספים של הקרנות מקבילה לשנת הלימודים של מוסדות החינוך ומתחילה ב-1 בספטמבר. להלן טבלה המראה את מספר העמיתים בקרנות ההשתלמות של עובדי הוראה בסוף שנות הכספים 1982/83-1989/90:</w:t>
      </w:r>
      <w:r>
        <w:rPr>
          <w:rStyle w:val="FootnoteReference"/>
          <w:rtl/>
        </w:rPr>
        <w:footnoteReference w:id="4"/>
      </w:r>
    </w:p>
    <w:p>
      <w:pPr>
        <w:spacing w:line="240" w:lineRule="auto"/>
        <w:ind w:left="0" w:right="0"/>
        <w:jc w:val="both"/>
        <w:rPr>
          <w:rFonts w:hint="cs"/>
          <w:rtl/>
        </w:rPr>
      </w:pPr>
    </w:p>
    <w:tbl>
      <w:tblPr>
        <w:tblW w:w="0" w:type="auto"/>
        <w:jc w:val="right"/>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008"/>
        <w:gridCol w:w="1050"/>
        <w:gridCol w:w="894"/>
        <w:gridCol w:w="1152"/>
        <w:gridCol w:w="1080"/>
      </w:tblGrid>
      <w:tr>
        <w:tblPrEx>
          <w:tblW w:w="0" w:type="auto"/>
          <w:jc w:val="right"/>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right"/>
        </w:trPr>
        <w:tc>
          <w:tcPr>
            <w:tcW w:w="1008" w:type="dxa"/>
          </w:tcPr>
          <w:p>
            <w:pPr>
              <w:spacing w:line="240" w:lineRule="auto"/>
              <w:ind w:left="0" w:right="0"/>
              <w:jc w:val="both"/>
              <w:rPr>
                <w:rFonts w:hint="cs"/>
                <w:szCs w:val="20"/>
                <w:rtl/>
              </w:rPr>
            </w:pPr>
          </w:p>
          <w:p>
            <w:pPr>
              <w:spacing w:line="240" w:lineRule="auto"/>
              <w:ind w:left="0" w:right="0"/>
              <w:jc w:val="both"/>
              <w:rPr>
                <w:rFonts w:hint="cs"/>
                <w:szCs w:val="20"/>
              </w:rPr>
            </w:pPr>
            <w:r>
              <w:rPr>
                <w:rFonts w:hint="cs"/>
                <w:szCs w:val="20"/>
                <w:rtl/>
              </w:rPr>
              <w:t>סה"כ</w:t>
            </w:r>
          </w:p>
        </w:tc>
        <w:tc>
          <w:tcPr>
            <w:tcW w:w="1050" w:type="dxa"/>
          </w:tcPr>
          <w:p>
            <w:pPr>
              <w:spacing w:line="240" w:lineRule="auto"/>
              <w:ind w:left="0" w:right="0"/>
              <w:jc w:val="both"/>
              <w:rPr>
                <w:rFonts w:hint="cs"/>
                <w:szCs w:val="20"/>
                <w:rtl/>
              </w:rPr>
            </w:pPr>
            <w:r>
              <w:rPr>
                <w:rFonts w:hint="cs"/>
                <w:szCs w:val="20"/>
                <w:rtl/>
              </w:rPr>
              <w:t>קרן</w:t>
            </w:r>
          </w:p>
          <w:p>
            <w:pPr>
              <w:spacing w:line="240" w:lineRule="auto"/>
              <w:ind w:left="0" w:right="0"/>
              <w:jc w:val="both"/>
              <w:rPr>
                <w:rFonts w:hint="cs"/>
                <w:szCs w:val="20"/>
              </w:rPr>
            </w:pPr>
            <w:r>
              <w:rPr>
                <w:rFonts w:hint="cs"/>
                <w:szCs w:val="20"/>
                <w:rtl/>
              </w:rPr>
              <w:t>תיכוניים</w:t>
            </w:r>
          </w:p>
        </w:tc>
        <w:tc>
          <w:tcPr>
            <w:tcW w:w="894" w:type="dxa"/>
          </w:tcPr>
          <w:p>
            <w:pPr>
              <w:spacing w:line="240" w:lineRule="auto"/>
              <w:ind w:left="0" w:right="0"/>
              <w:jc w:val="both"/>
              <w:rPr>
                <w:rFonts w:hint="cs"/>
                <w:szCs w:val="20"/>
                <w:rtl/>
              </w:rPr>
            </w:pPr>
            <w:r>
              <w:rPr>
                <w:rFonts w:hint="cs"/>
                <w:szCs w:val="20"/>
                <w:rtl/>
              </w:rPr>
              <w:t>קרן</w:t>
            </w:r>
          </w:p>
          <w:p>
            <w:pPr>
              <w:spacing w:line="240" w:lineRule="auto"/>
              <w:ind w:left="0" w:right="0"/>
              <w:jc w:val="both"/>
              <w:rPr>
                <w:rFonts w:hint="cs"/>
                <w:szCs w:val="20"/>
              </w:rPr>
            </w:pPr>
            <w:r>
              <w:rPr>
                <w:rFonts w:hint="cs"/>
                <w:szCs w:val="20"/>
                <w:rtl/>
              </w:rPr>
              <w:t>מו"ג</w:t>
            </w:r>
          </w:p>
        </w:tc>
        <w:tc>
          <w:tcPr>
            <w:tcW w:w="1152" w:type="dxa"/>
          </w:tcPr>
          <w:p>
            <w:pPr>
              <w:spacing w:line="240" w:lineRule="auto"/>
              <w:ind w:left="0" w:right="0"/>
              <w:jc w:val="both"/>
              <w:rPr>
                <w:rFonts w:hint="cs"/>
                <w:szCs w:val="20"/>
                <w:rtl/>
              </w:rPr>
            </w:pPr>
            <w:r>
              <w:rPr>
                <w:rFonts w:hint="cs"/>
                <w:szCs w:val="20"/>
                <w:rtl/>
              </w:rPr>
              <w:t xml:space="preserve">קרן </w:t>
            </w:r>
          </w:p>
          <w:p>
            <w:pPr>
              <w:spacing w:line="240" w:lineRule="auto"/>
              <w:ind w:left="0" w:right="0"/>
              <w:jc w:val="both"/>
              <w:rPr>
                <w:rFonts w:hint="cs"/>
                <w:szCs w:val="20"/>
              </w:rPr>
            </w:pPr>
            <w:r>
              <w:rPr>
                <w:rFonts w:hint="cs"/>
                <w:szCs w:val="20"/>
                <w:rtl/>
              </w:rPr>
              <w:t>על יסודיים</w:t>
            </w:r>
          </w:p>
        </w:tc>
        <w:tc>
          <w:tcPr>
            <w:tcW w:w="1080" w:type="dxa"/>
          </w:tcPr>
          <w:p>
            <w:pPr>
              <w:spacing w:line="240" w:lineRule="auto"/>
              <w:ind w:left="0" w:right="0"/>
              <w:jc w:val="both"/>
              <w:rPr>
                <w:rFonts w:hint="cs"/>
                <w:szCs w:val="20"/>
              </w:rPr>
            </w:pPr>
          </w:p>
        </w:tc>
      </w:tr>
      <w:tr>
        <w:tblPrEx>
          <w:tblW w:w="0" w:type="auto"/>
          <w:jc w:val="right"/>
          <w:tblInd w:w="1056" w:type="dxa"/>
          <w:tblCellMar>
            <w:left w:w="108" w:type="dxa"/>
            <w:right w:w="108" w:type="dxa"/>
          </w:tblCellMar>
          <w:tblLook w:val="0000"/>
        </w:tblPrEx>
        <w:trPr>
          <w:jc w:val="right"/>
        </w:trPr>
        <w:tc>
          <w:tcPr>
            <w:tcW w:w="1008" w:type="dxa"/>
          </w:tcPr>
          <w:p>
            <w:pPr>
              <w:spacing w:line="240" w:lineRule="auto"/>
              <w:ind w:left="0" w:right="0"/>
              <w:jc w:val="both"/>
              <w:rPr>
                <w:rFonts w:hint="cs"/>
                <w:szCs w:val="20"/>
              </w:rPr>
            </w:pPr>
            <w:r>
              <w:rPr>
                <w:rFonts w:hint="cs"/>
                <w:szCs w:val="20"/>
                <w:rtl/>
              </w:rPr>
              <w:t>56,400</w:t>
            </w:r>
          </w:p>
        </w:tc>
        <w:tc>
          <w:tcPr>
            <w:tcW w:w="1050" w:type="dxa"/>
          </w:tcPr>
          <w:p>
            <w:pPr>
              <w:spacing w:line="240" w:lineRule="auto"/>
              <w:ind w:left="0" w:right="0"/>
              <w:jc w:val="both"/>
              <w:rPr>
                <w:rFonts w:hint="cs"/>
                <w:szCs w:val="20"/>
              </w:rPr>
            </w:pPr>
            <w:r>
              <w:rPr>
                <w:rFonts w:hint="cs"/>
                <w:szCs w:val="20"/>
                <w:rtl/>
              </w:rPr>
              <w:t>11,592</w:t>
            </w:r>
          </w:p>
        </w:tc>
        <w:tc>
          <w:tcPr>
            <w:tcW w:w="894" w:type="dxa"/>
          </w:tcPr>
          <w:p>
            <w:pPr>
              <w:spacing w:line="240" w:lineRule="auto"/>
              <w:ind w:left="0" w:right="0"/>
              <w:jc w:val="both"/>
              <w:rPr>
                <w:rFonts w:hint="cs"/>
                <w:szCs w:val="20"/>
              </w:rPr>
            </w:pPr>
            <w:r>
              <w:rPr>
                <w:rFonts w:hint="cs"/>
                <w:szCs w:val="20"/>
                <w:rtl/>
              </w:rPr>
              <w:t>35,933</w:t>
            </w:r>
          </w:p>
        </w:tc>
        <w:tc>
          <w:tcPr>
            <w:tcW w:w="1152" w:type="dxa"/>
          </w:tcPr>
          <w:p>
            <w:pPr>
              <w:spacing w:line="240" w:lineRule="auto"/>
              <w:ind w:left="0" w:right="0"/>
              <w:jc w:val="both"/>
              <w:rPr>
                <w:rFonts w:hint="cs"/>
                <w:szCs w:val="20"/>
              </w:rPr>
            </w:pPr>
            <w:r>
              <w:rPr>
                <w:rFonts w:hint="cs"/>
                <w:szCs w:val="20"/>
                <w:rtl/>
              </w:rPr>
              <w:t>8,875</w:t>
            </w:r>
          </w:p>
        </w:tc>
        <w:tc>
          <w:tcPr>
            <w:tcW w:w="1080" w:type="dxa"/>
          </w:tcPr>
          <w:p>
            <w:pPr>
              <w:pStyle w:val="EndnoteText"/>
              <w:spacing w:line="240" w:lineRule="auto"/>
              <w:ind w:left="0" w:right="0"/>
              <w:jc w:val="both"/>
              <w:rPr>
                <w:rFonts w:hint="cs"/>
              </w:rPr>
            </w:pPr>
            <w:r>
              <w:rPr>
                <w:rFonts w:hint="cs"/>
                <w:rtl/>
              </w:rPr>
              <w:t>31.8.83</w:t>
            </w:r>
          </w:p>
        </w:tc>
      </w:tr>
      <w:tr>
        <w:tblPrEx>
          <w:tblW w:w="0" w:type="auto"/>
          <w:jc w:val="right"/>
          <w:tblInd w:w="1056" w:type="dxa"/>
          <w:tblCellMar>
            <w:left w:w="108" w:type="dxa"/>
            <w:right w:w="108" w:type="dxa"/>
          </w:tblCellMar>
          <w:tblLook w:val="0000"/>
        </w:tblPrEx>
        <w:trPr>
          <w:jc w:val="right"/>
        </w:trPr>
        <w:tc>
          <w:tcPr>
            <w:tcW w:w="1008" w:type="dxa"/>
          </w:tcPr>
          <w:p>
            <w:pPr>
              <w:spacing w:line="240" w:lineRule="auto"/>
              <w:ind w:left="0" w:right="0"/>
              <w:jc w:val="both"/>
              <w:rPr>
                <w:rFonts w:hint="cs"/>
                <w:szCs w:val="20"/>
              </w:rPr>
            </w:pPr>
            <w:r>
              <w:rPr>
                <w:rFonts w:hint="cs"/>
                <w:szCs w:val="20"/>
                <w:rtl/>
              </w:rPr>
              <w:t>64,622</w:t>
            </w:r>
          </w:p>
        </w:tc>
        <w:tc>
          <w:tcPr>
            <w:tcW w:w="1050" w:type="dxa"/>
          </w:tcPr>
          <w:p>
            <w:pPr>
              <w:spacing w:line="240" w:lineRule="auto"/>
              <w:ind w:left="0" w:right="0"/>
              <w:jc w:val="both"/>
              <w:rPr>
                <w:rFonts w:hint="cs"/>
                <w:szCs w:val="20"/>
              </w:rPr>
            </w:pPr>
            <w:r>
              <w:rPr>
                <w:rFonts w:hint="cs"/>
                <w:szCs w:val="20"/>
                <w:rtl/>
              </w:rPr>
              <w:t>14,585</w:t>
            </w:r>
          </w:p>
        </w:tc>
        <w:tc>
          <w:tcPr>
            <w:tcW w:w="894" w:type="dxa"/>
          </w:tcPr>
          <w:p>
            <w:pPr>
              <w:spacing w:line="240" w:lineRule="auto"/>
              <w:ind w:left="0" w:right="0"/>
              <w:jc w:val="both"/>
              <w:rPr>
                <w:rFonts w:hint="cs"/>
                <w:szCs w:val="20"/>
              </w:rPr>
            </w:pPr>
            <w:r>
              <w:rPr>
                <w:rFonts w:hint="cs"/>
                <w:szCs w:val="20"/>
                <w:rtl/>
              </w:rPr>
              <w:t>40,595</w:t>
            </w:r>
          </w:p>
        </w:tc>
        <w:tc>
          <w:tcPr>
            <w:tcW w:w="1152" w:type="dxa"/>
          </w:tcPr>
          <w:p>
            <w:pPr>
              <w:spacing w:line="240" w:lineRule="auto"/>
              <w:ind w:left="0" w:right="0"/>
              <w:jc w:val="both"/>
              <w:rPr>
                <w:rFonts w:hint="cs"/>
                <w:szCs w:val="20"/>
              </w:rPr>
            </w:pPr>
            <w:r>
              <w:rPr>
                <w:rFonts w:hint="cs"/>
                <w:szCs w:val="20"/>
                <w:rtl/>
              </w:rPr>
              <w:t>9,442</w:t>
            </w:r>
          </w:p>
        </w:tc>
        <w:tc>
          <w:tcPr>
            <w:tcW w:w="1080" w:type="dxa"/>
          </w:tcPr>
          <w:p>
            <w:pPr>
              <w:spacing w:line="240" w:lineRule="auto"/>
              <w:ind w:left="0" w:right="0"/>
              <w:jc w:val="both"/>
              <w:rPr>
                <w:rFonts w:hint="cs"/>
                <w:szCs w:val="20"/>
              </w:rPr>
            </w:pPr>
            <w:r>
              <w:rPr>
                <w:rFonts w:hint="cs"/>
                <w:szCs w:val="20"/>
                <w:rtl/>
              </w:rPr>
              <w:t>31.8.84</w:t>
            </w:r>
          </w:p>
        </w:tc>
      </w:tr>
      <w:tr>
        <w:tblPrEx>
          <w:tblW w:w="0" w:type="auto"/>
          <w:jc w:val="right"/>
          <w:tblInd w:w="1056" w:type="dxa"/>
          <w:tblCellMar>
            <w:left w:w="108" w:type="dxa"/>
            <w:right w:w="108" w:type="dxa"/>
          </w:tblCellMar>
          <w:tblLook w:val="0000"/>
        </w:tblPrEx>
        <w:trPr>
          <w:jc w:val="right"/>
        </w:trPr>
        <w:tc>
          <w:tcPr>
            <w:tcW w:w="1008" w:type="dxa"/>
          </w:tcPr>
          <w:p>
            <w:pPr>
              <w:spacing w:line="240" w:lineRule="auto"/>
              <w:ind w:left="0" w:right="0"/>
              <w:jc w:val="both"/>
              <w:rPr>
                <w:rFonts w:hint="cs"/>
                <w:szCs w:val="20"/>
              </w:rPr>
            </w:pPr>
            <w:r>
              <w:rPr>
                <w:rFonts w:hint="cs"/>
                <w:szCs w:val="20"/>
                <w:rtl/>
              </w:rPr>
              <w:t>67,860</w:t>
            </w:r>
          </w:p>
        </w:tc>
        <w:tc>
          <w:tcPr>
            <w:tcW w:w="1050" w:type="dxa"/>
          </w:tcPr>
          <w:p>
            <w:pPr>
              <w:spacing w:line="240" w:lineRule="auto"/>
              <w:ind w:left="0" w:right="0"/>
              <w:jc w:val="both"/>
              <w:rPr>
                <w:rFonts w:hint="cs"/>
                <w:szCs w:val="20"/>
              </w:rPr>
            </w:pPr>
            <w:r>
              <w:rPr>
                <w:rFonts w:hint="cs"/>
                <w:szCs w:val="20"/>
                <w:rtl/>
              </w:rPr>
              <w:t>15,798</w:t>
            </w:r>
          </w:p>
        </w:tc>
        <w:tc>
          <w:tcPr>
            <w:tcW w:w="894" w:type="dxa"/>
          </w:tcPr>
          <w:p>
            <w:pPr>
              <w:spacing w:line="240" w:lineRule="auto"/>
              <w:ind w:left="0" w:right="0"/>
              <w:jc w:val="both"/>
              <w:rPr>
                <w:rFonts w:hint="cs"/>
                <w:szCs w:val="20"/>
              </w:rPr>
            </w:pPr>
            <w:r>
              <w:rPr>
                <w:rFonts w:hint="cs"/>
                <w:szCs w:val="20"/>
                <w:rtl/>
              </w:rPr>
              <w:t>42,071</w:t>
            </w:r>
          </w:p>
        </w:tc>
        <w:tc>
          <w:tcPr>
            <w:tcW w:w="1152" w:type="dxa"/>
          </w:tcPr>
          <w:p>
            <w:pPr>
              <w:spacing w:line="240" w:lineRule="auto"/>
              <w:ind w:left="0" w:right="0"/>
              <w:jc w:val="both"/>
              <w:rPr>
                <w:rFonts w:hint="cs"/>
                <w:szCs w:val="20"/>
              </w:rPr>
            </w:pPr>
            <w:r>
              <w:rPr>
                <w:rFonts w:hint="cs"/>
                <w:szCs w:val="20"/>
                <w:rtl/>
              </w:rPr>
              <w:t>9,991</w:t>
            </w:r>
          </w:p>
        </w:tc>
        <w:tc>
          <w:tcPr>
            <w:tcW w:w="1080" w:type="dxa"/>
          </w:tcPr>
          <w:p>
            <w:pPr>
              <w:spacing w:line="240" w:lineRule="auto"/>
              <w:ind w:left="0" w:right="0"/>
              <w:jc w:val="both"/>
              <w:rPr>
                <w:rFonts w:hint="cs"/>
                <w:szCs w:val="20"/>
              </w:rPr>
            </w:pPr>
            <w:r>
              <w:rPr>
                <w:rFonts w:hint="cs"/>
                <w:szCs w:val="20"/>
                <w:rtl/>
              </w:rPr>
              <w:t>31.8.85</w:t>
            </w:r>
          </w:p>
        </w:tc>
      </w:tr>
      <w:tr>
        <w:tblPrEx>
          <w:tblW w:w="0" w:type="auto"/>
          <w:jc w:val="right"/>
          <w:tblInd w:w="1056" w:type="dxa"/>
          <w:tblCellMar>
            <w:left w:w="108" w:type="dxa"/>
            <w:right w:w="108" w:type="dxa"/>
          </w:tblCellMar>
          <w:tblLook w:val="0000"/>
        </w:tblPrEx>
        <w:trPr>
          <w:jc w:val="right"/>
        </w:trPr>
        <w:tc>
          <w:tcPr>
            <w:tcW w:w="1008" w:type="dxa"/>
          </w:tcPr>
          <w:p>
            <w:pPr>
              <w:spacing w:line="240" w:lineRule="auto"/>
              <w:ind w:left="0" w:right="0"/>
              <w:jc w:val="both"/>
              <w:rPr>
                <w:rFonts w:hint="cs"/>
                <w:szCs w:val="20"/>
              </w:rPr>
            </w:pPr>
            <w:r>
              <w:rPr>
                <w:rFonts w:hint="cs"/>
                <w:szCs w:val="20"/>
                <w:rtl/>
              </w:rPr>
              <w:t>72,176</w:t>
            </w:r>
          </w:p>
        </w:tc>
        <w:tc>
          <w:tcPr>
            <w:tcW w:w="1050" w:type="dxa"/>
          </w:tcPr>
          <w:p>
            <w:pPr>
              <w:spacing w:line="240" w:lineRule="auto"/>
              <w:ind w:left="0" w:right="0"/>
              <w:jc w:val="both"/>
              <w:rPr>
                <w:rFonts w:hint="cs"/>
                <w:szCs w:val="20"/>
              </w:rPr>
            </w:pPr>
            <w:r>
              <w:rPr>
                <w:rFonts w:hint="cs"/>
                <w:szCs w:val="20"/>
                <w:rtl/>
              </w:rPr>
              <w:t>17,290</w:t>
            </w:r>
          </w:p>
        </w:tc>
        <w:tc>
          <w:tcPr>
            <w:tcW w:w="894" w:type="dxa"/>
          </w:tcPr>
          <w:p>
            <w:pPr>
              <w:spacing w:line="240" w:lineRule="auto"/>
              <w:ind w:left="0" w:right="0"/>
              <w:jc w:val="both"/>
              <w:rPr>
                <w:rFonts w:hint="cs"/>
                <w:szCs w:val="20"/>
              </w:rPr>
            </w:pPr>
            <w:r>
              <w:rPr>
                <w:rFonts w:hint="cs"/>
                <w:szCs w:val="20"/>
                <w:rtl/>
              </w:rPr>
              <w:t>44,209</w:t>
            </w:r>
          </w:p>
        </w:tc>
        <w:tc>
          <w:tcPr>
            <w:tcW w:w="1152" w:type="dxa"/>
          </w:tcPr>
          <w:p>
            <w:pPr>
              <w:spacing w:line="240" w:lineRule="auto"/>
              <w:ind w:left="0" w:right="0"/>
              <w:jc w:val="both"/>
              <w:rPr>
                <w:rFonts w:hint="cs"/>
                <w:szCs w:val="20"/>
              </w:rPr>
            </w:pPr>
            <w:r>
              <w:rPr>
                <w:rFonts w:hint="cs"/>
                <w:szCs w:val="20"/>
                <w:rtl/>
              </w:rPr>
              <w:t>10,677</w:t>
            </w:r>
          </w:p>
        </w:tc>
        <w:tc>
          <w:tcPr>
            <w:tcW w:w="1080" w:type="dxa"/>
          </w:tcPr>
          <w:p>
            <w:pPr>
              <w:spacing w:line="240" w:lineRule="auto"/>
              <w:ind w:left="0" w:right="0"/>
              <w:jc w:val="both"/>
              <w:rPr>
                <w:rFonts w:hint="cs"/>
                <w:szCs w:val="20"/>
              </w:rPr>
            </w:pPr>
            <w:r>
              <w:rPr>
                <w:rFonts w:hint="cs"/>
                <w:szCs w:val="20"/>
                <w:rtl/>
              </w:rPr>
              <w:t>31.8.86</w:t>
            </w:r>
          </w:p>
        </w:tc>
      </w:tr>
      <w:tr>
        <w:tblPrEx>
          <w:tblW w:w="0" w:type="auto"/>
          <w:jc w:val="right"/>
          <w:tblInd w:w="1056" w:type="dxa"/>
          <w:tblCellMar>
            <w:left w:w="108" w:type="dxa"/>
            <w:right w:w="108" w:type="dxa"/>
          </w:tblCellMar>
          <w:tblLook w:val="0000"/>
        </w:tblPrEx>
        <w:trPr>
          <w:jc w:val="right"/>
        </w:trPr>
        <w:tc>
          <w:tcPr>
            <w:tcW w:w="1008" w:type="dxa"/>
          </w:tcPr>
          <w:p>
            <w:pPr>
              <w:spacing w:line="240" w:lineRule="auto"/>
              <w:ind w:left="0" w:right="0"/>
              <w:jc w:val="both"/>
              <w:rPr>
                <w:rFonts w:hint="cs"/>
                <w:szCs w:val="20"/>
              </w:rPr>
            </w:pPr>
            <w:r>
              <w:rPr>
                <w:rFonts w:hint="cs"/>
                <w:szCs w:val="20"/>
                <w:rtl/>
              </w:rPr>
              <w:t>76,532</w:t>
            </w:r>
          </w:p>
        </w:tc>
        <w:tc>
          <w:tcPr>
            <w:tcW w:w="1050" w:type="dxa"/>
          </w:tcPr>
          <w:p>
            <w:pPr>
              <w:spacing w:line="240" w:lineRule="auto"/>
              <w:ind w:left="0" w:right="0"/>
              <w:jc w:val="both"/>
              <w:rPr>
                <w:rFonts w:hint="cs"/>
                <w:szCs w:val="20"/>
              </w:rPr>
            </w:pPr>
            <w:r>
              <w:rPr>
                <w:rFonts w:hint="cs"/>
                <w:szCs w:val="20"/>
                <w:rtl/>
              </w:rPr>
              <w:t>19,152</w:t>
            </w:r>
          </w:p>
        </w:tc>
        <w:tc>
          <w:tcPr>
            <w:tcW w:w="894" w:type="dxa"/>
          </w:tcPr>
          <w:p>
            <w:pPr>
              <w:spacing w:line="240" w:lineRule="auto"/>
              <w:ind w:left="0" w:right="0"/>
              <w:jc w:val="both"/>
              <w:rPr>
                <w:rFonts w:hint="cs"/>
                <w:szCs w:val="20"/>
              </w:rPr>
            </w:pPr>
            <w:r>
              <w:rPr>
                <w:rFonts w:hint="cs"/>
                <w:szCs w:val="20"/>
                <w:rtl/>
              </w:rPr>
              <w:t>45,921</w:t>
            </w:r>
          </w:p>
        </w:tc>
        <w:tc>
          <w:tcPr>
            <w:tcW w:w="1152" w:type="dxa"/>
          </w:tcPr>
          <w:p>
            <w:pPr>
              <w:spacing w:line="240" w:lineRule="auto"/>
              <w:ind w:left="0" w:right="0"/>
              <w:jc w:val="both"/>
              <w:rPr>
                <w:rFonts w:hint="cs"/>
                <w:szCs w:val="20"/>
              </w:rPr>
            </w:pPr>
            <w:r>
              <w:rPr>
                <w:rFonts w:hint="cs"/>
                <w:szCs w:val="20"/>
                <w:rtl/>
              </w:rPr>
              <w:t>11,459</w:t>
            </w:r>
          </w:p>
        </w:tc>
        <w:tc>
          <w:tcPr>
            <w:tcW w:w="1080" w:type="dxa"/>
          </w:tcPr>
          <w:p>
            <w:pPr>
              <w:spacing w:line="240" w:lineRule="auto"/>
              <w:ind w:left="0" w:right="0"/>
              <w:jc w:val="both"/>
              <w:rPr>
                <w:rFonts w:hint="cs"/>
                <w:szCs w:val="20"/>
              </w:rPr>
            </w:pPr>
            <w:r>
              <w:rPr>
                <w:rFonts w:hint="cs"/>
                <w:szCs w:val="20"/>
                <w:rtl/>
              </w:rPr>
              <w:t>31.8.87</w:t>
            </w:r>
          </w:p>
        </w:tc>
      </w:tr>
      <w:tr>
        <w:tblPrEx>
          <w:tblW w:w="0" w:type="auto"/>
          <w:jc w:val="right"/>
          <w:tblInd w:w="1056" w:type="dxa"/>
          <w:tblCellMar>
            <w:left w:w="108" w:type="dxa"/>
            <w:right w:w="108" w:type="dxa"/>
          </w:tblCellMar>
          <w:tblLook w:val="0000"/>
        </w:tblPrEx>
        <w:trPr>
          <w:jc w:val="right"/>
        </w:trPr>
        <w:tc>
          <w:tcPr>
            <w:tcW w:w="1008" w:type="dxa"/>
          </w:tcPr>
          <w:p>
            <w:pPr>
              <w:spacing w:line="240" w:lineRule="auto"/>
              <w:ind w:left="0" w:right="0"/>
              <w:jc w:val="both"/>
              <w:rPr>
                <w:rFonts w:hint="cs"/>
                <w:szCs w:val="20"/>
              </w:rPr>
            </w:pPr>
            <w:r>
              <w:rPr>
                <w:rFonts w:hint="cs"/>
                <w:szCs w:val="20"/>
                <w:rtl/>
              </w:rPr>
              <w:t>78,769</w:t>
            </w:r>
          </w:p>
        </w:tc>
        <w:tc>
          <w:tcPr>
            <w:tcW w:w="1050" w:type="dxa"/>
          </w:tcPr>
          <w:p>
            <w:pPr>
              <w:spacing w:line="240" w:lineRule="auto"/>
              <w:ind w:left="0" w:right="0"/>
              <w:jc w:val="both"/>
              <w:rPr>
                <w:rFonts w:hint="cs"/>
                <w:szCs w:val="20"/>
              </w:rPr>
            </w:pPr>
            <w:r>
              <w:rPr>
                <w:rFonts w:hint="cs"/>
                <w:szCs w:val="20"/>
                <w:rtl/>
              </w:rPr>
              <w:t>20,694</w:t>
            </w:r>
          </w:p>
        </w:tc>
        <w:tc>
          <w:tcPr>
            <w:tcW w:w="894" w:type="dxa"/>
          </w:tcPr>
          <w:p>
            <w:pPr>
              <w:spacing w:line="240" w:lineRule="auto"/>
              <w:ind w:left="0" w:right="0"/>
              <w:jc w:val="both"/>
              <w:rPr>
                <w:rFonts w:hint="cs"/>
                <w:szCs w:val="20"/>
              </w:rPr>
            </w:pPr>
            <w:r>
              <w:rPr>
                <w:rFonts w:hint="cs"/>
                <w:szCs w:val="20"/>
                <w:rtl/>
              </w:rPr>
              <w:t>46,535</w:t>
            </w:r>
          </w:p>
        </w:tc>
        <w:tc>
          <w:tcPr>
            <w:tcW w:w="1152" w:type="dxa"/>
          </w:tcPr>
          <w:p>
            <w:pPr>
              <w:spacing w:line="240" w:lineRule="auto"/>
              <w:ind w:left="0" w:right="0"/>
              <w:jc w:val="both"/>
              <w:rPr>
                <w:rFonts w:hint="cs"/>
                <w:szCs w:val="20"/>
              </w:rPr>
            </w:pPr>
            <w:r>
              <w:rPr>
                <w:rFonts w:hint="cs"/>
                <w:szCs w:val="20"/>
                <w:rtl/>
              </w:rPr>
              <w:t>11,540</w:t>
            </w:r>
          </w:p>
        </w:tc>
        <w:tc>
          <w:tcPr>
            <w:tcW w:w="1080" w:type="dxa"/>
          </w:tcPr>
          <w:p>
            <w:pPr>
              <w:spacing w:line="240" w:lineRule="auto"/>
              <w:ind w:left="0" w:right="0"/>
              <w:jc w:val="both"/>
              <w:rPr>
                <w:rFonts w:hint="cs"/>
                <w:szCs w:val="20"/>
              </w:rPr>
            </w:pPr>
            <w:r>
              <w:rPr>
                <w:rFonts w:hint="cs"/>
                <w:szCs w:val="20"/>
                <w:rtl/>
              </w:rPr>
              <w:t>31.8.88</w:t>
            </w:r>
          </w:p>
        </w:tc>
      </w:tr>
      <w:tr>
        <w:tblPrEx>
          <w:tblW w:w="0" w:type="auto"/>
          <w:jc w:val="right"/>
          <w:tblInd w:w="1056" w:type="dxa"/>
          <w:tblCellMar>
            <w:left w:w="108" w:type="dxa"/>
            <w:right w:w="108" w:type="dxa"/>
          </w:tblCellMar>
          <w:tblLook w:val="0000"/>
        </w:tblPrEx>
        <w:trPr>
          <w:jc w:val="right"/>
        </w:trPr>
        <w:tc>
          <w:tcPr>
            <w:tcW w:w="1008" w:type="dxa"/>
          </w:tcPr>
          <w:p>
            <w:pPr>
              <w:spacing w:line="240" w:lineRule="auto"/>
              <w:ind w:left="0" w:right="0"/>
              <w:jc w:val="both"/>
              <w:rPr>
                <w:rFonts w:hint="cs"/>
                <w:szCs w:val="20"/>
              </w:rPr>
            </w:pPr>
            <w:r>
              <w:rPr>
                <w:rFonts w:hint="cs"/>
                <w:szCs w:val="20"/>
                <w:rtl/>
              </w:rPr>
              <w:t>77,812</w:t>
            </w:r>
          </w:p>
        </w:tc>
        <w:tc>
          <w:tcPr>
            <w:tcW w:w="1050" w:type="dxa"/>
          </w:tcPr>
          <w:p>
            <w:pPr>
              <w:spacing w:line="240" w:lineRule="auto"/>
              <w:ind w:left="0" w:right="0"/>
              <w:jc w:val="both"/>
              <w:rPr>
                <w:rFonts w:hint="cs"/>
                <w:szCs w:val="20"/>
              </w:rPr>
            </w:pPr>
            <w:r>
              <w:rPr>
                <w:rFonts w:hint="cs"/>
                <w:szCs w:val="20"/>
                <w:rtl/>
              </w:rPr>
              <w:t>20,615</w:t>
            </w:r>
          </w:p>
        </w:tc>
        <w:tc>
          <w:tcPr>
            <w:tcW w:w="894" w:type="dxa"/>
          </w:tcPr>
          <w:p>
            <w:pPr>
              <w:spacing w:line="240" w:lineRule="auto"/>
              <w:ind w:left="0" w:right="0"/>
              <w:jc w:val="both"/>
              <w:rPr>
                <w:rFonts w:hint="cs"/>
                <w:szCs w:val="20"/>
              </w:rPr>
            </w:pPr>
            <w:r>
              <w:rPr>
                <w:rFonts w:hint="cs"/>
                <w:szCs w:val="20"/>
                <w:rtl/>
              </w:rPr>
              <w:t>43,803</w:t>
            </w:r>
          </w:p>
        </w:tc>
        <w:tc>
          <w:tcPr>
            <w:tcW w:w="1152" w:type="dxa"/>
          </w:tcPr>
          <w:p>
            <w:pPr>
              <w:spacing w:line="240" w:lineRule="auto"/>
              <w:ind w:left="0" w:right="0"/>
              <w:jc w:val="both"/>
              <w:rPr>
                <w:rFonts w:hint="cs"/>
                <w:szCs w:val="20"/>
              </w:rPr>
            </w:pPr>
            <w:r>
              <w:rPr>
                <w:rFonts w:hint="cs"/>
                <w:szCs w:val="20"/>
                <w:rtl/>
              </w:rPr>
              <w:t>13,394</w:t>
            </w:r>
          </w:p>
        </w:tc>
        <w:tc>
          <w:tcPr>
            <w:tcW w:w="1080" w:type="dxa"/>
          </w:tcPr>
          <w:p>
            <w:pPr>
              <w:spacing w:line="240" w:lineRule="auto"/>
              <w:ind w:left="0" w:right="0"/>
              <w:jc w:val="both"/>
              <w:rPr>
                <w:rFonts w:hint="cs"/>
                <w:szCs w:val="20"/>
              </w:rPr>
            </w:pPr>
            <w:r>
              <w:rPr>
                <w:rFonts w:hint="cs"/>
                <w:szCs w:val="20"/>
                <w:rtl/>
              </w:rPr>
              <w:t>31.8.89</w:t>
            </w:r>
          </w:p>
        </w:tc>
      </w:tr>
      <w:tr>
        <w:tblPrEx>
          <w:tblW w:w="0" w:type="auto"/>
          <w:jc w:val="right"/>
          <w:tblInd w:w="1056" w:type="dxa"/>
          <w:tblCellMar>
            <w:left w:w="108" w:type="dxa"/>
            <w:right w:w="108" w:type="dxa"/>
          </w:tblCellMar>
          <w:tblLook w:val="0000"/>
        </w:tblPrEx>
        <w:trPr>
          <w:jc w:val="right"/>
        </w:trPr>
        <w:tc>
          <w:tcPr>
            <w:tcW w:w="1008" w:type="dxa"/>
          </w:tcPr>
          <w:p>
            <w:pPr>
              <w:spacing w:line="240" w:lineRule="auto"/>
              <w:ind w:left="0" w:right="0"/>
              <w:jc w:val="both"/>
              <w:rPr>
                <w:rFonts w:hint="cs"/>
                <w:szCs w:val="20"/>
              </w:rPr>
            </w:pPr>
            <w:r>
              <w:rPr>
                <w:rFonts w:hint="cs"/>
                <w:szCs w:val="20"/>
                <w:rtl/>
              </w:rPr>
              <w:t>82,739</w:t>
            </w:r>
          </w:p>
        </w:tc>
        <w:tc>
          <w:tcPr>
            <w:tcW w:w="1050" w:type="dxa"/>
          </w:tcPr>
          <w:p>
            <w:pPr>
              <w:spacing w:line="240" w:lineRule="auto"/>
              <w:ind w:left="0" w:right="0"/>
              <w:jc w:val="both"/>
              <w:rPr>
                <w:rFonts w:hint="cs"/>
                <w:szCs w:val="20"/>
              </w:rPr>
            </w:pPr>
            <w:r>
              <w:rPr>
                <w:rFonts w:hint="cs"/>
                <w:szCs w:val="20"/>
                <w:rtl/>
              </w:rPr>
              <w:t>21,866</w:t>
            </w:r>
          </w:p>
        </w:tc>
        <w:tc>
          <w:tcPr>
            <w:tcW w:w="894" w:type="dxa"/>
          </w:tcPr>
          <w:p>
            <w:pPr>
              <w:spacing w:line="240" w:lineRule="auto"/>
              <w:ind w:left="0" w:right="0"/>
              <w:jc w:val="both"/>
              <w:rPr>
                <w:rFonts w:hint="cs"/>
                <w:szCs w:val="20"/>
              </w:rPr>
            </w:pPr>
            <w:r>
              <w:rPr>
                <w:rFonts w:hint="cs"/>
                <w:szCs w:val="20"/>
                <w:rtl/>
              </w:rPr>
              <w:t>45,550</w:t>
            </w:r>
          </w:p>
        </w:tc>
        <w:tc>
          <w:tcPr>
            <w:tcW w:w="1152" w:type="dxa"/>
          </w:tcPr>
          <w:p>
            <w:pPr>
              <w:spacing w:line="240" w:lineRule="auto"/>
              <w:ind w:left="0" w:right="0"/>
              <w:jc w:val="both"/>
              <w:rPr>
                <w:rFonts w:hint="cs"/>
                <w:szCs w:val="20"/>
              </w:rPr>
            </w:pPr>
            <w:r>
              <w:rPr>
                <w:rFonts w:hint="cs"/>
                <w:szCs w:val="20"/>
                <w:rtl/>
              </w:rPr>
              <w:t>15,323</w:t>
            </w:r>
          </w:p>
        </w:tc>
        <w:tc>
          <w:tcPr>
            <w:tcW w:w="1080" w:type="dxa"/>
          </w:tcPr>
          <w:p>
            <w:pPr>
              <w:spacing w:line="240" w:lineRule="auto"/>
              <w:ind w:left="0" w:right="0"/>
              <w:jc w:val="both"/>
              <w:rPr>
                <w:rFonts w:hint="cs"/>
                <w:szCs w:val="20"/>
              </w:rPr>
            </w:pPr>
            <w:r>
              <w:rPr>
                <w:rFonts w:hint="cs"/>
                <w:szCs w:val="20"/>
                <w:rtl/>
              </w:rPr>
              <w:t>31.8.90</w:t>
            </w:r>
          </w:p>
        </w:tc>
      </w:tr>
    </w:tbl>
    <w:p>
      <w:pPr>
        <w:spacing w:line="240" w:lineRule="auto"/>
        <w:ind w:left="0" w:right="0"/>
        <w:jc w:val="both"/>
        <w:rPr>
          <w:rtl/>
        </w:rPr>
      </w:pPr>
    </w:p>
    <w:p>
      <w:pPr>
        <w:pStyle w:val="2"/>
        <w:ind w:left="0" w:right="0"/>
        <w:jc w:val="center"/>
        <w:rPr>
          <w:rFonts w:hint="cs"/>
          <w:rtl/>
        </w:rPr>
      </w:pPr>
      <w:r>
        <w:rPr>
          <w:rtl/>
        </w:rPr>
        <w:br w:type="page"/>
      </w:r>
      <w:r>
        <w:rPr>
          <w:rFonts w:hint="cs"/>
          <w:rtl/>
        </w:rPr>
        <w:t>יציאה להשתלמות</w:t>
      </w:r>
    </w:p>
    <w:p>
      <w:pPr>
        <w:spacing w:line="240" w:lineRule="auto"/>
        <w:ind w:left="0" w:right="0"/>
        <w:jc w:val="both"/>
        <w:rPr>
          <w:rFonts w:hint="cs"/>
          <w:rtl/>
        </w:rPr>
      </w:pPr>
      <w:r>
        <w:rPr>
          <w:rFonts w:hint="cs"/>
          <w:rtl/>
        </w:rPr>
        <w:t>בתכנית של הקרנות נקבע, כי עובד הוראה יהיה רשאי לצאת לחופשת השתלמות על חשבון הקרן ובלבד שהחופשה ותכנית ההשתלמות אושרו במוסדות של הקרן, על יסוד תכנית לימודים מפורטת שעל העמית להגיש למזכירות הקרן.</w:t>
      </w:r>
    </w:p>
    <w:p>
      <w:pPr>
        <w:spacing w:line="240" w:lineRule="auto"/>
        <w:ind w:left="0" w:right="0"/>
        <w:jc w:val="both"/>
        <w:rPr>
          <w:rFonts w:hint="cs"/>
          <w:rtl/>
        </w:rPr>
      </w:pPr>
    </w:p>
    <w:p>
      <w:pPr>
        <w:spacing w:line="240" w:lineRule="auto"/>
        <w:ind w:left="0" w:right="0"/>
        <w:jc w:val="both"/>
        <w:rPr>
          <w:rFonts w:hint="cs"/>
          <w:rtl/>
        </w:rPr>
      </w:pPr>
      <w:r>
        <w:rPr>
          <w:rFonts w:hint="cs"/>
          <w:rtl/>
        </w:rPr>
        <w:t>השתלמות מלאה היא 16 שעות שבועיות, מהן 12 שעות שבועיות לימודי חובה ו-4 שעות לימודי השלמה. בשעות החובה ייכללו, בין היתר, לימודים בתחום הוראת המקצועות העיוניים הנלמדים בבתי הספר ולימודי הסמכה לחסרי רשיון קבע להוראה. בלימודי ההשלמה ייכללו לימודים ופעילויות במקצועות שאינם בתחום ההתמחות המקצועית של העמית.</w:t>
      </w:r>
    </w:p>
    <w:p>
      <w:pPr>
        <w:spacing w:line="240" w:lineRule="auto"/>
        <w:ind w:left="0" w:right="0"/>
        <w:jc w:val="both"/>
        <w:rPr>
          <w:rFonts w:hint="cs"/>
          <w:rtl/>
        </w:rPr>
      </w:pPr>
    </w:p>
    <w:p>
      <w:pPr>
        <w:spacing w:line="240" w:lineRule="auto"/>
        <w:ind w:left="0" w:right="0"/>
        <w:jc w:val="both"/>
        <w:rPr>
          <w:rFonts w:hint="cs"/>
          <w:rtl/>
        </w:rPr>
      </w:pPr>
      <w:r>
        <w:rPr>
          <w:rFonts w:hint="cs"/>
          <w:rtl/>
        </w:rPr>
        <w:t>א.</w:t>
        <w:tab/>
        <w:t>בתחילת ההשתלמות, על העמית להמציא לקרן אישור הרשמה להשתלמות, ובו פירוט הקורסים שאליהם נרשם; מסמך זה משמש לצורך השוואה לתכנית שאושרה.</w:t>
      </w:r>
    </w:p>
    <w:p>
      <w:pPr>
        <w:spacing w:line="240" w:lineRule="auto"/>
        <w:ind w:left="0" w:right="0"/>
        <w:jc w:val="both"/>
        <w:rPr>
          <w:rFonts w:hint="cs"/>
          <w:rtl/>
        </w:rPr>
      </w:pPr>
    </w:p>
    <w:p>
      <w:pPr>
        <w:spacing w:line="240" w:lineRule="auto"/>
        <w:ind w:left="567" w:right="0" w:hanging="567"/>
        <w:jc w:val="both"/>
        <w:rPr>
          <w:rFonts w:hint="cs"/>
          <w:rtl/>
        </w:rPr>
      </w:pPr>
      <w:r>
        <w:rPr>
          <w:rFonts w:hint="cs"/>
          <w:rtl/>
        </w:rPr>
        <w:tab/>
        <w:t>קרן מו"ג וקרן תיכוניים דורשות להמציא להן את אישור ההרשמה ופירוט הקורסים עד חודש פברואר שבאמצע שנת ההשתלמות; עד לאותו חודש מקבל העמית את מענקי ההשתלמות החודשיים, גם בלי להמציא את האישור. לעמית שלא המציא את האישור עד למועד האמור מפסיקות הקרנות את תשלום המענק. הביקורת העלתה, שהמעקב של מנהל העסקים של שתי קרנות אלה אחר המצאת האישורים החל רק משנת הלימודים התשמ"ו.</w:t>
      </w:r>
    </w:p>
    <w:p>
      <w:pPr>
        <w:spacing w:line="240" w:lineRule="auto"/>
        <w:ind w:left="567" w:right="0" w:hanging="567"/>
        <w:jc w:val="both"/>
        <w:rPr>
          <w:rFonts w:hint="cs"/>
          <w:rtl/>
        </w:rPr>
      </w:pPr>
    </w:p>
    <w:p>
      <w:pPr>
        <w:spacing w:line="240" w:lineRule="auto"/>
        <w:ind w:left="567" w:right="0" w:hanging="567"/>
        <w:jc w:val="both"/>
        <w:rPr>
          <w:rFonts w:hint="cs"/>
          <w:rtl/>
        </w:rPr>
      </w:pPr>
      <w:r>
        <w:rPr>
          <w:rFonts w:hint="cs"/>
          <w:rtl/>
        </w:rPr>
        <w:tab/>
        <w:t>קרן על יסודיים הסתפקה בקבלת הצהרה מאת המשתלם, כי רשם לפניו, שעליו להמציא אישור על ההרשמה ללימודים על פי התכנית שהגיש ושאושרה בידי הקרן. הביקורת העלתה, שהקרן לא הפסיקה את תשלום מענק ההשתלמות, גם אם האישורים לא הוגשו לה.</w:t>
      </w:r>
    </w:p>
    <w:p>
      <w:pPr>
        <w:spacing w:line="240" w:lineRule="auto"/>
        <w:ind w:left="567" w:right="0" w:hanging="567"/>
        <w:jc w:val="both"/>
        <w:rPr>
          <w:rFonts w:hint="cs"/>
          <w:rtl/>
        </w:rPr>
      </w:pPr>
    </w:p>
    <w:p>
      <w:pPr>
        <w:spacing w:line="240" w:lineRule="auto"/>
        <w:ind w:left="0" w:right="0"/>
        <w:jc w:val="both"/>
        <w:rPr>
          <w:rFonts w:hint="cs"/>
          <w:rtl/>
        </w:rPr>
      </w:pPr>
      <w:r>
        <w:rPr>
          <w:rFonts w:hint="cs"/>
          <w:rtl/>
        </w:rPr>
        <w:t>ב.</w:t>
        <w:tab/>
        <w:t>כדי שהמעסיק יוכל להוסיף למניין שנות הוותק של עובד ההוראה את שנת ההשתלמות, לצורך תשלום תוספת ותק ולצורך חישוב הפנסיה ויתר הזכויות בעת היציאה לגמלאות, על הקרנות לאשר למעסיק שהעמית השתלם על פי התכנית שאושרה. לשם כך נדרש העמית להמציא לקרן אישור מהמוסדות שבהם השתלם.</w:t>
      </w:r>
    </w:p>
    <w:p>
      <w:pPr>
        <w:ind w:left="0" w:right="0"/>
        <w:jc w:val="both"/>
        <w:rPr>
          <w:rFonts w:hint="cs"/>
          <w:rtl/>
        </w:rPr>
      </w:pPr>
      <w:r>
        <w:rPr>
          <w:rtl/>
        </w:rPr>
        <w:br w:type="page"/>
      </w:r>
    </w:p>
    <w:p>
      <w:pPr>
        <w:spacing w:line="240" w:lineRule="auto"/>
        <w:ind w:left="84" w:right="0"/>
        <w:jc w:val="both"/>
        <w:rPr>
          <w:rFonts w:hint="cs"/>
          <w:rtl/>
        </w:rPr>
      </w:pPr>
      <w:r>
        <w:rPr>
          <w:rFonts w:hint="cs"/>
          <w:rtl/>
        </w:rPr>
        <w:t>קרן על יסודיים הסתפקה בהצהרה מאת העמית, שרשם לפניו, כי בתום שנת ההשתלמות עליו להמציא אישור על עמידה בתכנית ההשתלמות. הביקורת העלתה, שהקרן לא הקפידה שהמשתלמים אכן ימציאו הוכחה להשתלמותם ולא עיכבה בשום מקרה את מתן האישור למעסיק.</w:t>
      </w:r>
    </w:p>
    <w:p>
      <w:pPr>
        <w:pStyle w:val="2"/>
        <w:ind w:left="0" w:right="0"/>
        <w:jc w:val="center"/>
        <w:rPr>
          <w:rFonts w:hint="cs"/>
          <w:rtl/>
        </w:rPr>
      </w:pPr>
      <w:r>
        <w:rPr>
          <w:rtl/>
        </w:rPr>
        <w:br w:type="page"/>
      </w:r>
      <w:r>
        <w:rPr>
          <w:rFonts w:hint="cs"/>
          <w:rtl/>
        </w:rPr>
        <w:t>איזון אקטורי</w:t>
      </w:r>
    </w:p>
    <w:p>
      <w:pPr>
        <w:spacing w:line="240" w:lineRule="auto"/>
        <w:ind w:left="0" w:right="0"/>
        <w:jc w:val="both"/>
        <w:rPr>
          <w:rFonts w:hint="cs"/>
          <w:rtl/>
        </w:rPr>
      </w:pPr>
      <w:r>
        <w:rPr>
          <w:rFonts w:hint="cs"/>
          <w:rtl/>
        </w:rPr>
        <w:t>1.</w:t>
        <w:tab/>
        <w:t xml:space="preserve">להלן נתונים </w:t>
      </w:r>
      <w:r>
        <w:rPr>
          <w:rtl/>
        </w:rPr>
        <w:t>-</w:t>
      </w:r>
      <w:r>
        <w:rPr>
          <w:rFonts w:hint="cs"/>
          <w:rtl/>
        </w:rPr>
        <w:t xml:space="preserve"> שנתקבלו מקרנות ההשתלמות </w:t>
      </w:r>
      <w:r>
        <w:rPr>
          <w:rtl/>
        </w:rPr>
        <w:t>-</w:t>
      </w:r>
      <w:r>
        <w:rPr>
          <w:rFonts w:hint="cs"/>
          <w:rtl/>
        </w:rPr>
        <w:t xml:space="preserve"> בדבר המספר המצטבר של הזכאים לצאת לשנת שבתון</w:t>
      </w:r>
      <w:r>
        <w:rPr>
          <w:rStyle w:val="FootnoteReference"/>
          <w:rtl/>
        </w:rPr>
        <w:footnoteReference w:id="5"/>
      </w:r>
      <w:r>
        <w:rPr>
          <w:rFonts w:hint="cs"/>
          <w:rtl/>
        </w:rPr>
        <w:t xml:space="preserve"> בשנות הלימודים התשמ"ד-התשנ"א, בהשוואה למספר העמיתים שיצאו בפועל לשנת שבתון באותן שנים:</w:t>
      </w:r>
    </w:p>
    <w:p>
      <w:pPr>
        <w:spacing w:line="240" w:lineRule="auto"/>
        <w:ind w:left="0" w:right="0"/>
        <w:jc w:val="both"/>
        <w:rPr>
          <w:rFonts w:hint="cs"/>
          <w:rtl/>
        </w:rPr>
      </w:pPr>
    </w:p>
    <w:p>
      <w:pPr>
        <w:spacing w:line="240" w:lineRule="auto"/>
        <w:ind w:left="0" w:right="0"/>
        <w:jc w:val="both"/>
        <w:rPr>
          <w:rFonts w:hint="cs"/>
          <w:rtl/>
        </w:rPr>
      </w:pPr>
    </w:p>
    <w:tbl>
      <w:tblPr>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929"/>
        <w:gridCol w:w="932"/>
        <w:gridCol w:w="930"/>
        <w:gridCol w:w="980"/>
        <w:gridCol w:w="929"/>
        <w:gridCol w:w="931"/>
        <w:gridCol w:w="929"/>
        <w:gridCol w:w="936"/>
        <w:gridCol w:w="940"/>
      </w:tblGrid>
      <w:tr>
        <w:tblPrEx>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jc w:val="right"/>
        </w:trPr>
        <w:tc>
          <w:tcPr>
            <w:tcW w:w="1861" w:type="dxa"/>
            <w:gridSpan w:val="2"/>
          </w:tcPr>
          <w:p>
            <w:pPr>
              <w:spacing w:line="240" w:lineRule="auto"/>
              <w:ind w:left="0" w:right="0"/>
              <w:jc w:val="center"/>
              <w:rPr>
                <w:szCs w:val="20"/>
              </w:rPr>
            </w:pPr>
            <w:r>
              <w:rPr>
                <w:rFonts w:hint="cs"/>
                <w:szCs w:val="20"/>
                <w:rtl/>
              </w:rPr>
              <w:t>סה"כ</w:t>
            </w:r>
          </w:p>
        </w:tc>
        <w:tc>
          <w:tcPr>
            <w:tcW w:w="1910" w:type="dxa"/>
            <w:gridSpan w:val="2"/>
          </w:tcPr>
          <w:p>
            <w:pPr>
              <w:spacing w:line="240" w:lineRule="auto"/>
              <w:ind w:left="0" w:right="0"/>
              <w:jc w:val="center"/>
              <w:rPr>
                <w:szCs w:val="20"/>
              </w:rPr>
            </w:pPr>
            <w:r>
              <w:rPr>
                <w:rFonts w:hint="cs"/>
                <w:szCs w:val="20"/>
                <w:rtl/>
              </w:rPr>
              <w:t>קרן תיכוניים</w:t>
            </w:r>
          </w:p>
        </w:tc>
        <w:tc>
          <w:tcPr>
            <w:tcW w:w="1860" w:type="dxa"/>
            <w:gridSpan w:val="2"/>
          </w:tcPr>
          <w:p>
            <w:pPr>
              <w:spacing w:line="240" w:lineRule="auto"/>
              <w:ind w:left="0" w:right="0"/>
              <w:jc w:val="center"/>
              <w:rPr>
                <w:szCs w:val="20"/>
              </w:rPr>
            </w:pPr>
            <w:r>
              <w:rPr>
                <w:rFonts w:hint="cs"/>
                <w:szCs w:val="20"/>
                <w:rtl/>
              </w:rPr>
              <w:t>קרן מו"ג</w:t>
            </w:r>
          </w:p>
        </w:tc>
        <w:tc>
          <w:tcPr>
            <w:tcW w:w="1865" w:type="dxa"/>
            <w:gridSpan w:val="2"/>
          </w:tcPr>
          <w:p>
            <w:pPr>
              <w:spacing w:line="240" w:lineRule="auto"/>
              <w:ind w:left="0" w:right="0"/>
              <w:jc w:val="center"/>
              <w:rPr>
                <w:szCs w:val="20"/>
              </w:rPr>
            </w:pPr>
            <w:r>
              <w:rPr>
                <w:rFonts w:hint="cs"/>
                <w:szCs w:val="20"/>
                <w:rtl/>
              </w:rPr>
              <w:t>קרן על יסודיים</w:t>
            </w:r>
          </w:p>
        </w:tc>
        <w:tc>
          <w:tcPr>
            <w:tcW w:w="940" w:type="dxa"/>
          </w:tcPr>
          <w:p>
            <w:pPr>
              <w:spacing w:line="240" w:lineRule="auto"/>
              <w:ind w:left="0" w:right="0"/>
              <w:jc w:val="both"/>
              <w:rPr>
                <w:szCs w:val="20"/>
              </w:rPr>
            </w:pPr>
            <w:r>
              <w:rPr>
                <w:rFonts w:hint="cs"/>
                <w:szCs w:val="20"/>
                <w:rtl/>
              </w:rPr>
              <w:t>שנת לימודים</w:t>
            </w:r>
          </w:p>
        </w:tc>
      </w:tr>
      <w:tr>
        <w:tblPrEx>
          <w:tblW w:w="0" w:type="auto"/>
          <w:jc w:val="right"/>
          <w:tblInd w:w="0" w:type="dxa"/>
          <w:tblCellMar>
            <w:left w:w="108" w:type="dxa"/>
            <w:right w:w="108" w:type="dxa"/>
          </w:tblCellMar>
          <w:tblLook w:val="0000"/>
        </w:tblPrEx>
        <w:trPr>
          <w:jc w:val="right"/>
        </w:trPr>
        <w:tc>
          <w:tcPr>
            <w:tcW w:w="929" w:type="dxa"/>
          </w:tcPr>
          <w:p>
            <w:pPr>
              <w:spacing w:line="240" w:lineRule="auto"/>
              <w:ind w:left="0" w:right="0"/>
              <w:jc w:val="both"/>
              <w:rPr>
                <w:rFonts w:hint="cs"/>
                <w:szCs w:val="20"/>
              </w:rPr>
            </w:pPr>
            <w:r>
              <w:rPr>
                <w:rFonts w:hint="cs"/>
                <w:szCs w:val="20"/>
                <w:rtl/>
              </w:rPr>
              <w:t>יצאו בפועל</w:t>
            </w:r>
          </w:p>
        </w:tc>
        <w:tc>
          <w:tcPr>
            <w:tcW w:w="932" w:type="dxa"/>
          </w:tcPr>
          <w:p>
            <w:pPr>
              <w:spacing w:line="240" w:lineRule="auto"/>
              <w:ind w:left="0" w:right="0"/>
              <w:jc w:val="both"/>
              <w:rPr>
                <w:rFonts w:hint="cs"/>
                <w:szCs w:val="20"/>
                <w:rtl/>
              </w:rPr>
            </w:pPr>
          </w:p>
          <w:p>
            <w:pPr>
              <w:spacing w:line="240" w:lineRule="auto"/>
              <w:ind w:left="0" w:right="0"/>
              <w:jc w:val="both"/>
              <w:rPr>
                <w:rFonts w:hint="cs"/>
                <w:szCs w:val="20"/>
              </w:rPr>
            </w:pPr>
            <w:r>
              <w:rPr>
                <w:rFonts w:hint="cs"/>
                <w:szCs w:val="20"/>
                <w:rtl/>
              </w:rPr>
              <w:t>זכאים</w:t>
            </w:r>
          </w:p>
        </w:tc>
        <w:tc>
          <w:tcPr>
            <w:tcW w:w="930" w:type="dxa"/>
          </w:tcPr>
          <w:p>
            <w:pPr>
              <w:spacing w:line="240" w:lineRule="auto"/>
              <w:ind w:left="0" w:right="0"/>
              <w:jc w:val="both"/>
              <w:rPr>
                <w:rFonts w:hint="cs"/>
                <w:szCs w:val="20"/>
              </w:rPr>
            </w:pPr>
            <w:r>
              <w:rPr>
                <w:rFonts w:hint="cs"/>
                <w:szCs w:val="20"/>
                <w:rtl/>
              </w:rPr>
              <w:t>יצאו בפועל</w:t>
            </w:r>
          </w:p>
        </w:tc>
        <w:tc>
          <w:tcPr>
            <w:tcW w:w="980" w:type="dxa"/>
          </w:tcPr>
          <w:p>
            <w:pPr>
              <w:spacing w:line="240" w:lineRule="auto"/>
              <w:ind w:left="0" w:right="0"/>
              <w:jc w:val="both"/>
              <w:rPr>
                <w:rFonts w:hint="cs"/>
                <w:szCs w:val="20"/>
                <w:rtl/>
              </w:rPr>
            </w:pPr>
          </w:p>
          <w:p>
            <w:pPr>
              <w:spacing w:line="240" w:lineRule="auto"/>
              <w:ind w:left="0" w:right="0"/>
              <w:jc w:val="both"/>
              <w:rPr>
                <w:rFonts w:hint="cs"/>
                <w:szCs w:val="20"/>
              </w:rPr>
            </w:pPr>
            <w:r>
              <w:rPr>
                <w:rFonts w:hint="cs"/>
                <w:szCs w:val="20"/>
                <w:rtl/>
              </w:rPr>
              <w:t>זכאים</w:t>
            </w:r>
          </w:p>
        </w:tc>
        <w:tc>
          <w:tcPr>
            <w:tcW w:w="929" w:type="dxa"/>
          </w:tcPr>
          <w:p>
            <w:pPr>
              <w:spacing w:line="240" w:lineRule="auto"/>
              <w:ind w:left="0" w:right="0"/>
              <w:jc w:val="both"/>
              <w:rPr>
                <w:rFonts w:hint="cs"/>
                <w:szCs w:val="20"/>
              </w:rPr>
            </w:pPr>
            <w:r>
              <w:rPr>
                <w:rFonts w:hint="cs"/>
                <w:szCs w:val="20"/>
                <w:rtl/>
              </w:rPr>
              <w:t>יצאו בפועל</w:t>
            </w:r>
          </w:p>
        </w:tc>
        <w:tc>
          <w:tcPr>
            <w:tcW w:w="931" w:type="dxa"/>
          </w:tcPr>
          <w:p>
            <w:pPr>
              <w:spacing w:line="240" w:lineRule="auto"/>
              <w:ind w:left="0" w:right="0"/>
              <w:jc w:val="both"/>
              <w:rPr>
                <w:rFonts w:hint="cs"/>
                <w:szCs w:val="20"/>
                <w:rtl/>
              </w:rPr>
            </w:pPr>
          </w:p>
          <w:p>
            <w:pPr>
              <w:spacing w:line="240" w:lineRule="auto"/>
              <w:ind w:left="0" w:right="0"/>
              <w:jc w:val="both"/>
              <w:rPr>
                <w:rFonts w:hint="cs"/>
                <w:szCs w:val="20"/>
              </w:rPr>
            </w:pPr>
            <w:r>
              <w:rPr>
                <w:rFonts w:hint="cs"/>
                <w:szCs w:val="20"/>
                <w:rtl/>
              </w:rPr>
              <w:t>זכאים</w:t>
            </w:r>
          </w:p>
        </w:tc>
        <w:tc>
          <w:tcPr>
            <w:tcW w:w="929" w:type="dxa"/>
          </w:tcPr>
          <w:p>
            <w:pPr>
              <w:spacing w:line="240" w:lineRule="auto"/>
              <w:ind w:left="0" w:right="0"/>
              <w:jc w:val="both"/>
              <w:rPr>
                <w:rFonts w:hint="cs"/>
                <w:szCs w:val="20"/>
              </w:rPr>
            </w:pPr>
            <w:r>
              <w:rPr>
                <w:rFonts w:hint="cs"/>
                <w:szCs w:val="20"/>
                <w:rtl/>
              </w:rPr>
              <w:t>יצאו בפועל</w:t>
            </w:r>
          </w:p>
        </w:tc>
        <w:tc>
          <w:tcPr>
            <w:tcW w:w="936" w:type="dxa"/>
          </w:tcPr>
          <w:p>
            <w:pPr>
              <w:spacing w:line="240" w:lineRule="auto"/>
              <w:ind w:left="0" w:right="0"/>
              <w:jc w:val="both"/>
              <w:rPr>
                <w:rFonts w:hint="cs"/>
                <w:szCs w:val="20"/>
                <w:rtl/>
              </w:rPr>
            </w:pPr>
          </w:p>
          <w:p>
            <w:pPr>
              <w:spacing w:line="240" w:lineRule="auto"/>
              <w:ind w:left="0" w:right="0"/>
              <w:jc w:val="both"/>
              <w:rPr>
                <w:rFonts w:hint="cs"/>
                <w:szCs w:val="20"/>
              </w:rPr>
            </w:pPr>
            <w:r>
              <w:rPr>
                <w:rFonts w:hint="cs"/>
                <w:szCs w:val="20"/>
                <w:rtl/>
              </w:rPr>
              <w:t>זכאים</w:t>
            </w:r>
          </w:p>
        </w:tc>
        <w:tc>
          <w:tcPr>
            <w:tcW w:w="940" w:type="dxa"/>
          </w:tcPr>
          <w:p>
            <w:pPr>
              <w:spacing w:line="240" w:lineRule="auto"/>
              <w:ind w:left="0" w:right="0"/>
              <w:jc w:val="both"/>
              <w:rPr>
                <w:rFonts w:hint="cs"/>
                <w:szCs w:val="20"/>
              </w:rPr>
            </w:pPr>
          </w:p>
        </w:tc>
      </w:tr>
      <w:tr>
        <w:tblPrEx>
          <w:tblW w:w="0" w:type="auto"/>
          <w:jc w:val="right"/>
          <w:tblInd w:w="0" w:type="dxa"/>
          <w:tblCellMar>
            <w:left w:w="108" w:type="dxa"/>
            <w:right w:w="108" w:type="dxa"/>
          </w:tblCellMar>
          <w:tblLook w:val="0000"/>
        </w:tblPrEx>
        <w:trPr>
          <w:jc w:val="right"/>
        </w:trPr>
        <w:tc>
          <w:tcPr>
            <w:tcW w:w="929" w:type="dxa"/>
          </w:tcPr>
          <w:p>
            <w:pPr>
              <w:spacing w:line="240" w:lineRule="auto"/>
              <w:ind w:left="0" w:right="0"/>
              <w:jc w:val="both"/>
              <w:rPr>
                <w:rFonts w:hint="cs"/>
                <w:szCs w:val="20"/>
              </w:rPr>
            </w:pPr>
            <w:r>
              <w:rPr>
                <w:rFonts w:hint="cs"/>
                <w:szCs w:val="20"/>
                <w:rtl/>
              </w:rPr>
              <w:t>4,020</w:t>
            </w:r>
          </w:p>
        </w:tc>
        <w:tc>
          <w:tcPr>
            <w:tcW w:w="932" w:type="dxa"/>
          </w:tcPr>
          <w:p>
            <w:pPr>
              <w:spacing w:line="240" w:lineRule="auto"/>
              <w:ind w:left="0" w:right="0"/>
              <w:jc w:val="both"/>
              <w:rPr>
                <w:rFonts w:hint="cs"/>
                <w:szCs w:val="20"/>
              </w:rPr>
            </w:pPr>
            <w:r>
              <w:rPr>
                <w:rFonts w:hint="cs"/>
                <w:szCs w:val="20"/>
                <w:rtl/>
              </w:rPr>
              <w:t>8,755</w:t>
            </w:r>
          </w:p>
        </w:tc>
        <w:tc>
          <w:tcPr>
            <w:tcW w:w="930" w:type="dxa"/>
          </w:tcPr>
          <w:p>
            <w:pPr>
              <w:spacing w:line="240" w:lineRule="auto"/>
              <w:ind w:left="0" w:right="0"/>
              <w:jc w:val="both"/>
              <w:rPr>
                <w:rFonts w:hint="cs"/>
                <w:szCs w:val="20"/>
              </w:rPr>
            </w:pPr>
            <w:r>
              <w:rPr>
                <w:rFonts w:hint="cs"/>
                <w:szCs w:val="20"/>
                <w:rtl/>
              </w:rPr>
              <w:t>650</w:t>
            </w:r>
          </w:p>
        </w:tc>
        <w:tc>
          <w:tcPr>
            <w:tcW w:w="980" w:type="dxa"/>
          </w:tcPr>
          <w:p>
            <w:pPr>
              <w:spacing w:line="240" w:lineRule="auto"/>
              <w:ind w:left="0" w:right="0"/>
              <w:jc w:val="both"/>
              <w:rPr>
                <w:rFonts w:hint="cs"/>
                <w:szCs w:val="20"/>
              </w:rPr>
            </w:pPr>
            <w:r>
              <w:rPr>
                <w:rFonts w:hint="cs"/>
                <w:szCs w:val="20"/>
                <w:rtl/>
              </w:rPr>
              <w:t>1,900</w:t>
            </w:r>
          </w:p>
        </w:tc>
        <w:tc>
          <w:tcPr>
            <w:tcW w:w="929" w:type="dxa"/>
          </w:tcPr>
          <w:p>
            <w:pPr>
              <w:spacing w:line="240" w:lineRule="auto"/>
              <w:ind w:left="0" w:right="0"/>
              <w:jc w:val="both"/>
              <w:rPr>
                <w:rFonts w:hint="cs"/>
                <w:szCs w:val="20"/>
              </w:rPr>
            </w:pPr>
            <w:r>
              <w:rPr>
                <w:rFonts w:hint="cs"/>
                <w:szCs w:val="20"/>
                <w:rtl/>
              </w:rPr>
              <w:t>2,620</w:t>
            </w:r>
          </w:p>
        </w:tc>
        <w:tc>
          <w:tcPr>
            <w:tcW w:w="931" w:type="dxa"/>
          </w:tcPr>
          <w:p>
            <w:pPr>
              <w:spacing w:line="240" w:lineRule="auto"/>
              <w:ind w:left="0" w:right="0"/>
              <w:jc w:val="both"/>
              <w:rPr>
                <w:rFonts w:hint="cs"/>
                <w:szCs w:val="20"/>
              </w:rPr>
            </w:pPr>
            <w:r>
              <w:rPr>
                <w:rFonts w:hint="cs"/>
                <w:szCs w:val="20"/>
                <w:rtl/>
              </w:rPr>
              <w:t>5,100</w:t>
            </w:r>
          </w:p>
        </w:tc>
        <w:tc>
          <w:tcPr>
            <w:tcW w:w="929" w:type="dxa"/>
          </w:tcPr>
          <w:p>
            <w:pPr>
              <w:spacing w:line="240" w:lineRule="auto"/>
              <w:ind w:left="0" w:right="0"/>
              <w:jc w:val="both"/>
              <w:rPr>
                <w:rFonts w:hint="cs"/>
                <w:szCs w:val="20"/>
              </w:rPr>
            </w:pPr>
            <w:r>
              <w:rPr>
                <w:rFonts w:hint="cs"/>
                <w:szCs w:val="20"/>
                <w:rtl/>
              </w:rPr>
              <w:t>750</w:t>
            </w:r>
          </w:p>
        </w:tc>
        <w:tc>
          <w:tcPr>
            <w:tcW w:w="936" w:type="dxa"/>
          </w:tcPr>
          <w:p>
            <w:pPr>
              <w:spacing w:line="240" w:lineRule="auto"/>
              <w:ind w:left="0" w:right="0"/>
              <w:jc w:val="both"/>
              <w:rPr>
                <w:rFonts w:hint="cs"/>
                <w:szCs w:val="20"/>
              </w:rPr>
            </w:pPr>
            <w:r>
              <w:rPr>
                <w:rFonts w:hint="cs"/>
                <w:szCs w:val="20"/>
                <w:rtl/>
              </w:rPr>
              <w:t>1,755</w:t>
            </w:r>
          </w:p>
        </w:tc>
        <w:tc>
          <w:tcPr>
            <w:tcW w:w="940" w:type="dxa"/>
          </w:tcPr>
          <w:p>
            <w:pPr>
              <w:spacing w:line="240" w:lineRule="auto"/>
              <w:ind w:left="0" w:right="0"/>
              <w:jc w:val="both"/>
              <w:rPr>
                <w:rFonts w:hint="cs"/>
                <w:szCs w:val="20"/>
              </w:rPr>
            </w:pPr>
            <w:r>
              <w:rPr>
                <w:rFonts w:hint="cs"/>
                <w:szCs w:val="20"/>
                <w:rtl/>
              </w:rPr>
              <w:t>התשמ"ד</w:t>
            </w:r>
          </w:p>
        </w:tc>
      </w:tr>
      <w:tr>
        <w:tblPrEx>
          <w:tblW w:w="0" w:type="auto"/>
          <w:jc w:val="right"/>
          <w:tblInd w:w="0" w:type="dxa"/>
          <w:tblCellMar>
            <w:left w:w="108" w:type="dxa"/>
            <w:right w:w="108" w:type="dxa"/>
          </w:tblCellMar>
          <w:tblLook w:val="0000"/>
        </w:tblPrEx>
        <w:trPr>
          <w:jc w:val="right"/>
        </w:trPr>
        <w:tc>
          <w:tcPr>
            <w:tcW w:w="929" w:type="dxa"/>
          </w:tcPr>
          <w:p>
            <w:pPr>
              <w:spacing w:line="240" w:lineRule="auto"/>
              <w:ind w:left="0" w:right="0"/>
              <w:jc w:val="both"/>
              <w:rPr>
                <w:rFonts w:hint="cs"/>
                <w:szCs w:val="20"/>
              </w:rPr>
            </w:pPr>
            <w:r>
              <w:rPr>
                <w:rFonts w:hint="cs"/>
                <w:szCs w:val="20"/>
                <w:rtl/>
              </w:rPr>
              <w:t>4,445</w:t>
            </w:r>
          </w:p>
        </w:tc>
        <w:tc>
          <w:tcPr>
            <w:tcW w:w="932" w:type="dxa"/>
          </w:tcPr>
          <w:p>
            <w:pPr>
              <w:spacing w:line="240" w:lineRule="auto"/>
              <w:ind w:left="0" w:right="0"/>
              <w:jc w:val="both"/>
              <w:rPr>
                <w:rFonts w:hint="cs"/>
                <w:szCs w:val="20"/>
              </w:rPr>
            </w:pPr>
            <w:r>
              <w:rPr>
                <w:rFonts w:hint="cs"/>
                <w:szCs w:val="20"/>
                <w:rtl/>
              </w:rPr>
              <w:t>10,247</w:t>
            </w:r>
          </w:p>
        </w:tc>
        <w:tc>
          <w:tcPr>
            <w:tcW w:w="930" w:type="dxa"/>
          </w:tcPr>
          <w:p>
            <w:pPr>
              <w:spacing w:line="240" w:lineRule="auto"/>
              <w:ind w:left="0" w:right="0"/>
              <w:jc w:val="both"/>
              <w:rPr>
                <w:rFonts w:hint="cs"/>
                <w:szCs w:val="20"/>
              </w:rPr>
            </w:pPr>
            <w:r>
              <w:rPr>
                <w:rFonts w:hint="cs"/>
                <w:szCs w:val="20"/>
                <w:rtl/>
              </w:rPr>
              <w:t>700</w:t>
            </w:r>
          </w:p>
        </w:tc>
        <w:tc>
          <w:tcPr>
            <w:tcW w:w="980" w:type="dxa"/>
          </w:tcPr>
          <w:p>
            <w:pPr>
              <w:spacing w:line="240" w:lineRule="auto"/>
              <w:ind w:left="0" w:right="0"/>
              <w:jc w:val="both"/>
              <w:rPr>
                <w:rFonts w:hint="cs"/>
                <w:szCs w:val="20"/>
              </w:rPr>
            </w:pPr>
            <w:r>
              <w:rPr>
                <w:rFonts w:hint="cs"/>
                <w:szCs w:val="20"/>
                <w:rtl/>
              </w:rPr>
              <w:t>2,100</w:t>
            </w:r>
          </w:p>
        </w:tc>
        <w:tc>
          <w:tcPr>
            <w:tcW w:w="929" w:type="dxa"/>
          </w:tcPr>
          <w:p>
            <w:pPr>
              <w:spacing w:line="240" w:lineRule="auto"/>
              <w:ind w:left="0" w:right="0"/>
              <w:jc w:val="both"/>
              <w:rPr>
                <w:rFonts w:hint="cs"/>
                <w:szCs w:val="20"/>
              </w:rPr>
            </w:pPr>
            <w:r>
              <w:rPr>
                <w:rFonts w:hint="cs"/>
                <w:szCs w:val="20"/>
                <w:rtl/>
              </w:rPr>
              <w:t>2,90</w:t>
            </w:r>
            <w:r>
              <w:rPr>
                <w:rFonts w:hint="cs"/>
                <w:szCs w:val="20"/>
                <w:rtl/>
              </w:rPr>
              <w:t>0</w:t>
            </w:r>
          </w:p>
        </w:tc>
        <w:tc>
          <w:tcPr>
            <w:tcW w:w="931" w:type="dxa"/>
          </w:tcPr>
          <w:p>
            <w:pPr>
              <w:spacing w:line="240" w:lineRule="auto"/>
              <w:ind w:left="0" w:right="0"/>
              <w:jc w:val="both"/>
              <w:rPr>
                <w:rFonts w:hint="cs"/>
                <w:szCs w:val="20"/>
              </w:rPr>
            </w:pPr>
            <w:r>
              <w:rPr>
                <w:rFonts w:hint="cs"/>
                <w:szCs w:val="20"/>
                <w:rtl/>
              </w:rPr>
              <w:t>6,100</w:t>
            </w:r>
          </w:p>
        </w:tc>
        <w:tc>
          <w:tcPr>
            <w:tcW w:w="929" w:type="dxa"/>
          </w:tcPr>
          <w:p>
            <w:pPr>
              <w:spacing w:line="240" w:lineRule="auto"/>
              <w:ind w:left="0" w:right="0"/>
              <w:jc w:val="both"/>
              <w:rPr>
                <w:rFonts w:hint="cs"/>
                <w:szCs w:val="20"/>
              </w:rPr>
            </w:pPr>
            <w:r>
              <w:rPr>
                <w:rFonts w:hint="cs"/>
                <w:szCs w:val="20"/>
                <w:rtl/>
              </w:rPr>
              <w:t>845</w:t>
            </w:r>
          </w:p>
        </w:tc>
        <w:tc>
          <w:tcPr>
            <w:tcW w:w="936" w:type="dxa"/>
          </w:tcPr>
          <w:p>
            <w:pPr>
              <w:spacing w:line="240" w:lineRule="auto"/>
              <w:ind w:left="0" w:right="0"/>
              <w:jc w:val="both"/>
              <w:rPr>
                <w:rFonts w:hint="cs"/>
                <w:szCs w:val="20"/>
              </w:rPr>
            </w:pPr>
            <w:r>
              <w:rPr>
                <w:rFonts w:hint="cs"/>
                <w:szCs w:val="20"/>
                <w:rtl/>
              </w:rPr>
              <w:t>2,047</w:t>
            </w:r>
          </w:p>
        </w:tc>
        <w:tc>
          <w:tcPr>
            <w:tcW w:w="940" w:type="dxa"/>
          </w:tcPr>
          <w:p>
            <w:pPr>
              <w:spacing w:line="240" w:lineRule="auto"/>
              <w:ind w:left="0" w:right="0"/>
              <w:jc w:val="both"/>
              <w:rPr>
                <w:rFonts w:hint="cs"/>
                <w:szCs w:val="20"/>
              </w:rPr>
            </w:pPr>
            <w:r>
              <w:rPr>
                <w:rFonts w:hint="cs"/>
                <w:szCs w:val="20"/>
                <w:rtl/>
              </w:rPr>
              <w:t>התשמ"ה</w:t>
            </w:r>
          </w:p>
        </w:tc>
      </w:tr>
      <w:tr>
        <w:tblPrEx>
          <w:tblW w:w="0" w:type="auto"/>
          <w:jc w:val="right"/>
          <w:tblInd w:w="0" w:type="dxa"/>
          <w:tblCellMar>
            <w:left w:w="108" w:type="dxa"/>
            <w:right w:w="108" w:type="dxa"/>
          </w:tblCellMar>
          <w:tblLook w:val="0000"/>
        </w:tblPrEx>
        <w:trPr>
          <w:jc w:val="right"/>
        </w:trPr>
        <w:tc>
          <w:tcPr>
            <w:tcW w:w="929" w:type="dxa"/>
          </w:tcPr>
          <w:p>
            <w:pPr>
              <w:spacing w:line="240" w:lineRule="auto"/>
              <w:ind w:left="0" w:right="0"/>
              <w:jc w:val="both"/>
              <w:rPr>
                <w:rFonts w:hint="cs"/>
                <w:szCs w:val="20"/>
              </w:rPr>
            </w:pPr>
            <w:r>
              <w:rPr>
                <w:rFonts w:hint="cs"/>
                <w:szCs w:val="20"/>
                <w:rtl/>
              </w:rPr>
              <w:t>5,044</w:t>
            </w:r>
          </w:p>
        </w:tc>
        <w:tc>
          <w:tcPr>
            <w:tcW w:w="932" w:type="dxa"/>
          </w:tcPr>
          <w:p>
            <w:pPr>
              <w:spacing w:line="240" w:lineRule="auto"/>
              <w:ind w:left="0" w:right="0"/>
              <w:jc w:val="both"/>
              <w:rPr>
                <w:rFonts w:hint="cs"/>
                <w:szCs w:val="20"/>
              </w:rPr>
            </w:pPr>
            <w:r>
              <w:rPr>
                <w:rFonts w:hint="cs"/>
                <w:szCs w:val="20"/>
                <w:rtl/>
              </w:rPr>
              <w:t>11,243</w:t>
            </w:r>
          </w:p>
        </w:tc>
        <w:tc>
          <w:tcPr>
            <w:tcW w:w="930" w:type="dxa"/>
          </w:tcPr>
          <w:p>
            <w:pPr>
              <w:spacing w:line="240" w:lineRule="auto"/>
              <w:ind w:left="0" w:right="0"/>
              <w:jc w:val="both"/>
              <w:rPr>
                <w:rFonts w:hint="cs"/>
                <w:szCs w:val="20"/>
              </w:rPr>
            </w:pPr>
            <w:r>
              <w:rPr>
                <w:rFonts w:hint="cs"/>
                <w:szCs w:val="20"/>
                <w:rtl/>
              </w:rPr>
              <w:t>810</w:t>
            </w:r>
          </w:p>
        </w:tc>
        <w:tc>
          <w:tcPr>
            <w:tcW w:w="980" w:type="dxa"/>
          </w:tcPr>
          <w:p>
            <w:pPr>
              <w:spacing w:line="240" w:lineRule="auto"/>
              <w:ind w:left="0" w:right="0"/>
              <w:jc w:val="both"/>
              <w:rPr>
                <w:rFonts w:hint="cs"/>
                <w:szCs w:val="20"/>
              </w:rPr>
            </w:pPr>
            <w:r>
              <w:rPr>
                <w:rFonts w:hint="cs"/>
                <w:szCs w:val="20"/>
                <w:rtl/>
              </w:rPr>
              <w:t>2,164</w:t>
            </w:r>
          </w:p>
        </w:tc>
        <w:tc>
          <w:tcPr>
            <w:tcW w:w="929" w:type="dxa"/>
          </w:tcPr>
          <w:p>
            <w:pPr>
              <w:spacing w:line="240" w:lineRule="auto"/>
              <w:ind w:left="0" w:right="0"/>
              <w:jc w:val="both"/>
              <w:rPr>
                <w:rFonts w:hint="cs"/>
                <w:szCs w:val="20"/>
              </w:rPr>
            </w:pPr>
            <w:r>
              <w:rPr>
                <w:rFonts w:hint="cs"/>
                <w:szCs w:val="20"/>
                <w:rtl/>
              </w:rPr>
              <w:t>3,250</w:t>
            </w:r>
          </w:p>
        </w:tc>
        <w:tc>
          <w:tcPr>
            <w:tcW w:w="931" w:type="dxa"/>
          </w:tcPr>
          <w:p>
            <w:pPr>
              <w:spacing w:line="240" w:lineRule="auto"/>
              <w:ind w:left="0" w:right="0"/>
              <w:jc w:val="both"/>
              <w:rPr>
                <w:rFonts w:hint="cs"/>
                <w:szCs w:val="20"/>
              </w:rPr>
            </w:pPr>
            <w:r>
              <w:rPr>
                <w:rFonts w:hint="cs"/>
                <w:szCs w:val="20"/>
                <w:rtl/>
              </w:rPr>
              <w:t>6,809</w:t>
            </w:r>
          </w:p>
        </w:tc>
        <w:tc>
          <w:tcPr>
            <w:tcW w:w="929" w:type="dxa"/>
          </w:tcPr>
          <w:p>
            <w:pPr>
              <w:spacing w:line="240" w:lineRule="auto"/>
              <w:ind w:left="0" w:right="0"/>
              <w:jc w:val="both"/>
              <w:rPr>
                <w:rFonts w:hint="cs"/>
                <w:szCs w:val="20"/>
              </w:rPr>
            </w:pPr>
            <w:r>
              <w:rPr>
                <w:rFonts w:hint="cs"/>
                <w:szCs w:val="20"/>
                <w:rtl/>
              </w:rPr>
              <w:t>984</w:t>
            </w:r>
          </w:p>
        </w:tc>
        <w:tc>
          <w:tcPr>
            <w:tcW w:w="936" w:type="dxa"/>
          </w:tcPr>
          <w:p>
            <w:pPr>
              <w:spacing w:line="240" w:lineRule="auto"/>
              <w:ind w:left="0" w:right="0"/>
              <w:jc w:val="both"/>
              <w:rPr>
                <w:rFonts w:hint="cs"/>
                <w:szCs w:val="20"/>
              </w:rPr>
            </w:pPr>
            <w:r>
              <w:rPr>
                <w:rFonts w:hint="cs"/>
                <w:szCs w:val="20"/>
                <w:rtl/>
              </w:rPr>
              <w:t>2,270</w:t>
            </w:r>
          </w:p>
        </w:tc>
        <w:tc>
          <w:tcPr>
            <w:tcW w:w="940" w:type="dxa"/>
          </w:tcPr>
          <w:p>
            <w:pPr>
              <w:spacing w:line="240" w:lineRule="auto"/>
              <w:ind w:left="0" w:right="0"/>
              <w:jc w:val="both"/>
              <w:rPr>
                <w:rFonts w:hint="cs"/>
                <w:szCs w:val="20"/>
              </w:rPr>
            </w:pPr>
            <w:r>
              <w:rPr>
                <w:rFonts w:hint="cs"/>
                <w:szCs w:val="20"/>
                <w:rtl/>
              </w:rPr>
              <w:t>התשמ"ו</w:t>
            </w:r>
          </w:p>
        </w:tc>
      </w:tr>
      <w:tr>
        <w:tblPrEx>
          <w:tblW w:w="0" w:type="auto"/>
          <w:jc w:val="right"/>
          <w:tblInd w:w="0" w:type="dxa"/>
          <w:tblCellMar>
            <w:left w:w="108" w:type="dxa"/>
            <w:right w:w="108" w:type="dxa"/>
          </w:tblCellMar>
          <w:tblLook w:val="0000"/>
        </w:tblPrEx>
        <w:trPr>
          <w:jc w:val="right"/>
        </w:trPr>
        <w:tc>
          <w:tcPr>
            <w:tcW w:w="929" w:type="dxa"/>
          </w:tcPr>
          <w:p>
            <w:pPr>
              <w:spacing w:line="240" w:lineRule="auto"/>
              <w:ind w:left="0" w:right="0"/>
              <w:jc w:val="both"/>
              <w:rPr>
                <w:rFonts w:hint="cs"/>
                <w:szCs w:val="20"/>
              </w:rPr>
            </w:pPr>
            <w:r>
              <w:rPr>
                <w:rFonts w:hint="cs"/>
                <w:szCs w:val="20"/>
                <w:rtl/>
              </w:rPr>
              <w:t>5,662</w:t>
            </w:r>
          </w:p>
        </w:tc>
        <w:tc>
          <w:tcPr>
            <w:tcW w:w="932" w:type="dxa"/>
          </w:tcPr>
          <w:p>
            <w:pPr>
              <w:spacing w:line="240" w:lineRule="auto"/>
              <w:ind w:left="0" w:right="0"/>
              <w:jc w:val="both"/>
              <w:rPr>
                <w:rFonts w:hint="cs"/>
                <w:szCs w:val="20"/>
              </w:rPr>
            </w:pPr>
            <w:r>
              <w:rPr>
                <w:rFonts w:hint="cs"/>
                <w:szCs w:val="20"/>
                <w:rtl/>
              </w:rPr>
              <w:t>13,228</w:t>
            </w:r>
          </w:p>
        </w:tc>
        <w:tc>
          <w:tcPr>
            <w:tcW w:w="930" w:type="dxa"/>
          </w:tcPr>
          <w:p>
            <w:pPr>
              <w:spacing w:line="240" w:lineRule="auto"/>
              <w:ind w:left="0" w:right="0"/>
              <w:jc w:val="both"/>
              <w:rPr>
                <w:rFonts w:hint="cs"/>
                <w:szCs w:val="20"/>
              </w:rPr>
            </w:pPr>
            <w:r>
              <w:rPr>
                <w:rFonts w:hint="cs"/>
                <w:szCs w:val="20"/>
                <w:rtl/>
              </w:rPr>
              <w:t>1,071</w:t>
            </w:r>
          </w:p>
        </w:tc>
        <w:tc>
          <w:tcPr>
            <w:tcW w:w="980" w:type="dxa"/>
          </w:tcPr>
          <w:p>
            <w:pPr>
              <w:spacing w:line="240" w:lineRule="auto"/>
              <w:ind w:left="0" w:right="0"/>
              <w:jc w:val="both"/>
              <w:rPr>
                <w:rFonts w:hint="cs"/>
                <w:szCs w:val="20"/>
              </w:rPr>
            </w:pPr>
            <w:r>
              <w:rPr>
                <w:rFonts w:hint="cs"/>
                <w:szCs w:val="20"/>
                <w:rtl/>
              </w:rPr>
              <w:t>3,000</w:t>
            </w:r>
          </w:p>
        </w:tc>
        <w:tc>
          <w:tcPr>
            <w:tcW w:w="929" w:type="dxa"/>
          </w:tcPr>
          <w:p>
            <w:pPr>
              <w:spacing w:line="240" w:lineRule="auto"/>
              <w:ind w:left="0" w:right="0"/>
              <w:jc w:val="both"/>
              <w:rPr>
                <w:rFonts w:hint="cs"/>
                <w:szCs w:val="20"/>
              </w:rPr>
            </w:pPr>
            <w:r>
              <w:rPr>
                <w:rFonts w:hint="cs"/>
                <w:szCs w:val="20"/>
                <w:rtl/>
              </w:rPr>
              <w:t>3,647</w:t>
            </w:r>
          </w:p>
        </w:tc>
        <w:tc>
          <w:tcPr>
            <w:tcW w:w="931" w:type="dxa"/>
          </w:tcPr>
          <w:p>
            <w:pPr>
              <w:spacing w:line="240" w:lineRule="auto"/>
              <w:ind w:left="0" w:right="0"/>
              <w:jc w:val="both"/>
              <w:rPr>
                <w:rFonts w:hint="cs"/>
                <w:szCs w:val="20"/>
              </w:rPr>
            </w:pPr>
            <w:r>
              <w:rPr>
                <w:rFonts w:hint="cs"/>
                <w:szCs w:val="20"/>
                <w:rtl/>
              </w:rPr>
              <w:t>7,500</w:t>
            </w:r>
          </w:p>
        </w:tc>
        <w:tc>
          <w:tcPr>
            <w:tcW w:w="929" w:type="dxa"/>
          </w:tcPr>
          <w:p>
            <w:pPr>
              <w:spacing w:line="240" w:lineRule="auto"/>
              <w:ind w:left="0" w:right="0"/>
              <w:jc w:val="both"/>
              <w:rPr>
                <w:rFonts w:hint="cs"/>
                <w:szCs w:val="20"/>
              </w:rPr>
            </w:pPr>
            <w:r>
              <w:rPr>
                <w:rFonts w:hint="cs"/>
                <w:szCs w:val="20"/>
                <w:rtl/>
              </w:rPr>
              <w:t>944</w:t>
            </w:r>
          </w:p>
        </w:tc>
        <w:tc>
          <w:tcPr>
            <w:tcW w:w="936" w:type="dxa"/>
          </w:tcPr>
          <w:p>
            <w:pPr>
              <w:spacing w:line="240" w:lineRule="auto"/>
              <w:ind w:left="0" w:right="0"/>
              <w:jc w:val="both"/>
              <w:rPr>
                <w:rFonts w:hint="cs"/>
                <w:szCs w:val="20"/>
              </w:rPr>
            </w:pPr>
            <w:r>
              <w:rPr>
                <w:rFonts w:hint="cs"/>
                <w:szCs w:val="20"/>
                <w:rtl/>
              </w:rPr>
              <w:t>2,728</w:t>
            </w:r>
          </w:p>
        </w:tc>
        <w:tc>
          <w:tcPr>
            <w:tcW w:w="940" w:type="dxa"/>
          </w:tcPr>
          <w:p>
            <w:pPr>
              <w:spacing w:line="240" w:lineRule="auto"/>
              <w:ind w:left="0" w:right="0"/>
              <w:jc w:val="both"/>
              <w:rPr>
                <w:rFonts w:hint="cs"/>
                <w:szCs w:val="20"/>
              </w:rPr>
            </w:pPr>
            <w:r>
              <w:rPr>
                <w:rFonts w:hint="cs"/>
                <w:szCs w:val="20"/>
                <w:rtl/>
              </w:rPr>
              <w:t>התשמ"ז</w:t>
            </w:r>
          </w:p>
        </w:tc>
      </w:tr>
      <w:tr>
        <w:tblPrEx>
          <w:tblW w:w="0" w:type="auto"/>
          <w:jc w:val="right"/>
          <w:tblInd w:w="0" w:type="dxa"/>
          <w:tblCellMar>
            <w:left w:w="108" w:type="dxa"/>
            <w:right w:w="108" w:type="dxa"/>
          </w:tblCellMar>
          <w:tblLook w:val="0000"/>
        </w:tblPrEx>
        <w:trPr>
          <w:jc w:val="right"/>
        </w:trPr>
        <w:tc>
          <w:tcPr>
            <w:tcW w:w="929" w:type="dxa"/>
          </w:tcPr>
          <w:p>
            <w:pPr>
              <w:spacing w:line="240" w:lineRule="auto"/>
              <w:ind w:left="0" w:right="0"/>
              <w:jc w:val="both"/>
              <w:rPr>
                <w:rFonts w:hint="cs"/>
                <w:szCs w:val="20"/>
              </w:rPr>
            </w:pPr>
            <w:r>
              <w:rPr>
                <w:rFonts w:hint="cs"/>
                <w:szCs w:val="20"/>
                <w:rtl/>
              </w:rPr>
              <w:t>5,808</w:t>
            </w:r>
          </w:p>
        </w:tc>
        <w:tc>
          <w:tcPr>
            <w:tcW w:w="932" w:type="dxa"/>
          </w:tcPr>
          <w:p>
            <w:pPr>
              <w:spacing w:line="240" w:lineRule="auto"/>
              <w:ind w:left="0" w:right="0"/>
              <w:jc w:val="both"/>
              <w:rPr>
                <w:rFonts w:hint="cs"/>
                <w:szCs w:val="20"/>
              </w:rPr>
            </w:pPr>
            <w:r>
              <w:rPr>
                <w:rFonts w:hint="cs"/>
                <w:szCs w:val="20"/>
                <w:rtl/>
              </w:rPr>
              <w:t>13,897</w:t>
            </w:r>
          </w:p>
        </w:tc>
        <w:tc>
          <w:tcPr>
            <w:tcW w:w="930" w:type="dxa"/>
          </w:tcPr>
          <w:p>
            <w:pPr>
              <w:spacing w:line="240" w:lineRule="auto"/>
              <w:ind w:left="0" w:right="0"/>
              <w:jc w:val="both"/>
              <w:rPr>
                <w:rFonts w:hint="cs"/>
                <w:szCs w:val="20"/>
              </w:rPr>
            </w:pPr>
            <w:r>
              <w:rPr>
                <w:rFonts w:hint="cs"/>
                <w:szCs w:val="20"/>
                <w:rtl/>
              </w:rPr>
              <w:t>1,126</w:t>
            </w:r>
          </w:p>
        </w:tc>
        <w:tc>
          <w:tcPr>
            <w:tcW w:w="980" w:type="dxa"/>
          </w:tcPr>
          <w:p>
            <w:pPr>
              <w:spacing w:line="240" w:lineRule="auto"/>
              <w:ind w:left="0" w:right="0"/>
              <w:jc w:val="both"/>
              <w:rPr>
                <w:rFonts w:hint="cs"/>
                <w:szCs w:val="20"/>
              </w:rPr>
            </w:pPr>
            <w:r>
              <w:rPr>
                <w:rFonts w:hint="cs"/>
                <w:szCs w:val="20"/>
                <w:rtl/>
              </w:rPr>
              <w:t>3,086</w:t>
            </w:r>
          </w:p>
        </w:tc>
        <w:tc>
          <w:tcPr>
            <w:tcW w:w="929" w:type="dxa"/>
          </w:tcPr>
          <w:p>
            <w:pPr>
              <w:spacing w:line="240" w:lineRule="auto"/>
              <w:ind w:left="0" w:right="0"/>
              <w:jc w:val="both"/>
              <w:rPr>
                <w:rFonts w:hint="cs"/>
                <w:szCs w:val="20"/>
              </w:rPr>
            </w:pPr>
            <w:r>
              <w:rPr>
                <w:rFonts w:hint="cs"/>
                <w:szCs w:val="20"/>
                <w:rtl/>
              </w:rPr>
              <w:t>3,577</w:t>
            </w:r>
          </w:p>
        </w:tc>
        <w:tc>
          <w:tcPr>
            <w:tcW w:w="931" w:type="dxa"/>
          </w:tcPr>
          <w:p>
            <w:pPr>
              <w:spacing w:line="240" w:lineRule="auto"/>
              <w:ind w:left="0" w:right="0"/>
              <w:jc w:val="both"/>
              <w:rPr>
                <w:rFonts w:hint="cs"/>
                <w:szCs w:val="20"/>
              </w:rPr>
            </w:pPr>
            <w:r>
              <w:rPr>
                <w:rFonts w:hint="cs"/>
                <w:szCs w:val="20"/>
                <w:rtl/>
              </w:rPr>
              <w:t>8,041</w:t>
            </w:r>
          </w:p>
        </w:tc>
        <w:tc>
          <w:tcPr>
            <w:tcW w:w="929" w:type="dxa"/>
          </w:tcPr>
          <w:p>
            <w:pPr>
              <w:spacing w:line="240" w:lineRule="auto"/>
              <w:ind w:left="0" w:right="0"/>
              <w:jc w:val="both"/>
              <w:rPr>
                <w:rFonts w:hint="cs"/>
                <w:szCs w:val="20"/>
              </w:rPr>
            </w:pPr>
            <w:r>
              <w:rPr>
                <w:rFonts w:hint="cs"/>
                <w:szCs w:val="20"/>
                <w:rtl/>
              </w:rPr>
              <w:t>1,105</w:t>
            </w:r>
          </w:p>
        </w:tc>
        <w:tc>
          <w:tcPr>
            <w:tcW w:w="936" w:type="dxa"/>
          </w:tcPr>
          <w:p>
            <w:pPr>
              <w:spacing w:line="240" w:lineRule="auto"/>
              <w:ind w:left="0" w:right="0"/>
              <w:jc w:val="both"/>
              <w:rPr>
                <w:rFonts w:hint="cs"/>
                <w:szCs w:val="20"/>
              </w:rPr>
            </w:pPr>
            <w:r>
              <w:rPr>
                <w:rFonts w:hint="cs"/>
                <w:szCs w:val="20"/>
                <w:rtl/>
              </w:rPr>
              <w:t>2,770</w:t>
            </w:r>
          </w:p>
        </w:tc>
        <w:tc>
          <w:tcPr>
            <w:tcW w:w="940" w:type="dxa"/>
          </w:tcPr>
          <w:p>
            <w:pPr>
              <w:spacing w:line="240" w:lineRule="auto"/>
              <w:ind w:left="0" w:right="0"/>
              <w:jc w:val="both"/>
              <w:rPr>
                <w:rFonts w:hint="cs"/>
                <w:szCs w:val="20"/>
              </w:rPr>
            </w:pPr>
            <w:r>
              <w:rPr>
                <w:rFonts w:hint="cs"/>
                <w:szCs w:val="20"/>
                <w:rtl/>
              </w:rPr>
              <w:t>התשמ"ח</w:t>
            </w:r>
          </w:p>
        </w:tc>
      </w:tr>
      <w:tr>
        <w:tblPrEx>
          <w:tblW w:w="0" w:type="auto"/>
          <w:jc w:val="right"/>
          <w:tblInd w:w="0" w:type="dxa"/>
          <w:tblCellMar>
            <w:left w:w="108" w:type="dxa"/>
            <w:right w:w="108" w:type="dxa"/>
          </w:tblCellMar>
          <w:tblLook w:val="0000"/>
        </w:tblPrEx>
        <w:trPr>
          <w:jc w:val="right"/>
        </w:trPr>
        <w:tc>
          <w:tcPr>
            <w:tcW w:w="929" w:type="dxa"/>
          </w:tcPr>
          <w:p>
            <w:pPr>
              <w:spacing w:line="240" w:lineRule="auto"/>
              <w:ind w:left="0" w:right="0"/>
              <w:jc w:val="both"/>
              <w:rPr>
                <w:rFonts w:hint="cs"/>
                <w:szCs w:val="20"/>
              </w:rPr>
            </w:pPr>
            <w:r>
              <w:rPr>
                <w:rFonts w:hint="cs"/>
                <w:szCs w:val="20"/>
                <w:rtl/>
              </w:rPr>
              <w:t>6,080</w:t>
            </w:r>
          </w:p>
        </w:tc>
        <w:tc>
          <w:tcPr>
            <w:tcW w:w="932" w:type="dxa"/>
          </w:tcPr>
          <w:p>
            <w:pPr>
              <w:spacing w:line="240" w:lineRule="auto"/>
              <w:ind w:left="0" w:right="0"/>
              <w:jc w:val="both"/>
              <w:rPr>
                <w:rFonts w:hint="cs"/>
                <w:szCs w:val="20"/>
              </w:rPr>
            </w:pPr>
            <w:r>
              <w:rPr>
                <w:rFonts w:hint="cs"/>
                <w:szCs w:val="20"/>
                <w:rtl/>
              </w:rPr>
              <w:t>15,043</w:t>
            </w:r>
          </w:p>
        </w:tc>
        <w:tc>
          <w:tcPr>
            <w:tcW w:w="930" w:type="dxa"/>
          </w:tcPr>
          <w:p>
            <w:pPr>
              <w:spacing w:line="240" w:lineRule="auto"/>
              <w:ind w:left="0" w:right="0"/>
              <w:jc w:val="both"/>
              <w:rPr>
                <w:rFonts w:hint="cs"/>
                <w:szCs w:val="20"/>
              </w:rPr>
            </w:pPr>
            <w:r>
              <w:rPr>
                <w:rFonts w:hint="cs"/>
                <w:szCs w:val="20"/>
                <w:rtl/>
              </w:rPr>
              <w:t>1,286</w:t>
            </w:r>
          </w:p>
        </w:tc>
        <w:tc>
          <w:tcPr>
            <w:tcW w:w="980" w:type="dxa"/>
          </w:tcPr>
          <w:p>
            <w:pPr>
              <w:spacing w:line="240" w:lineRule="auto"/>
              <w:ind w:left="0" w:right="0"/>
              <w:jc w:val="both"/>
              <w:rPr>
                <w:rFonts w:hint="cs"/>
                <w:szCs w:val="20"/>
              </w:rPr>
            </w:pPr>
            <w:r>
              <w:rPr>
                <w:rFonts w:hint="cs"/>
                <w:szCs w:val="20"/>
                <w:rtl/>
              </w:rPr>
              <w:t>3,417</w:t>
            </w:r>
          </w:p>
        </w:tc>
        <w:tc>
          <w:tcPr>
            <w:tcW w:w="929" w:type="dxa"/>
          </w:tcPr>
          <w:p>
            <w:pPr>
              <w:spacing w:line="240" w:lineRule="auto"/>
              <w:ind w:left="0" w:right="0"/>
              <w:jc w:val="both"/>
              <w:rPr>
                <w:rFonts w:hint="cs"/>
                <w:szCs w:val="20"/>
              </w:rPr>
            </w:pPr>
            <w:r>
              <w:rPr>
                <w:rFonts w:hint="cs"/>
                <w:szCs w:val="20"/>
                <w:rtl/>
              </w:rPr>
              <w:t>3,695</w:t>
            </w:r>
          </w:p>
        </w:tc>
        <w:tc>
          <w:tcPr>
            <w:tcW w:w="931" w:type="dxa"/>
          </w:tcPr>
          <w:p>
            <w:pPr>
              <w:spacing w:line="240" w:lineRule="auto"/>
              <w:ind w:left="0" w:right="0"/>
              <w:jc w:val="both"/>
              <w:rPr>
                <w:rFonts w:hint="cs"/>
                <w:szCs w:val="20"/>
              </w:rPr>
            </w:pPr>
            <w:r>
              <w:rPr>
                <w:rFonts w:hint="cs"/>
                <w:szCs w:val="20"/>
                <w:rtl/>
              </w:rPr>
              <w:t>8,896</w:t>
            </w:r>
          </w:p>
        </w:tc>
        <w:tc>
          <w:tcPr>
            <w:tcW w:w="929" w:type="dxa"/>
          </w:tcPr>
          <w:p>
            <w:pPr>
              <w:spacing w:line="240" w:lineRule="auto"/>
              <w:ind w:left="0" w:right="0"/>
              <w:jc w:val="both"/>
              <w:rPr>
                <w:rFonts w:hint="cs"/>
                <w:szCs w:val="20"/>
              </w:rPr>
            </w:pPr>
            <w:r>
              <w:rPr>
                <w:rFonts w:hint="cs"/>
                <w:szCs w:val="20"/>
                <w:rtl/>
              </w:rPr>
              <w:t>1,099</w:t>
            </w:r>
          </w:p>
        </w:tc>
        <w:tc>
          <w:tcPr>
            <w:tcW w:w="936" w:type="dxa"/>
          </w:tcPr>
          <w:p>
            <w:pPr>
              <w:spacing w:line="240" w:lineRule="auto"/>
              <w:ind w:left="0" w:right="0"/>
              <w:jc w:val="both"/>
              <w:rPr>
                <w:rFonts w:hint="cs"/>
                <w:szCs w:val="20"/>
              </w:rPr>
            </w:pPr>
            <w:r>
              <w:rPr>
                <w:rFonts w:hint="cs"/>
                <w:szCs w:val="20"/>
                <w:rtl/>
              </w:rPr>
              <w:t>2,728</w:t>
            </w:r>
          </w:p>
        </w:tc>
        <w:tc>
          <w:tcPr>
            <w:tcW w:w="940" w:type="dxa"/>
          </w:tcPr>
          <w:p>
            <w:pPr>
              <w:spacing w:line="240" w:lineRule="auto"/>
              <w:ind w:left="0" w:right="0"/>
              <w:jc w:val="both"/>
              <w:rPr>
                <w:rFonts w:hint="cs"/>
                <w:szCs w:val="20"/>
              </w:rPr>
            </w:pPr>
            <w:r>
              <w:rPr>
                <w:rFonts w:hint="cs"/>
                <w:szCs w:val="20"/>
                <w:rtl/>
              </w:rPr>
              <w:t>התשמ"ט</w:t>
            </w:r>
          </w:p>
        </w:tc>
      </w:tr>
      <w:tr>
        <w:tblPrEx>
          <w:tblW w:w="0" w:type="auto"/>
          <w:jc w:val="right"/>
          <w:tblInd w:w="0" w:type="dxa"/>
          <w:tblCellMar>
            <w:left w:w="108" w:type="dxa"/>
            <w:right w:w="108" w:type="dxa"/>
          </w:tblCellMar>
          <w:tblLook w:val="0000"/>
        </w:tblPrEx>
        <w:trPr>
          <w:jc w:val="right"/>
        </w:trPr>
        <w:tc>
          <w:tcPr>
            <w:tcW w:w="929" w:type="dxa"/>
          </w:tcPr>
          <w:p>
            <w:pPr>
              <w:spacing w:line="240" w:lineRule="auto"/>
              <w:ind w:left="0" w:right="0"/>
              <w:jc w:val="both"/>
              <w:rPr>
                <w:rFonts w:hint="cs"/>
                <w:szCs w:val="20"/>
              </w:rPr>
            </w:pPr>
            <w:r>
              <w:rPr>
                <w:rFonts w:hint="cs"/>
                <w:szCs w:val="20"/>
                <w:rtl/>
              </w:rPr>
              <w:t>6,463</w:t>
            </w:r>
          </w:p>
        </w:tc>
        <w:tc>
          <w:tcPr>
            <w:tcW w:w="932" w:type="dxa"/>
          </w:tcPr>
          <w:p>
            <w:pPr>
              <w:spacing w:line="240" w:lineRule="auto"/>
              <w:ind w:left="0" w:right="0"/>
              <w:jc w:val="both"/>
              <w:rPr>
                <w:rFonts w:hint="cs"/>
                <w:szCs w:val="20"/>
              </w:rPr>
            </w:pPr>
            <w:r>
              <w:rPr>
                <w:rFonts w:hint="cs"/>
                <w:szCs w:val="20"/>
                <w:rtl/>
              </w:rPr>
              <w:t>16</w:t>
            </w:r>
            <w:r>
              <w:rPr>
                <w:rFonts w:hint="cs"/>
                <w:szCs w:val="20"/>
                <w:rtl/>
              </w:rPr>
              <w:t>,992</w:t>
            </w:r>
          </w:p>
        </w:tc>
        <w:tc>
          <w:tcPr>
            <w:tcW w:w="930" w:type="dxa"/>
          </w:tcPr>
          <w:p>
            <w:pPr>
              <w:spacing w:line="240" w:lineRule="auto"/>
              <w:ind w:left="0" w:right="0"/>
              <w:jc w:val="both"/>
              <w:rPr>
                <w:rFonts w:hint="cs"/>
                <w:szCs w:val="20"/>
              </w:rPr>
            </w:pPr>
            <w:r>
              <w:rPr>
                <w:rFonts w:hint="cs"/>
                <w:szCs w:val="20"/>
                <w:rtl/>
              </w:rPr>
              <w:t>1,498</w:t>
            </w:r>
          </w:p>
        </w:tc>
        <w:tc>
          <w:tcPr>
            <w:tcW w:w="980" w:type="dxa"/>
          </w:tcPr>
          <w:p>
            <w:pPr>
              <w:spacing w:line="240" w:lineRule="auto"/>
              <w:ind w:left="0" w:right="0"/>
              <w:jc w:val="both"/>
              <w:rPr>
                <w:rFonts w:hint="cs"/>
                <w:szCs w:val="20"/>
              </w:rPr>
            </w:pPr>
            <w:r>
              <w:rPr>
                <w:rFonts w:hint="cs"/>
                <w:szCs w:val="20"/>
                <w:rtl/>
              </w:rPr>
              <w:t>4,196</w:t>
            </w:r>
          </w:p>
        </w:tc>
        <w:tc>
          <w:tcPr>
            <w:tcW w:w="929" w:type="dxa"/>
          </w:tcPr>
          <w:p>
            <w:pPr>
              <w:spacing w:line="240" w:lineRule="auto"/>
              <w:ind w:left="0" w:right="0"/>
              <w:jc w:val="both"/>
              <w:rPr>
                <w:rFonts w:hint="cs"/>
                <w:szCs w:val="20"/>
              </w:rPr>
            </w:pPr>
            <w:r>
              <w:rPr>
                <w:rFonts w:hint="cs"/>
                <w:szCs w:val="20"/>
                <w:rtl/>
              </w:rPr>
              <w:t>3,820</w:t>
            </w:r>
          </w:p>
        </w:tc>
        <w:tc>
          <w:tcPr>
            <w:tcW w:w="931" w:type="dxa"/>
          </w:tcPr>
          <w:p>
            <w:pPr>
              <w:spacing w:line="240" w:lineRule="auto"/>
              <w:ind w:left="0" w:right="0"/>
              <w:jc w:val="both"/>
              <w:rPr>
                <w:rFonts w:hint="cs"/>
                <w:szCs w:val="20"/>
              </w:rPr>
            </w:pPr>
            <w:r>
              <w:rPr>
                <w:rFonts w:hint="cs"/>
                <w:szCs w:val="20"/>
                <w:rtl/>
              </w:rPr>
              <w:t>9,783</w:t>
            </w:r>
          </w:p>
        </w:tc>
        <w:tc>
          <w:tcPr>
            <w:tcW w:w="929" w:type="dxa"/>
          </w:tcPr>
          <w:p>
            <w:pPr>
              <w:spacing w:line="240" w:lineRule="auto"/>
              <w:ind w:left="0" w:right="0"/>
              <w:jc w:val="both"/>
              <w:rPr>
                <w:rFonts w:hint="cs"/>
                <w:szCs w:val="20"/>
              </w:rPr>
            </w:pPr>
            <w:r>
              <w:rPr>
                <w:rFonts w:hint="cs"/>
                <w:szCs w:val="20"/>
                <w:rtl/>
              </w:rPr>
              <w:t>1,145</w:t>
            </w:r>
          </w:p>
        </w:tc>
        <w:tc>
          <w:tcPr>
            <w:tcW w:w="936" w:type="dxa"/>
          </w:tcPr>
          <w:p>
            <w:pPr>
              <w:spacing w:line="240" w:lineRule="auto"/>
              <w:ind w:left="0" w:right="0"/>
              <w:jc w:val="both"/>
              <w:rPr>
                <w:rFonts w:hint="cs"/>
                <w:szCs w:val="20"/>
              </w:rPr>
            </w:pPr>
            <w:r>
              <w:rPr>
                <w:rFonts w:hint="cs"/>
                <w:szCs w:val="20"/>
                <w:rtl/>
              </w:rPr>
              <w:t>3,013</w:t>
            </w:r>
          </w:p>
        </w:tc>
        <w:tc>
          <w:tcPr>
            <w:tcW w:w="940" w:type="dxa"/>
          </w:tcPr>
          <w:p>
            <w:pPr>
              <w:spacing w:line="240" w:lineRule="auto"/>
              <w:ind w:left="0" w:right="0"/>
              <w:jc w:val="both"/>
              <w:rPr>
                <w:rFonts w:hint="cs"/>
                <w:szCs w:val="20"/>
              </w:rPr>
            </w:pPr>
            <w:r>
              <w:rPr>
                <w:rFonts w:hint="cs"/>
                <w:szCs w:val="20"/>
                <w:rtl/>
              </w:rPr>
              <w:t>התש"ן</w:t>
            </w:r>
          </w:p>
        </w:tc>
      </w:tr>
      <w:tr>
        <w:tblPrEx>
          <w:tblW w:w="0" w:type="auto"/>
          <w:jc w:val="right"/>
          <w:tblInd w:w="0" w:type="dxa"/>
          <w:tblCellMar>
            <w:left w:w="108" w:type="dxa"/>
            <w:right w:w="108" w:type="dxa"/>
          </w:tblCellMar>
          <w:tblLook w:val="0000"/>
        </w:tblPrEx>
        <w:trPr>
          <w:jc w:val="right"/>
        </w:trPr>
        <w:tc>
          <w:tcPr>
            <w:tcW w:w="929" w:type="dxa"/>
          </w:tcPr>
          <w:p>
            <w:pPr>
              <w:spacing w:line="240" w:lineRule="auto"/>
              <w:ind w:left="0" w:right="0"/>
              <w:jc w:val="both"/>
              <w:rPr>
                <w:rFonts w:hint="cs"/>
                <w:szCs w:val="20"/>
              </w:rPr>
            </w:pPr>
            <w:r>
              <w:rPr>
                <w:rFonts w:hint="cs"/>
                <w:szCs w:val="20"/>
                <w:rtl/>
              </w:rPr>
              <w:t>5,897</w:t>
            </w:r>
          </w:p>
        </w:tc>
        <w:tc>
          <w:tcPr>
            <w:tcW w:w="932" w:type="dxa"/>
          </w:tcPr>
          <w:p>
            <w:pPr>
              <w:spacing w:line="240" w:lineRule="auto"/>
              <w:ind w:left="0" w:right="0"/>
              <w:jc w:val="both"/>
              <w:rPr>
                <w:rFonts w:hint="cs"/>
                <w:szCs w:val="20"/>
              </w:rPr>
            </w:pPr>
            <w:r>
              <w:rPr>
                <w:rFonts w:hint="cs"/>
                <w:szCs w:val="20"/>
                <w:rtl/>
              </w:rPr>
              <w:t>18,689</w:t>
            </w:r>
          </w:p>
        </w:tc>
        <w:tc>
          <w:tcPr>
            <w:tcW w:w="930" w:type="dxa"/>
          </w:tcPr>
          <w:p>
            <w:pPr>
              <w:spacing w:line="240" w:lineRule="auto"/>
              <w:ind w:left="0" w:right="0"/>
              <w:jc w:val="both"/>
              <w:rPr>
                <w:rFonts w:hint="cs"/>
                <w:szCs w:val="20"/>
              </w:rPr>
            </w:pPr>
            <w:r>
              <w:rPr>
                <w:rFonts w:hint="cs"/>
                <w:szCs w:val="20"/>
                <w:rtl/>
              </w:rPr>
              <w:t>1,418</w:t>
            </w:r>
          </w:p>
        </w:tc>
        <w:tc>
          <w:tcPr>
            <w:tcW w:w="980" w:type="dxa"/>
          </w:tcPr>
          <w:p>
            <w:pPr>
              <w:spacing w:line="240" w:lineRule="auto"/>
              <w:ind w:left="0" w:right="0"/>
              <w:jc w:val="both"/>
              <w:rPr>
                <w:rFonts w:hint="cs"/>
                <w:szCs w:val="20"/>
              </w:rPr>
            </w:pPr>
            <w:r>
              <w:rPr>
                <w:rFonts w:hint="cs"/>
                <w:szCs w:val="20"/>
                <w:rtl/>
              </w:rPr>
              <w:t>4,975</w:t>
            </w:r>
          </w:p>
        </w:tc>
        <w:tc>
          <w:tcPr>
            <w:tcW w:w="929" w:type="dxa"/>
          </w:tcPr>
          <w:p>
            <w:pPr>
              <w:spacing w:line="240" w:lineRule="auto"/>
              <w:ind w:left="0" w:right="0"/>
              <w:jc w:val="both"/>
              <w:rPr>
                <w:rFonts w:hint="cs"/>
                <w:szCs w:val="20"/>
              </w:rPr>
            </w:pPr>
            <w:r>
              <w:rPr>
                <w:rFonts w:hint="cs"/>
                <w:szCs w:val="20"/>
                <w:rtl/>
              </w:rPr>
              <w:t>3,352</w:t>
            </w:r>
          </w:p>
        </w:tc>
        <w:tc>
          <w:tcPr>
            <w:tcW w:w="931" w:type="dxa"/>
          </w:tcPr>
          <w:p>
            <w:pPr>
              <w:spacing w:line="240" w:lineRule="auto"/>
              <w:ind w:left="0" w:right="0"/>
              <w:jc w:val="both"/>
              <w:rPr>
                <w:rFonts w:hint="cs"/>
                <w:szCs w:val="20"/>
              </w:rPr>
            </w:pPr>
            <w:r>
              <w:rPr>
                <w:rFonts w:hint="cs"/>
                <w:szCs w:val="20"/>
                <w:rtl/>
              </w:rPr>
              <w:t>10,314</w:t>
            </w:r>
          </w:p>
        </w:tc>
        <w:tc>
          <w:tcPr>
            <w:tcW w:w="929" w:type="dxa"/>
          </w:tcPr>
          <w:p>
            <w:pPr>
              <w:spacing w:line="240" w:lineRule="auto"/>
              <w:ind w:left="0" w:right="0"/>
              <w:jc w:val="both"/>
              <w:rPr>
                <w:rFonts w:hint="cs"/>
                <w:szCs w:val="20"/>
              </w:rPr>
            </w:pPr>
            <w:r>
              <w:rPr>
                <w:rFonts w:hint="cs"/>
                <w:szCs w:val="20"/>
                <w:rtl/>
              </w:rPr>
              <w:t>1,127</w:t>
            </w:r>
          </w:p>
        </w:tc>
        <w:tc>
          <w:tcPr>
            <w:tcW w:w="936" w:type="dxa"/>
          </w:tcPr>
          <w:p>
            <w:pPr>
              <w:spacing w:line="240" w:lineRule="auto"/>
              <w:ind w:left="0" w:right="0"/>
              <w:jc w:val="both"/>
              <w:rPr>
                <w:rFonts w:hint="cs"/>
                <w:szCs w:val="20"/>
              </w:rPr>
            </w:pPr>
            <w:r>
              <w:rPr>
                <w:rFonts w:hint="cs"/>
                <w:szCs w:val="20"/>
                <w:rtl/>
              </w:rPr>
              <w:t>3,400</w:t>
            </w:r>
          </w:p>
        </w:tc>
        <w:tc>
          <w:tcPr>
            <w:tcW w:w="940" w:type="dxa"/>
          </w:tcPr>
          <w:p>
            <w:pPr>
              <w:spacing w:line="240" w:lineRule="auto"/>
              <w:ind w:left="0" w:right="0"/>
              <w:jc w:val="both"/>
              <w:rPr>
                <w:rFonts w:hint="cs"/>
                <w:szCs w:val="20"/>
              </w:rPr>
            </w:pPr>
            <w:r>
              <w:rPr>
                <w:rFonts w:hint="cs"/>
                <w:szCs w:val="20"/>
                <w:rtl/>
              </w:rPr>
              <w:t>התשנ"א</w:t>
            </w:r>
          </w:p>
        </w:tc>
      </w:tr>
    </w:tbl>
    <w:p>
      <w:pPr>
        <w:spacing w:line="240" w:lineRule="auto"/>
        <w:ind w:left="0" w:right="0"/>
        <w:jc w:val="both"/>
        <w:rPr>
          <w:rFonts w:hint="cs"/>
          <w:rtl/>
        </w:rPr>
      </w:pPr>
    </w:p>
    <w:p>
      <w:pPr>
        <w:spacing w:line="240" w:lineRule="auto"/>
        <w:ind w:left="0" w:right="0"/>
        <w:jc w:val="both"/>
        <w:rPr>
          <w:rFonts w:hint="cs"/>
          <w:rtl/>
        </w:rPr>
      </w:pPr>
      <w:r>
        <w:rPr>
          <w:rFonts w:hint="cs"/>
          <w:rtl/>
        </w:rPr>
        <w:t xml:space="preserve">השיעור הממוצע של ניצול הזכאות ליציאה לשנת שבתון בשמונה השנים הנסקרות היה הגבוה ביותר בקרן מו"ג </w:t>
      </w:r>
      <w:r>
        <w:rPr>
          <w:rtl/>
        </w:rPr>
        <w:t>-</w:t>
      </w:r>
      <w:r>
        <w:rPr>
          <w:rFonts w:hint="cs"/>
          <w:rtl/>
        </w:rPr>
        <w:t xml:space="preserve"> כ-43%, בקרן על יסודיים הוא הגיע לכ-39% ובקרן תיכוניים לכדי 34%. בשנת הלימודים התשנ"א היתה ירידה במספר היוצאים לשנת שבתון בכל קרנות ההשתלמות, בעוד מספר הזכאים לצאת לשנת שבתון המשיך לגדול; שיעור היוצאים לשנת שבתון, מבין הזכאים, בשנת הלימודים התש"ן היה בקרנות ההשתלמות (על יסודיים, מו"ג ותיכוניים) 38%, 39% ו-36%, בהתאמה; בשנת הלימודים התשנ"א ירדו שיעורים אלה ל-33%, 32% ו-29%, בהתאמה.</w:t>
      </w:r>
    </w:p>
    <w:p>
      <w:pPr>
        <w:spacing w:line="240" w:lineRule="auto"/>
        <w:ind w:left="0" w:right="0"/>
        <w:jc w:val="both"/>
        <w:rPr>
          <w:rFonts w:hint="cs"/>
          <w:rtl/>
        </w:rPr>
      </w:pPr>
    </w:p>
    <w:p>
      <w:pPr>
        <w:spacing w:line="240" w:lineRule="auto"/>
        <w:ind w:left="0" w:right="0"/>
        <w:jc w:val="both"/>
        <w:rPr>
          <w:rtl/>
        </w:rPr>
      </w:pPr>
      <w:r>
        <w:rPr>
          <w:rFonts w:hint="cs"/>
          <w:rtl/>
        </w:rPr>
        <w:t>2.</w:t>
        <w:tab/>
        <w:t>קרנות ההשתלמות לעובדי הוראה שונות באופיין מקרנות ההשתלמות שהממשלה הקימה על פי הסכמי עבודה עם איגודים מקצועיים אחרים (כגון: אקדמאים במדעי החברה והרוח, מהנדסים, עובדים בדירוג האחיד</w:t>
      </w:r>
      <w:r>
        <w:rPr>
          <w:rStyle w:val="FootnoteReference"/>
          <w:rtl/>
        </w:rPr>
        <w:footnoteReference w:id="6"/>
      </w:r>
      <w:r>
        <w:rPr>
          <w:rFonts w:hint="cs"/>
          <w:rtl/>
        </w:rPr>
        <w:t>).</w:t>
      </w:r>
    </w:p>
    <w:p>
      <w:pPr>
        <w:spacing w:line="240" w:lineRule="auto"/>
        <w:ind w:left="0" w:right="0"/>
        <w:jc w:val="both"/>
        <w:rPr>
          <w:rFonts w:hint="cs"/>
          <w:rtl/>
        </w:rPr>
      </w:pPr>
      <w:r>
        <w:rPr>
          <w:rtl/>
        </w:rPr>
        <w:br w:type="page"/>
      </w:r>
    </w:p>
    <w:p>
      <w:pPr>
        <w:spacing w:line="240" w:lineRule="auto"/>
        <w:ind w:left="0" w:right="0"/>
        <w:jc w:val="both"/>
        <w:rPr>
          <w:rFonts w:hint="cs"/>
          <w:rtl/>
        </w:rPr>
      </w:pPr>
      <w:r>
        <w:rPr>
          <w:rFonts w:hint="cs"/>
          <w:rtl/>
        </w:rPr>
        <w:t xml:space="preserve">בקרנות השתלמות אחרות רשאי העובד למשוך את הכספים שהצטברו בהן - מתשלומי המעסיק והעובד, לרבות הרווחים </w:t>
      </w:r>
      <w:r>
        <w:rPr>
          <w:rtl/>
        </w:rPr>
        <w:t>-</w:t>
      </w:r>
      <w:r>
        <w:rPr>
          <w:rFonts w:hint="cs"/>
          <w:rtl/>
        </w:rPr>
        <w:t xml:space="preserve"> למטרות השתלמות כעבור שלוש שנים, או כחיסכון </w:t>
      </w:r>
      <w:r>
        <w:rPr>
          <w:rtl/>
        </w:rPr>
        <w:t>-</w:t>
      </w:r>
      <w:r>
        <w:rPr>
          <w:rFonts w:hint="cs"/>
          <w:rtl/>
        </w:rPr>
        <w:t xml:space="preserve"> שאינו קשור להשתלמות </w:t>
      </w:r>
      <w:r>
        <w:rPr>
          <w:rtl/>
        </w:rPr>
        <w:t>-</w:t>
      </w:r>
      <w:r>
        <w:rPr>
          <w:rFonts w:hint="cs"/>
          <w:rtl/>
        </w:rPr>
        <w:t xml:space="preserve"> כעבור שש שנים. לעומת זאת, בקרנות ההשתלמות לעובדי הוראה מיועדים הכספים שהצטברו לצורך השתלמות בשנת שבתון, בתנאים שנקבעו בתכניות הקרנות, והסכומים המשולמים לעמית אינם משקפים את הסכומים שהצטברו בתקופת החיסכון מתשלומיו הוא, מתשלומי המעסיק ומרווחים (ריבית והפרשי הצמדה).</w:t>
      </w:r>
    </w:p>
    <w:p>
      <w:pPr>
        <w:spacing w:line="240" w:lineRule="auto"/>
        <w:ind w:left="0" w:right="0"/>
        <w:jc w:val="both"/>
        <w:rPr>
          <w:rFonts w:hint="cs"/>
          <w:rtl/>
        </w:rPr>
      </w:pPr>
    </w:p>
    <w:p>
      <w:pPr>
        <w:spacing w:line="240" w:lineRule="auto"/>
        <w:ind w:left="0" w:right="0"/>
        <w:jc w:val="both"/>
        <w:rPr>
          <w:rFonts w:hint="cs"/>
          <w:rtl/>
        </w:rPr>
      </w:pPr>
      <w:r>
        <w:rPr>
          <w:rFonts w:hint="cs"/>
          <w:rtl/>
        </w:rPr>
        <w:t>תשלומי קרנות ההשתלמות לעובדי הוראה לעמיתיהן בעבור שנת ההשתלמות מחושבים על פי המשכורת החודשית האחרונה ששולמה לעמית לפני יציאתו לשנת ההשתלמות (שבתון). תשלומים אלה מורכבים ממענק השתלמות בשיעור של 66.6% מהמשכורת האחרונה, משכר לימוד בגין ההשתלמות ומתשלומים נילווים; שכר הלימוד והתשלומים הנילווים יכולים להגיע יחד בחישוב חודשי לכדי 8%-12% מהמשכורת האחרונה. אם מוסיפים את עלות רכישת זכויות הפנסיה בגין שנת ההשתלמות, המגיעה אצל עובדי מדינה ל-18.5% מהמשכורת</w:t>
      </w:r>
      <w:r>
        <w:rPr>
          <w:rStyle w:val="FootnoteReference"/>
          <w:rtl/>
        </w:rPr>
        <w:footnoteReference w:id="7"/>
      </w:r>
      <w:r>
        <w:rPr>
          <w:rFonts w:hint="cs"/>
          <w:rtl/>
        </w:rPr>
        <w:t>, עשויים כלל התשלומים בגין ההשתלמות להגיע, לפי חישוב חודשי, ליותר מ-90% מהמשכורת האחרונה. לעומת זאת, תשלומי העמית והמעסיק בשיעור כולל של 12.6% מהמשכורת מצטברים במשך שש שנים ל-75.6% וזאת מהשכר השוטף באותן שנים. הואיל ובמהלך אותן שנים העמיתים עשויים לקבל תוספות שכר בגין הסכמי שכר, ותק</w:t>
      </w:r>
      <w:r>
        <w:rPr>
          <w:rStyle w:val="FootnoteReference"/>
          <w:rtl/>
        </w:rPr>
        <w:footnoteReference w:id="8"/>
      </w:r>
      <w:r>
        <w:rPr>
          <w:rFonts w:hint="cs"/>
          <w:rtl/>
        </w:rPr>
        <w:t xml:space="preserve"> וקידום אישי, אף יגדל הפער בין הסכום המתקבל בקרן בגין העמית לבין הסכום שיהיה עליה לשלם בשנת השבתון. הרווחים שהקרן משיגה מהשקעת הכספים הנצברים במשך שנות החיסכון מצמצמים את הפער, במידה התלויה בגובה התשואה. בקרנות אמנם קיים תזרים מזומנים חיובי, אולם בעיקר בגלל שיעור הניצול הנמוך של הזכויות.</w:t>
      </w:r>
    </w:p>
    <w:p>
      <w:pPr>
        <w:spacing w:line="240" w:lineRule="auto"/>
        <w:ind w:left="0" w:right="0"/>
        <w:jc w:val="both"/>
        <w:rPr>
          <w:rFonts w:hint="cs"/>
          <w:rtl/>
        </w:rPr>
      </w:pPr>
    </w:p>
    <w:p>
      <w:pPr>
        <w:spacing w:line="240" w:lineRule="auto"/>
        <w:ind w:left="0" w:right="0"/>
        <w:jc w:val="both"/>
        <w:rPr>
          <w:rtl/>
        </w:rPr>
      </w:pPr>
      <w:r>
        <w:rPr>
          <w:rFonts w:hint="cs"/>
          <w:rtl/>
        </w:rPr>
        <w:t xml:space="preserve">כבר בשנת 1975 בדק אקטואר, אם בקרנות מו"ג ותיכוניים, הפרשות העמיתים והמעסיקים מכסות את ההתחייבויות לעמיתים; האקטואר קבע, בהנחה שנכסי הקרנות נושאים תשואה בשיעור של 5% נטו </w:t>
      </w:r>
      <w:r>
        <w:rPr>
          <w:rtl/>
        </w:rPr>
        <w:t>-</w:t>
      </w:r>
      <w:r>
        <w:rPr>
          <w:rFonts w:hint="cs"/>
          <w:rtl/>
        </w:rPr>
        <w:t xml:space="preserve"> לאחר הפחתת הוצאות ניהול ואחרות </w:t>
      </w:r>
      <w:r>
        <w:rPr>
          <w:rtl/>
        </w:rPr>
        <w:t>-</w:t>
      </w:r>
      <w:r>
        <w:rPr>
          <w:rFonts w:hint="cs"/>
          <w:rtl/>
        </w:rPr>
        <w:t xml:space="preserve"> שאין להן כיסוי מלא וכי יש להגדיל את ההפרשות לשיעור של 14.7% מהמשכורת.</w:t>
      </w:r>
    </w:p>
    <w:p>
      <w:pPr>
        <w:spacing w:line="240" w:lineRule="auto"/>
        <w:ind w:left="0" w:right="0"/>
        <w:jc w:val="both"/>
        <w:rPr>
          <w:rFonts w:hint="cs"/>
          <w:rtl/>
        </w:rPr>
      </w:pPr>
      <w:r>
        <w:rPr>
          <w:rtl/>
        </w:rPr>
        <w:br w:type="page"/>
      </w:r>
    </w:p>
    <w:p>
      <w:pPr>
        <w:spacing w:line="240" w:lineRule="auto"/>
        <w:ind w:left="0" w:right="0"/>
        <w:jc w:val="both"/>
        <w:rPr>
          <w:rFonts w:hint="cs"/>
          <w:rtl/>
        </w:rPr>
      </w:pPr>
      <w:r>
        <w:rPr>
          <w:rFonts w:hint="cs"/>
          <w:rtl/>
        </w:rPr>
        <w:t xml:space="preserve">בדיקה חוזרת שעשה אותו אקטואר בשנת 1982, בהנחה ששיעור התשואה נטו הוא 4%, העלתה, ששיעור ההפרשה הדרוש לאיזון בקרן מו"ג הוא 19.8% ובקרן תיכוניים </w:t>
      </w:r>
      <w:r>
        <w:rPr>
          <w:rtl/>
        </w:rPr>
        <w:t>-</w:t>
      </w:r>
      <w:r>
        <w:rPr>
          <w:rFonts w:hint="cs"/>
          <w:rtl/>
        </w:rPr>
        <w:t xml:space="preserve"> 21.7%.</w:t>
      </w:r>
    </w:p>
    <w:p>
      <w:pPr>
        <w:spacing w:line="240" w:lineRule="auto"/>
        <w:ind w:left="0" w:right="0"/>
        <w:jc w:val="both"/>
        <w:rPr>
          <w:rFonts w:hint="cs"/>
          <w:rtl/>
        </w:rPr>
      </w:pPr>
    </w:p>
    <w:p>
      <w:pPr>
        <w:spacing w:line="240" w:lineRule="auto"/>
        <w:ind w:left="0" w:right="0"/>
        <w:jc w:val="both"/>
        <w:rPr>
          <w:rFonts w:hint="cs"/>
          <w:rtl/>
        </w:rPr>
      </w:pPr>
      <w:r>
        <w:rPr>
          <w:rFonts w:hint="cs"/>
          <w:rtl/>
        </w:rPr>
        <w:t>בסוף שנת 1990 ערך אקטואר לקרן מו"ג ולקרן תיכוניים במשותף מאזן אקטוארי ודוח תחזית זרמי כספים ליום 31.8.90. לפי מסמך זה, בשתי הקרנות יחד קיים גירעון אקטוארי בשיעור 5.8% לעומת ההתחייבויות, וזאת בהנחה ששיעור התשואה נטו על ההשקעות של הקרנות הוא 2%</w:t>
      </w:r>
      <w:r>
        <w:rPr>
          <w:rStyle w:val="FootnoteReference"/>
          <w:rtl/>
        </w:rPr>
        <w:footnoteReference w:id="9"/>
      </w:r>
      <w:r>
        <w:rPr>
          <w:rFonts w:hint="cs"/>
          <w:rtl/>
        </w:rPr>
        <w:t>; האקטואר לא חישב את שיעור ההפרשה הדרוש לאיזון הקרנות.</w:t>
      </w:r>
    </w:p>
    <w:p>
      <w:pPr>
        <w:spacing w:line="240" w:lineRule="auto"/>
        <w:ind w:left="0" w:right="0"/>
        <w:jc w:val="both"/>
        <w:rPr>
          <w:rFonts w:hint="cs"/>
          <w:rtl/>
        </w:rPr>
      </w:pPr>
    </w:p>
    <w:p>
      <w:pPr>
        <w:spacing w:line="240" w:lineRule="auto"/>
        <w:ind w:left="0" w:right="0"/>
        <w:jc w:val="both"/>
        <w:rPr>
          <w:rFonts w:hint="cs"/>
          <w:rtl/>
        </w:rPr>
      </w:pPr>
      <w:r>
        <w:rPr>
          <w:rFonts w:hint="cs"/>
          <w:rtl/>
        </w:rPr>
        <w:t>בדיקה שעשה באותה תקופה אקטואר אחר בעניין קרן על יסודיים, לפי הנחות דומות, העלתה, שהגירעון האקטוארי מגיע ל-17.3% מההתחייבויות; שיעור ההפרשה מהמשכורת הדרוש לאיזון הקרן נאמד ב-19.5%.</w:t>
      </w:r>
    </w:p>
    <w:p>
      <w:pPr>
        <w:spacing w:line="240" w:lineRule="auto"/>
        <w:ind w:left="0" w:right="0"/>
        <w:jc w:val="both"/>
        <w:rPr>
          <w:rtl/>
        </w:rPr>
      </w:pPr>
    </w:p>
    <w:p>
      <w:pPr>
        <w:spacing w:line="240" w:lineRule="auto"/>
        <w:ind w:left="0" w:right="0"/>
        <w:jc w:val="both"/>
        <w:rPr>
          <w:rFonts w:hint="cs"/>
          <w:rtl/>
        </w:rPr>
      </w:pPr>
      <w:r>
        <w:rPr>
          <w:rFonts w:hint="cs"/>
          <w:rtl/>
        </w:rPr>
        <w:t>סגן הממונה על האגף לתכנון ולתקצוב של משרד החינוך והתרבות (להלן המשרד) התריע עוד בשנת 1984 על הגירעון האקטוארי ההולך ומחמיר; לדעתו, רק הגידול במספר העמיתים ואי ניצול הזכות לצאת לשנת השתלמות מצד מספר הולך וגדל של עמיתים מנעו את החרפת המצב. במאי 1989 הוא חזר והתריע, על ערעור מצב הקרנות הנובע גם מההאטה במספר המצטרפים. היו"ר הודיע בישיבת הדירקטוריונים באותו מועד, כי המשרד מעוניין להוציא להשתלמות (משתי הקרנות) כ-6,000 זכאים מדי שנה בשנה וידאג שהמספר לא יהיה גדול מזה.</w:t>
      </w:r>
    </w:p>
    <w:p>
      <w:pPr>
        <w:spacing w:line="240" w:lineRule="auto"/>
        <w:ind w:left="0" w:right="0"/>
        <w:jc w:val="both"/>
        <w:rPr>
          <w:rFonts w:hint="cs"/>
          <w:rtl/>
        </w:rPr>
      </w:pPr>
    </w:p>
    <w:p>
      <w:pPr>
        <w:spacing w:line="240" w:lineRule="auto"/>
        <w:ind w:left="0" w:right="0"/>
        <w:jc w:val="both"/>
        <w:rPr>
          <w:rFonts w:hint="cs"/>
          <w:rtl/>
        </w:rPr>
      </w:pPr>
      <w:r>
        <w:rPr>
          <w:rFonts w:hint="cs"/>
          <w:rtl/>
        </w:rPr>
        <w:t>3.</w:t>
        <w:tab/>
        <w:t>כדי להקל על המצב האקטוארי נקטו הקרנות צעדים, המתוארים להלן, לשם צמצום ההוצאה השוטפת.</w:t>
      </w:r>
    </w:p>
    <w:p>
      <w:pPr>
        <w:spacing w:line="240" w:lineRule="auto"/>
        <w:ind w:left="0" w:right="0"/>
        <w:jc w:val="both"/>
        <w:rPr>
          <w:rFonts w:hint="cs"/>
          <w:rtl/>
        </w:rPr>
      </w:pPr>
    </w:p>
    <w:p>
      <w:pPr>
        <w:spacing w:line="240" w:lineRule="auto"/>
        <w:ind w:left="0" w:right="0"/>
        <w:jc w:val="both"/>
        <w:rPr>
          <w:rtl/>
        </w:rPr>
      </w:pPr>
      <w:r>
        <w:rPr>
          <w:rFonts w:hint="cs"/>
          <w:rtl/>
        </w:rPr>
        <w:t>א.</w:t>
        <w:tab/>
        <w:t>שלוש הקרנות אינן מעבירות באופן שוטף את הסכומים הדרושים (18.5% מהשכר) לשם רכישת זכויות פנסיה מהמדינה בעבור שנת ההשתלמות של העמיתים הזכאים לפנסיה תקציבית מהמדינה</w:t>
      </w:r>
      <w:r>
        <w:rPr>
          <w:rStyle w:val="FootnoteReference"/>
          <w:rtl/>
        </w:rPr>
        <w:footnoteReference w:id="10"/>
      </w:r>
      <w:r>
        <w:rPr>
          <w:rFonts w:hint="cs"/>
          <w:rtl/>
        </w:rPr>
        <w:t>. רק בסמוך למועד הפרישה של העמית הן שילמו את המגיע בעד שנות ההשתלמות להשלמת שיעור הגמלה.</w:t>
      </w:r>
    </w:p>
    <w:p>
      <w:pPr>
        <w:spacing w:line="240" w:lineRule="auto"/>
        <w:ind w:left="0" w:right="0"/>
        <w:jc w:val="both"/>
        <w:rPr>
          <w:rFonts w:hint="cs"/>
          <w:rtl/>
        </w:rPr>
      </w:pPr>
      <w:r>
        <w:rPr>
          <w:rtl/>
        </w:rPr>
        <w:br w:type="page"/>
      </w:r>
    </w:p>
    <w:p>
      <w:pPr>
        <w:spacing w:line="240" w:lineRule="auto"/>
        <w:ind w:left="0" w:right="0"/>
        <w:jc w:val="both"/>
        <w:rPr>
          <w:rFonts w:hint="cs"/>
          <w:rtl/>
        </w:rPr>
      </w:pPr>
      <w:r>
        <w:rPr>
          <w:rFonts w:hint="cs"/>
          <w:rtl/>
        </w:rPr>
        <w:t>בדיקה שערך משרד מבקר המדינה העלתה: בשנת 1986/87 שילמו קרנות מו"ג ותיכוניים סמוך למועד הפרישה 900,000 ש"ח בקירוב להשלמת גמלה, לעומת 9.5 מיליון ש"ח, שהיה עליהן לשלם באותה שנה, לפי חישובי משרד מבקר המדינה, כהפרשה שוטפת להבטחת זכויות פנסיה למשתלמים באותה שנה. בשנת 1987/88 שילמו שתי הקרנות בגין השלמת גמלה כ-1.4 מיליון ש"ח, לעומת כ-13 מיליון ש"ח, שעל פי חישובי משרד מבקר המדינה היה עליהן לשלם כהפרשה שוטפת בעבור המשתלמים באותה שנה.</w:t>
      </w:r>
    </w:p>
    <w:p>
      <w:pPr>
        <w:spacing w:line="240" w:lineRule="auto"/>
        <w:ind w:left="0" w:right="0"/>
        <w:jc w:val="both"/>
        <w:rPr>
          <w:rFonts w:hint="cs"/>
          <w:rtl/>
        </w:rPr>
      </w:pPr>
    </w:p>
    <w:p>
      <w:pPr>
        <w:spacing w:line="240" w:lineRule="auto"/>
        <w:ind w:left="0" w:right="0"/>
        <w:jc w:val="both"/>
        <w:rPr>
          <w:rFonts w:hint="cs"/>
          <w:rtl/>
        </w:rPr>
      </w:pPr>
      <w:r>
        <w:rPr>
          <w:rFonts w:hint="cs"/>
          <w:rtl/>
        </w:rPr>
        <w:t>בעקבות הביקורת כינס סמנכ"ל לכלכלה ותקציבים שבמשרד החינוך והתרבות, באפריל 1990, ישיבה בהשתתפות סגן חשב המשרד ונציגי אגף התקציבים והחשב הכללי במשרד האוצר, ובה הוחלט, כי האוצר יממן את רכישת זכויות הפנסיה בעבור עובדי הוראה בשנת השתלמות, הזכאים לפנסיה תקציבית מן המדינה.</w:t>
      </w:r>
    </w:p>
    <w:p>
      <w:pPr>
        <w:spacing w:line="240" w:lineRule="auto"/>
        <w:ind w:left="0" w:right="0"/>
        <w:jc w:val="both"/>
        <w:rPr>
          <w:rFonts w:hint="cs"/>
          <w:rtl/>
        </w:rPr>
      </w:pPr>
    </w:p>
    <w:p>
      <w:pPr>
        <w:spacing w:line="240" w:lineRule="auto"/>
        <w:ind w:left="0" w:right="0"/>
        <w:jc w:val="both"/>
        <w:rPr>
          <w:rFonts w:hint="cs"/>
          <w:rtl/>
        </w:rPr>
      </w:pPr>
      <w:r>
        <w:rPr>
          <w:rFonts w:hint="cs"/>
          <w:rtl/>
        </w:rPr>
        <w:t>לדעת מבקר המדינה, ויתור האוצר על תקבולים בגין רכישת זכויות פנסיה הוא בגדר סבסוד סמוי של הקרנות על ידי הממשלה, ובהתחשב בסכומים שבהם מדובר, מן הראוי שהחלטה עקרונית בעניין זה תתקבל במשרד האוצר בדרג המוסמך לכך וכי הסכומים שהמדינה מוותרת עליהם יירשמו כהוצאה בתקציב הרגיל של משרד החינוך והתרבות.</w:t>
      </w:r>
    </w:p>
    <w:p>
      <w:pPr>
        <w:spacing w:line="240" w:lineRule="auto"/>
        <w:ind w:left="0" w:right="0"/>
        <w:jc w:val="both"/>
        <w:rPr>
          <w:rFonts w:hint="cs"/>
          <w:rtl/>
        </w:rPr>
      </w:pPr>
    </w:p>
    <w:p>
      <w:pPr>
        <w:spacing w:line="240" w:lineRule="auto"/>
        <w:ind w:left="360" w:right="0" w:hanging="360"/>
        <w:jc w:val="both"/>
        <w:rPr>
          <w:rFonts w:hint="cs"/>
          <w:rtl/>
        </w:rPr>
      </w:pPr>
      <w:r>
        <w:rPr>
          <w:rFonts w:hint="cs"/>
          <w:rtl/>
        </w:rPr>
        <w:t>ב.</w:t>
        <w:tab/>
        <w:t>בעניין החזר כספים לעמיתים הפורשים מהקרן, קובעות התקנות בשלוש הקרנות כדלקמן:</w:t>
      </w:r>
    </w:p>
    <w:p>
      <w:pPr>
        <w:spacing w:line="240" w:lineRule="auto"/>
        <w:ind w:left="0" w:right="0"/>
        <w:jc w:val="both"/>
        <w:rPr>
          <w:rFonts w:hint="cs"/>
          <w:rtl/>
        </w:rPr>
      </w:pPr>
    </w:p>
    <w:p>
      <w:pPr>
        <w:numPr>
          <w:ilvl w:val="0"/>
          <w:numId w:val="14"/>
        </w:numPr>
        <w:spacing w:line="240" w:lineRule="auto"/>
        <w:ind w:left="855" w:right="0"/>
        <w:jc w:val="both"/>
        <w:rPr>
          <w:rFonts w:hint="cs"/>
          <w:rtl/>
        </w:rPr>
      </w:pPr>
      <w:r>
        <w:rPr>
          <w:rFonts w:hint="cs"/>
          <w:rtl/>
        </w:rPr>
        <w:t>עמית שיצא לגמלאות, יקבל את תשלומיו ואת מלוא תשלומי המעסיק לקרן; אם נפטר העמית, יקבלו שאיריו את הסכומים הללו.</w:t>
      </w:r>
    </w:p>
    <w:p>
      <w:pPr>
        <w:numPr>
          <w:ilvl w:val="0"/>
          <w:numId w:val="14"/>
        </w:numPr>
        <w:spacing w:line="240" w:lineRule="auto"/>
        <w:ind w:left="855" w:right="0"/>
        <w:jc w:val="both"/>
        <w:rPr>
          <w:rFonts w:hint="cs"/>
        </w:rPr>
      </w:pPr>
      <w:r>
        <w:rPr>
          <w:rFonts w:hint="cs"/>
          <w:rtl/>
        </w:rPr>
        <w:t>עמית שהשלים תקופת חיסכון ומלאו לו 59 שנים או פוטר מעבודתו יוכל לקבל את תשלומיו וכן 89% מתשלומי המעסיק.</w:t>
      </w:r>
    </w:p>
    <w:p>
      <w:pPr>
        <w:numPr>
          <w:ilvl w:val="0"/>
          <w:numId w:val="14"/>
        </w:numPr>
        <w:spacing w:line="240" w:lineRule="auto"/>
        <w:ind w:left="855" w:right="0"/>
        <w:jc w:val="both"/>
        <w:rPr>
          <w:rFonts w:hint="cs"/>
        </w:rPr>
      </w:pPr>
      <w:r>
        <w:rPr>
          <w:rFonts w:hint="cs"/>
          <w:rtl/>
        </w:rPr>
        <w:t>עמית שפרש מן הקרן מסיבות אחרות, יקבל רק את תשלומיו לקרן.</w:t>
      </w:r>
    </w:p>
    <w:p>
      <w:pPr>
        <w:spacing w:line="240" w:lineRule="auto"/>
        <w:ind w:left="0" w:right="0"/>
        <w:jc w:val="both"/>
        <w:rPr>
          <w:rFonts w:hint="cs"/>
          <w:rtl/>
        </w:rPr>
      </w:pPr>
    </w:p>
    <w:p>
      <w:pPr>
        <w:spacing w:line="240" w:lineRule="auto"/>
        <w:ind w:left="0" w:right="0"/>
        <w:jc w:val="both"/>
        <w:rPr>
          <w:rFonts w:hint="cs"/>
          <w:rtl/>
        </w:rPr>
      </w:pPr>
      <w:r>
        <w:rPr>
          <w:rFonts w:hint="cs"/>
          <w:rtl/>
        </w:rPr>
        <w:t>הקרנות נימקו את הקטנת ההחזר של כספי המעסיק ב-11% בכך שבשיעור זה עולה השתתפות המעסיק בקרנות ההשתלמות של עובדי הוראה (8.4% מהשכר) על השתתפות המעסיק בקרנות השתלמות אחרות (7.5% מהשכר).</w:t>
      </w:r>
    </w:p>
    <w:p>
      <w:pPr>
        <w:spacing w:line="240" w:lineRule="auto"/>
        <w:ind w:left="0" w:right="0"/>
        <w:jc w:val="both"/>
        <w:rPr>
          <w:rFonts w:hint="cs"/>
          <w:rtl/>
        </w:rPr>
      </w:pPr>
    </w:p>
    <w:p>
      <w:pPr>
        <w:spacing w:line="240" w:lineRule="auto"/>
        <w:ind w:left="0" w:right="0"/>
        <w:jc w:val="both"/>
        <w:rPr>
          <w:rtl/>
        </w:rPr>
      </w:pPr>
      <w:r>
        <w:rPr>
          <w:rFonts w:hint="cs"/>
          <w:rtl/>
        </w:rPr>
        <w:t>מהתשלומים לפורשים מנכות הקרנות 3% "דמי ניהול". משרד מבקר המדינה העיר להנהלות של הקרנות על הצורך לשקול האם יש הצדקה לנכות דמי ניהול</w:t>
      </w:r>
    </w:p>
    <w:p>
      <w:pPr>
        <w:spacing w:line="240" w:lineRule="auto"/>
        <w:ind w:left="0" w:right="0"/>
        <w:jc w:val="both"/>
        <w:rPr>
          <w:rFonts w:hint="cs"/>
          <w:rtl/>
        </w:rPr>
      </w:pPr>
      <w:r>
        <w:rPr>
          <w:rtl/>
        </w:rPr>
        <w:br w:type="page"/>
      </w:r>
    </w:p>
    <w:p>
      <w:pPr>
        <w:spacing w:line="240" w:lineRule="auto"/>
        <w:ind w:left="0" w:right="0"/>
        <w:jc w:val="both"/>
        <w:rPr>
          <w:rFonts w:hint="cs"/>
          <w:rtl/>
        </w:rPr>
      </w:pPr>
      <w:r>
        <w:rPr>
          <w:rFonts w:hint="cs"/>
          <w:rtl/>
        </w:rPr>
        <w:t>בשיעור האמור</w:t>
      </w:r>
      <w:r>
        <w:rPr>
          <w:rStyle w:val="FootnoteReference"/>
          <w:rtl/>
        </w:rPr>
        <w:footnoteReference w:id="11"/>
      </w:r>
      <w:r>
        <w:rPr>
          <w:rFonts w:hint="cs"/>
          <w:rtl/>
        </w:rPr>
        <w:t>, בייחוד מעמיתים שאינם מקבלים כלל את הסכומים שהמעסיקים העבירו בגינם לקרנות, או אינם מקבלים את מלוא הסכומים.</w:t>
      </w:r>
    </w:p>
    <w:p>
      <w:pPr>
        <w:spacing w:line="240" w:lineRule="auto"/>
        <w:ind w:left="0" w:right="0"/>
        <w:jc w:val="both"/>
        <w:rPr>
          <w:rFonts w:hint="cs"/>
          <w:rtl/>
        </w:rPr>
      </w:pPr>
    </w:p>
    <w:p>
      <w:pPr>
        <w:spacing w:line="240" w:lineRule="auto"/>
        <w:ind w:left="0" w:right="0"/>
        <w:jc w:val="both"/>
        <w:rPr>
          <w:rFonts w:hint="cs"/>
          <w:rtl/>
        </w:rPr>
      </w:pPr>
      <w:r>
        <w:rPr>
          <w:rFonts w:hint="cs"/>
          <w:rtl/>
        </w:rPr>
        <w:t>עד שנת 1987 שולמה לפורשים ריבית בשיעור של 4% לשנה כנקוב בתקנות, ובלא הצמדה, דבר שהיה בשנות האינפלציה הדוהרת בגדר פגיעה של ממש בזכויות העמית הפורש. החל ביולי 1987 משולמת הריבית באותו שיעור, אולם בתוספת הפרשי הצמדה למדד המחירים לצרכן. משרד מבקר המדינה העיר לקרנות על הצורך לשקול האם יש הצדקה לכך שבתקנות נקוב שיעור ריבית קבוע בשעה שחלים שינויים מתמידים בשיעורי התשואה על השקעות הקרנות.</w:t>
      </w:r>
    </w:p>
    <w:p>
      <w:pPr>
        <w:spacing w:line="240" w:lineRule="auto"/>
        <w:ind w:left="0" w:right="0"/>
        <w:jc w:val="both"/>
        <w:rPr>
          <w:rFonts w:hint="cs"/>
          <w:rtl/>
        </w:rPr>
      </w:pPr>
    </w:p>
    <w:p>
      <w:pPr>
        <w:spacing w:line="240" w:lineRule="auto"/>
        <w:ind w:left="0" w:right="0"/>
        <w:jc w:val="both"/>
        <w:rPr>
          <w:rFonts w:hint="cs"/>
          <w:rtl/>
        </w:rPr>
      </w:pPr>
      <w:r>
        <w:rPr>
          <w:rFonts w:hint="cs"/>
          <w:rtl/>
        </w:rPr>
        <w:t>ב-11.7.89 הודיע סגן מנהל האגף לתכנון ולתקצוב במשרד החינוך והתרבות למנהל העסקים של קרנות מו"ג ותיכוניים: "בהתחשב במצב האקטוארי הקשה של הקרנות הוחלט בשנים קודמות, בהסכמת המשרד והאוצר, שחלק המעביד יושאר בקרן אך ורק במקרים חריגים, כדלקמן:</w:t>
      </w:r>
    </w:p>
    <w:p>
      <w:pPr>
        <w:numPr>
          <w:ilvl w:val="0"/>
          <w:numId w:val="15"/>
        </w:numPr>
        <w:spacing w:line="240" w:lineRule="auto"/>
        <w:ind w:left="720" w:right="0"/>
        <w:jc w:val="both"/>
        <w:rPr>
          <w:rFonts w:hint="cs"/>
          <w:rtl/>
        </w:rPr>
      </w:pPr>
      <w:r>
        <w:rPr>
          <w:rFonts w:hint="cs"/>
          <w:rtl/>
        </w:rPr>
        <w:t>כאשר החבר לא מממש את זכאותו ליציאה לשבתון בתום שש שנות חיסכון אלא מקבל את חסכונותיו (חלק העובד) ו-89% מחלק המעביד; במקרה זה 11% מחלקו של המעביד יושאר בקרן.</w:t>
      </w:r>
    </w:p>
    <w:p>
      <w:pPr>
        <w:numPr>
          <w:ilvl w:val="0"/>
          <w:numId w:val="15"/>
        </w:numPr>
        <w:spacing w:line="240" w:lineRule="auto"/>
        <w:ind w:left="720" w:right="0"/>
        <w:jc w:val="both"/>
        <w:rPr>
          <w:rFonts w:hint="cs"/>
        </w:rPr>
      </w:pPr>
      <w:r>
        <w:rPr>
          <w:rFonts w:hint="cs"/>
          <w:rtl/>
        </w:rPr>
        <w:t>כאשר החבר פורש בטרם השלים תקופת חיסכון, הקרן תשלם לו את הסכום שהצטבר בגין חלק העובד ואילו חלק המעביד יושאר בקרן.</w:t>
      </w:r>
    </w:p>
    <w:p>
      <w:pPr>
        <w:spacing w:line="240" w:lineRule="auto"/>
        <w:ind w:left="720" w:right="0"/>
        <w:jc w:val="both"/>
        <w:rPr>
          <w:rFonts w:hint="cs"/>
          <w:rtl/>
        </w:rPr>
      </w:pPr>
      <w:r>
        <w:rPr>
          <w:rFonts w:hint="cs"/>
          <w:rtl/>
        </w:rPr>
        <w:t>בכל יתר המקרים של פרישות יש להחזיר למשרד החינוך והתרבות את הכספים ששילם".</w:t>
      </w:r>
    </w:p>
    <w:p>
      <w:pPr>
        <w:spacing w:line="240" w:lineRule="auto"/>
        <w:ind w:left="360" w:right="0"/>
        <w:jc w:val="both"/>
        <w:rPr>
          <w:rFonts w:hint="cs"/>
          <w:rtl/>
        </w:rPr>
      </w:pPr>
    </w:p>
    <w:p>
      <w:pPr>
        <w:spacing w:line="240" w:lineRule="auto"/>
        <w:ind w:left="0" w:right="0"/>
        <w:jc w:val="both"/>
        <w:rPr>
          <w:rFonts w:hint="cs"/>
          <w:rtl/>
        </w:rPr>
      </w:pPr>
      <w:r>
        <w:rPr>
          <w:rFonts w:hint="cs"/>
          <w:rtl/>
        </w:rPr>
        <w:t xml:space="preserve">הביקורת העלתה, שלפי הנחיות אלה אין למעשה מקרים שבהם יש להחזיר כספים למשרד בגין פורשים מהקרן. תקנות הקרנות קובעות בעניין זה כדלקמן: "הפסיק עובד הוראה את חברותו בקרן </w:t>
      </w:r>
      <w:r>
        <w:rPr>
          <w:rtl/>
        </w:rPr>
        <w:t>-</w:t>
      </w:r>
      <w:r>
        <w:rPr>
          <w:rFonts w:hint="cs"/>
          <w:rtl/>
        </w:rPr>
        <w:t xml:space="preserve"> לא יוחזרו למעסיק התשלומים ששילם לקרן, אלא אם יוחלט אחרת".</w:t>
      </w:r>
    </w:p>
    <w:p>
      <w:pPr>
        <w:spacing w:line="240" w:lineRule="auto"/>
        <w:ind w:left="360" w:right="0"/>
        <w:jc w:val="both"/>
        <w:rPr>
          <w:rFonts w:hint="cs"/>
          <w:rtl/>
        </w:rPr>
      </w:pPr>
    </w:p>
    <w:p>
      <w:pPr>
        <w:spacing w:line="240" w:lineRule="auto"/>
        <w:ind w:left="0" w:right="0"/>
        <w:jc w:val="both"/>
        <w:rPr>
          <w:rtl/>
        </w:rPr>
      </w:pPr>
      <w:r>
        <w:rPr>
          <w:rFonts w:hint="cs"/>
          <w:rtl/>
        </w:rPr>
        <w:t>בשנת 1988/89 פרשו מקרנות מו"ג ותיכוניים 1,141 עמיתים ובשנת 1989/90 פרשו 1,550 עמיתים ושולם להם סך של 9.9 מיליון ש"ח וסך של 19.5 מיליון ש"ח, בהתאמה. בהתאם להסדרים המתוארים לעיל, נשארו בידי הקרנות לפי חישובי משרד מבקר המדינה, כ-1.1 מיליון ש"ח ב-1988/89 וכ-1.9 מיליון ש"ח ב-1989/90, שמקורם בכספי המעסיק, וכן דמי ניהול בסך 0.3 מיליון ש"ח ו-0.6 מיליון ש"ח, בהתאמה.</w:t>
      </w:r>
    </w:p>
    <w:p>
      <w:pPr>
        <w:spacing w:line="240" w:lineRule="auto"/>
        <w:ind w:left="0" w:right="0"/>
        <w:jc w:val="both"/>
        <w:rPr>
          <w:rFonts w:hint="cs"/>
          <w:rtl/>
        </w:rPr>
      </w:pPr>
      <w:r>
        <w:rPr>
          <w:rtl/>
        </w:rPr>
        <w:br w:type="page"/>
      </w:r>
    </w:p>
    <w:p>
      <w:pPr>
        <w:pStyle w:val="2"/>
        <w:ind w:left="0" w:right="0"/>
        <w:jc w:val="center"/>
        <w:rPr>
          <w:rFonts w:hint="cs"/>
          <w:rtl/>
        </w:rPr>
      </w:pPr>
      <w:r>
        <w:rPr>
          <w:rFonts w:hint="cs"/>
          <w:rtl/>
        </w:rPr>
        <w:t>חישוב ההפרשות והעברתן לקרנות</w:t>
      </w:r>
    </w:p>
    <w:p>
      <w:pPr>
        <w:spacing w:line="240" w:lineRule="auto"/>
        <w:ind w:left="0" w:right="0"/>
        <w:jc w:val="both"/>
        <w:rPr>
          <w:rFonts w:hint="cs"/>
          <w:rtl/>
        </w:rPr>
      </w:pPr>
      <w:r>
        <w:rPr>
          <w:rFonts w:hint="cs"/>
          <w:rtl/>
        </w:rPr>
        <w:t xml:space="preserve">שכרם של עובדי ההוראה נקבע בהסכמי עבודה שבין ארגוני המורים לבין המעסיקים ובראשם המעסיק הגדול ביותר </w:t>
      </w:r>
      <w:r>
        <w:rPr>
          <w:rtl/>
        </w:rPr>
        <w:t>-</w:t>
      </w:r>
      <w:r>
        <w:rPr>
          <w:rFonts w:hint="cs"/>
          <w:rtl/>
        </w:rPr>
        <w:t xml:space="preserve"> משרד החינוך והתרבות (להלן </w:t>
      </w:r>
      <w:r>
        <w:rPr>
          <w:rtl/>
        </w:rPr>
        <w:t>-</w:t>
      </w:r>
      <w:r>
        <w:rPr>
          <w:rFonts w:hint="cs"/>
          <w:rtl/>
        </w:rPr>
        <w:t xml:space="preserve"> המשרד). השכר מבוסס על דרגה, ותק, תפקיד, שיעור המשרה ותוספות שונות המכונות "גמולים".</w:t>
      </w:r>
    </w:p>
    <w:p>
      <w:pPr>
        <w:spacing w:line="240" w:lineRule="auto"/>
        <w:ind w:left="0" w:right="0"/>
        <w:jc w:val="both"/>
        <w:rPr>
          <w:rFonts w:hint="cs"/>
          <w:rtl/>
        </w:rPr>
      </w:pPr>
    </w:p>
    <w:p>
      <w:pPr>
        <w:spacing w:line="240" w:lineRule="auto"/>
        <w:ind w:left="0" w:right="0"/>
        <w:jc w:val="both"/>
        <w:rPr>
          <w:rFonts w:hint="cs"/>
          <w:rtl/>
        </w:rPr>
      </w:pPr>
      <w:r>
        <w:rPr>
          <w:rFonts w:hint="cs"/>
          <w:rtl/>
        </w:rPr>
        <w:t>תשלומי העמיתים מחושבים ומועברים לקרנות באחת משתי הדרכים האלה:</w:t>
      </w:r>
    </w:p>
    <w:p>
      <w:pPr>
        <w:spacing w:line="240" w:lineRule="auto"/>
        <w:ind w:left="0" w:right="0"/>
        <w:jc w:val="both"/>
        <w:rPr>
          <w:rFonts w:hint="cs"/>
          <w:rtl/>
        </w:rPr>
      </w:pPr>
      <w:r>
        <w:rPr>
          <w:rFonts w:hint="cs"/>
          <w:rtl/>
        </w:rPr>
        <w:t>א.</w:t>
        <w:tab/>
        <w:t>חישוב על פי נתוני המשכורת בעת הכנתה; ניכוי הסכום והעברתו במרוכז על ידי המעסיק, יחד עם חלקו שלו. דרך זו נוקט בעיקר המשרד.</w:t>
      </w:r>
    </w:p>
    <w:p>
      <w:pPr>
        <w:spacing w:line="240" w:lineRule="auto"/>
        <w:ind w:left="0" w:right="0"/>
        <w:jc w:val="both"/>
        <w:rPr>
          <w:rFonts w:hint="cs"/>
          <w:rtl/>
        </w:rPr>
      </w:pPr>
    </w:p>
    <w:p>
      <w:pPr>
        <w:spacing w:line="240" w:lineRule="auto"/>
        <w:ind w:left="0" w:right="0"/>
        <w:jc w:val="both"/>
        <w:rPr>
          <w:rFonts w:hint="cs"/>
          <w:rtl/>
        </w:rPr>
      </w:pPr>
      <w:r>
        <w:rPr>
          <w:rFonts w:hint="cs"/>
          <w:rtl/>
        </w:rPr>
        <w:t>ב.</w:t>
        <w:tab/>
        <w:t>חישוב על ידי מנהל העסקים של הקרן על פי נתונים המצויים אצלו (ראה להלן) וגביית הסכום על פי הוראת קבע מחשבון הבנק של העמית. לאחר מכן גובה מנהל העסקים את חלקו של המעסיק לפי חישוב המבוסס על תשלום העובד.</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תקנות מס הכנסה (כללים לאישור ולניהול קופות גמל), התשכ"ד </w:t>
      </w:r>
      <w:r>
        <w:rPr>
          <w:rtl/>
        </w:rPr>
        <w:t>-</w:t>
      </w:r>
      <w:r>
        <w:rPr>
          <w:rFonts w:hint="cs"/>
          <w:rtl/>
        </w:rPr>
        <w:t xml:space="preserve"> 1984, החלות על הקרנות, קובעות, כי דרך הגבייה היא ניכוי ישיר מהמשכורת. גביית התשלומים מהעמיתים באמצעות הוראות קבע אינה עולה בקנה אחד עם הוראות אלה.</w:t>
      </w:r>
    </w:p>
    <w:p>
      <w:pPr>
        <w:spacing w:line="240" w:lineRule="auto"/>
        <w:ind w:left="0" w:right="0"/>
        <w:jc w:val="both"/>
        <w:rPr>
          <w:rFonts w:hint="cs"/>
          <w:rtl/>
        </w:rPr>
      </w:pPr>
    </w:p>
    <w:p>
      <w:pPr>
        <w:pStyle w:val="4"/>
        <w:ind w:left="0" w:right="0"/>
        <w:jc w:val="left"/>
        <w:rPr>
          <w:rFonts w:hint="cs"/>
          <w:rtl/>
        </w:rPr>
      </w:pPr>
      <w:r>
        <w:rPr>
          <w:rFonts w:hint="cs"/>
          <w:rtl/>
        </w:rPr>
        <w:t>תשלום על ידי הוראת קבע</w:t>
      </w:r>
    </w:p>
    <w:p>
      <w:pPr>
        <w:spacing w:line="240" w:lineRule="auto"/>
        <w:ind w:left="0" w:right="0"/>
        <w:jc w:val="both"/>
        <w:rPr>
          <w:rFonts w:hint="cs"/>
          <w:rtl/>
        </w:rPr>
      </w:pPr>
      <w:r>
        <w:rPr>
          <w:rFonts w:hint="cs"/>
          <w:rtl/>
        </w:rPr>
        <w:t>1.</w:t>
        <w:tab/>
        <w:t>הסדר זה חל על עמיתי קרן על יסודיים ועל כ-6,000 עמיתי קרן מו"ג וקרן תיכוניים, המועסקים על ידי רשויות מקומיות, בתי ספר חקלאיים ומקצועיים, בתי ספר פרטיים ובמקרים מעטים גם על ידי המשרד.</w:t>
      </w:r>
    </w:p>
    <w:p>
      <w:pPr>
        <w:spacing w:line="240" w:lineRule="auto"/>
        <w:ind w:left="0" w:right="0"/>
        <w:jc w:val="both"/>
        <w:rPr>
          <w:rFonts w:hint="cs"/>
          <w:rtl/>
        </w:rPr>
      </w:pPr>
    </w:p>
    <w:p>
      <w:pPr>
        <w:spacing w:line="240" w:lineRule="auto"/>
        <w:ind w:left="0" w:right="0"/>
        <w:jc w:val="both"/>
        <w:rPr>
          <w:rFonts w:hint="cs"/>
          <w:rtl/>
        </w:rPr>
      </w:pPr>
      <w:r>
        <w:rPr>
          <w:rFonts w:hint="cs"/>
          <w:rtl/>
        </w:rPr>
        <w:t>כאשר עמית מצטרף לקרן הוא ממציא אישור מהמעסיק על רכיבי שכרו ושיעור המשרה שהוא מועסק בה ומתחייב להודיע באופן שוטף על כל שינוי שיחול ברכיבי השכר. אם אין העמית מדווח על שינוי, ממשיך מנהל העסקים לגבות את הכספים מהעובד על פי הנתונים שנמסרו לו ובמקביל הוא גובה מהמעסיק את חלקו.</w:t>
      </w:r>
    </w:p>
    <w:p>
      <w:pPr>
        <w:spacing w:line="240" w:lineRule="auto"/>
        <w:ind w:left="0" w:right="0"/>
        <w:jc w:val="both"/>
        <w:rPr>
          <w:rFonts w:hint="cs"/>
          <w:rtl/>
        </w:rPr>
      </w:pPr>
    </w:p>
    <w:p>
      <w:pPr>
        <w:spacing w:line="240" w:lineRule="auto"/>
        <w:ind w:left="0" w:right="0"/>
        <w:jc w:val="both"/>
        <w:rPr>
          <w:rtl/>
        </w:rPr>
      </w:pPr>
      <w:r>
        <w:rPr>
          <w:rFonts w:hint="cs"/>
          <w:rtl/>
        </w:rPr>
        <w:t>הניכוי מהמשכורת מבטיח דיוק בחישוב הסכום המועבר לקרן מצד העובד והמעסיק. גביית סכומים מדויקים באמצעות הוראת קבע מחייבת את מנהל העסקים לקבל באופן שוטף מידע ונתונים לשם עדכון רכיבי השכר של העמית,</w:t>
      </w:r>
    </w:p>
    <w:p>
      <w:pPr>
        <w:spacing w:line="240" w:lineRule="auto"/>
        <w:ind w:left="0" w:right="0"/>
        <w:jc w:val="both"/>
        <w:rPr>
          <w:rFonts w:hint="cs"/>
          <w:rtl/>
        </w:rPr>
      </w:pPr>
      <w:r>
        <w:rPr>
          <w:rtl/>
        </w:rPr>
        <w:br w:type="page"/>
      </w:r>
      <w:r>
        <w:rPr>
          <w:rFonts w:hint="cs"/>
          <w:rtl/>
        </w:rPr>
        <w:t>דבר שנעשה בדרך כלל בפיגור רב</w:t>
      </w:r>
      <w:r>
        <w:rPr>
          <w:rStyle w:val="FootnoteReference"/>
          <w:rtl/>
        </w:rPr>
        <w:footnoteReference w:id="12"/>
      </w:r>
      <w:r>
        <w:rPr>
          <w:rFonts w:hint="cs"/>
          <w:rtl/>
        </w:rPr>
        <w:t>. הואיל ובדרך כלל קיימת מגמה של עליית שכר, רוב הסכומים המועברים לקרן באמצעות הוראת קבע נמוכים מאלה שהיו אמורים להתקבל.</w:t>
      </w:r>
    </w:p>
    <w:p>
      <w:pPr>
        <w:spacing w:line="240" w:lineRule="auto"/>
        <w:ind w:left="0" w:right="0"/>
        <w:jc w:val="both"/>
        <w:rPr>
          <w:rFonts w:hint="cs"/>
          <w:rtl/>
        </w:rPr>
      </w:pPr>
    </w:p>
    <w:p>
      <w:pPr>
        <w:spacing w:line="240" w:lineRule="auto"/>
        <w:ind w:left="0" w:right="0"/>
        <w:jc w:val="both"/>
        <w:rPr>
          <w:rFonts w:hint="cs"/>
          <w:rtl/>
        </w:rPr>
      </w:pPr>
      <w:r>
        <w:rPr>
          <w:rFonts w:hint="cs"/>
          <w:rtl/>
        </w:rPr>
        <w:t>קרנות ההשתלמות לעובדי הוראה קבעו בעיקרון, שאם מתגלה הפרש בין שיעור המשרה הממוצעת של העמית במשך תקופת החיסכון לבין השיעור שלפיו הועברו התשלומים לקרן, יקבל העמית מענק השתלמות לפי השיעור הנמוך משניהם. אם הכספים שהועברו בפועל היו גבוהים מהמתחייב על פי שיעור המשרה, עודפי הכספים יוחזרו למשלמים.</w:t>
      </w:r>
    </w:p>
    <w:p>
      <w:pPr>
        <w:spacing w:line="240" w:lineRule="auto"/>
        <w:ind w:left="0" w:right="0"/>
        <w:jc w:val="both"/>
        <w:rPr>
          <w:rFonts w:hint="cs"/>
          <w:rtl/>
        </w:rPr>
      </w:pPr>
    </w:p>
    <w:p>
      <w:pPr>
        <w:spacing w:line="240" w:lineRule="auto"/>
        <w:ind w:left="0" w:right="0"/>
        <w:jc w:val="both"/>
        <w:rPr>
          <w:rFonts w:hint="cs"/>
          <w:rtl/>
        </w:rPr>
      </w:pPr>
      <w:r>
        <w:rPr>
          <w:rFonts w:hint="cs"/>
          <w:rtl/>
        </w:rPr>
        <w:t>2.</w:t>
        <w:tab/>
        <w:t>משרד מבקר המדינה בדק, בבדיקה מדגמית, את חישוב ההפרשות שערכו מנהלי העסקים של הקרנות, כשהגבייה נעשית באמצעות הוראות קבע. להלן הממצאים:</w:t>
      </w:r>
    </w:p>
    <w:p>
      <w:pPr>
        <w:spacing w:line="240" w:lineRule="auto"/>
        <w:ind w:left="0" w:right="0"/>
        <w:jc w:val="both"/>
        <w:rPr>
          <w:rFonts w:hint="cs"/>
          <w:rtl/>
        </w:rPr>
      </w:pPr>
    </w:p>
    <w:p>
      <w:pPr>
        <w:spacing w:line="240" w:lineRule="auto"/>
        <w:ind w:left="738" w:right="0"/>
        <w:jc w:val="both"/>
        <w:rPr>
          <w:rFonts w:hint="cs"/>
          <w:rtl/>
        </w:rPr>
      </w:pPr>
      <w:r>
        <w:rPr>
          <w:rFonts w:hint="cs"/>
          <w:b/>
          <w:bCs/>
          <w:rtl/>
        </w:rPr>
        <w:t>א.</w:t>
        <w:tab/>
        <w:t>קרנות מו"ג ותיכוניים</w:t>
      </w:r>
      <w:r>
        <w:rPr>
          <w:rFonts w:hint="cs"/>
          <w:rtl/>
        </w:rPr>
        <w:t>. משרד מבקר המדינה חישב את ההפרשות של עמיתים בקרן מו"ג ובקרן תיכוניים שקיבלו את שכרם מהמשרד (אולם שילמו לקרן שלא באמצעות ניכוי מהמשכורת), על יסוד רכיבי השכר כפי שהם נקובים ברישומי המשכורת במשרד, והישווה אותם לסכומים שמנהל העסקים חישב וגבה באמצעות הוראות קבע מאותם עמיתים. בדיקת מדגם של 309 תשלומים חודשיים העלתה, שב-235 מהם שילמו העמיתים פחות מהמגיע על פי רכיבי המשכורת, ואילו ב-74 מהם שילמו העמיתים יותר מהמגיע.</w:t>
      </w:r>
    </w:p>
    <w:p>
      <w:pPr>
        <w:spacing w:line="240" w:lineRule="auto"/>
        <w:ind w:left="738" w:right="0"/>
        <w:jc w:val="both"/>
        <w:rPr>
          <w:rFonts w:hint="cs"/>
          <w:rtl/>
        </w:rPr>
      </w:pPr>
      <w:r>
        <w:rPr>
          <w:rFonts w:hint="cs"/>
          <w:b/>
          <w:bCs/>
          <w:rtl/>
        </w:rPr>
        <w:t>ב.</w:t>
        <w:tab/>
        <w:t>קרן על יסודיים</w:t>
      </w:r>
      <w:r>
        <w:rPr>
          <w:rFonts w:hint="cs"/>
          <w:rtl/>
        </w:rPr>
        <w:t>. מנהל העסקים נוהג לחייב את חשבונות העו"ש של העמיתים ב-10 בחודש בעבור החודש השוטף, כלומר הגבייה נעשית לפני שיודעים מהי המשכורת של אותו חודש.</w:t>
      </w:r>
    </w:p>
    <w:p>
      <w:pPr>
        <w:spacing w:line="240" w:lineRule="auto"/>
        <w:ind w:left="738" w:right="0"/>
        <w:jc w:val="both"/>
        <w:rPr>
          <w:rFonts w:hint="cs"/>
        </w:rPr>
      </w:pPr>
    </w:p>
    <w:p>
      <w:pPr>
        <w:spacing w:line="240" w:lineRule="auto"/>
        <w:ind w:left="738" w:right="0"/>
        <w:jc w:val="both"/>
        <w:rPr>
          <w:rFonts w:hint="cs"/>
          <w:rtl/>
        </w:rPr>
      </w:pPr>
      <w:r>
        <w:rPr>
          <w:rFonts w:hint="cs"/>
          <w:rtl/>
        </w:rPr>
        <w:t>כאשר חלו שינויים כלליים במשכורת, הוגדל סכום הגבייה בשיעור השינוי הממוצע, דהיינו, באופן אחיד מכל עמיתי הקרן, גם אם השינוי לא היה באותו שיעור בכל התפקידים והדרגות. חישוב כזה אינו מדויק, שכן הוא מיטיב עם חלק מהעובדים ומכביד על עובדים אחרים.</w:t>
      </w:r>
    </w:p>
    <w:p>
      <w:pPr>
        <w:spacing w:line="240" w:lineRule="auto"/>
        <w:ind w:left="738" w:right="0"/>
        <w:jc w:val="both"/>
        <w:rPr>
          <w:rtl/>
        </w:rPr>
      </w:pPr>
      <w:r>
        <w:rPr>
          <w:rFonts w:hint="cs"/>
          <w:rtl/>
        </w:rPr>
        <w:t>ביקורת מדגמית העלתה אי התאמות בכל אחד מרכיבי השכר של העמיתים ( שכר יסוד, שיעור המשרה, גמול השתלמות, גמול ריכוז מקצוע, גמול פיצול וכיו"ב).</w:t>
      </w:r>
    </w:p>
    <w:p>
      <w:pPr>
        <w:spacing w:line="240" w:lineRule="auto"/>
        <w:ind w:left="738" w:right="0"/>
        <w:jc w:val="both"/>
        <w:rPr>
          <w:rFonts w:hint="cs"/>
          <w:rtl/>
        </w:rPr>
      </w:pPr>
      <w:r>
        <w:rPr>
          <w:rtl/>
        </w:rPr>
        <w:br w:type="page"/>
      </w:r>
    </w:p>
    <w:p>
      <w:pPr>
        <w:spacing w:line="240" w:lineRule="auto"/>
        <w:ind w:left="738" w:right="0"/>
        <w:jc w:val="both"/>
        <w:rPr>
          <w:rtl/>
        </w:rPr>
      </w:pPr>
      <w:r>
        <w:rPr>
          <w:rFonts w:hint="cs"/>
          <w:rtl/>
        </w:rPr>
        <w:t>קרן מו"ג וקרן תיכוניים הודיעו באפריל 1990 למשרד מבקר המדינה, שבמסגרת הסדר שנעשה לא מכבר עם כמה מעסיקים גדולים ינוכה תשלום העמית לקרן מהמשכורת ויועבר במרוכז, יחד עם חלקו של המעסיק. החל ב-1.4.91 משלמים עמיתי קרן על יסודיים, המועסקים על ידי המשרד (כ-20% מכלל העמיתים באותה קרן), את תשלומיהם לקרן על ידי ניכוי ממשכורותיהם. המעבר מגבייה על פי הוראות קבע לגבייה ישירה על ידי ניכוי ממשכורותיהם של יתר עמיתי קרן על יסודיים עדיין לא התקדם ממשית.</w:t>
      </w:r>
    </w:p>
    <w:p>
      <w:pPr>
        <w:pStyle w:val="2"/>
        <w:spacing w:line="240" w:lineRule="auto"/>
        <w:ind w:left="0" w:right="0"/>
        <w:jc w:val="center"/>
        <w:rPr>
          <w:rFonts w:hint="cs"/>
          <w:rtl/>
        </w:rPr>
      </w:pPr>
      <w:r>
        <w:rPr>
          <w:rtl/>
        </w:rPr>
        <w:br w:type="page"/>
      </w:r>
      <w:r>
        <w:rPr>
          <w:rFonts w:hint="cs"/>
          <w:rtl/>
        </w:rPr>
        <w:t>כספים ומינהל</w:t>
      </w:r>
    </w:p>
    <w:p>
      <w:pPr>
        <w:spacing w:line="240" w:lineRule="auto"/>
        <w:ind w:left="0" w:right="0"/>
        <w:jc w:val="both"/>
        <w:rPr>
          <w:rFonts w:hint="cs"/>
          <w:rtl/>
        </w:rPr>
      </w:pPr>
      <w:r>
        <w:rPr>
          <w:rFonts w:hint="cs"/>
          <w:rtl/>
        </w:rPr>
        <w:t>להלן הדוחות הכספיים המותאמים של שלוש קרנות ההשתלמות ל-31.8.90, כפי שמיין וריכז משרד מבקר המדינה (באלפי ש"ח):</w:t>
      </w:r>
    </w:p>
    <w:p>
      <w:pPr>
        <w:spacing w:line="240" w:lineRule="auto"/>
        <w:ind w:left="0" w:right="0"/>
        <w:jc w:val="both"/>
        <w:rPr>
          <w:rFonts w:hint="cs"/>
          <w:rtl/>
        </w:rPr>
      </w:pPr>
    </w:p>
    <w:p>
      <w:pPr>
        <w:spacing w:line="240" w:lineRule="auto"/>
        <w:ind w:left="0" w:right="0"/>
        <w:jc w:val="both"/>
        <w:rPr>
          <w:rFonts w:hint="cs"/>
          <w:rtl/>
        </w:rPr>
      </w:pPr>
    </w:p>
    <w:tbl>
      <w:tblPr>
        <w:tblW w:w="0" w:type="auto"/>
        <w:jc w:val="righ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852"/>
        <w:gridCol w:w="803"/>
        <w:gridCol w:w="1013"/>
        <w:gridCol w:w="3657"/>
      </w:tblGrid>
      <w:tr>
        <w:tblPrEx>
          <w:tblW w:w="0" w:type="auto"/>
          <w:jc w:val="righ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right"/>
        </w:trPr>
        <w:tc>
          <w:tcPr>
            <w:tcW w:w="0" w:type="auto"/>
          </w:tcPr>
          <w:p>
            <w:pPr>
              <w:spacing w:line="240" w:lineRule="auto"/>
              <w:ind w:left="0" w:right="0"/>
              <w:jc w:val="both"/>
              <w:rPr>
                <w:rFonts w:hint="cs"/>
                <w:szCs w:val="20"/>
                <w:rtl/>
              </w:rPr>
            </w:pPr>
            <w:r>
              <w:rPr>
                <w:rFonts w:hint="cs"/>
                <w:szCs w:val="20"/>
                <w:rtl/>
              </w:rPr>
              <w:t>קרן</w:t>
            </w:r>
          </w:p>
          <w:p>
            <w:pPr>
              <w:spacing w:line="240" w:lineRule="auto"/>
              <w:ind w:left="0" w:right="0"/>
              <w:jc w:val="both"/>
              <w:rPr>
                <w:rFonts w:hint="cs"/>
                <w:szCs w:val="20"/>
              </w:rPr>
            </w:pPr>
            <w:r>
              <w:rPr>
                <w:rFonts w:hint="cs"/>
                <w:szCs w:val="20"/>
                <w:rtl/>
              </w:rPr>
              <w:t>תיכוניים</w:t>
            </w:r>
          </w:p>
        </w:tc>
        <w:tc>
          <w:tcPr>
            <w:tcW w:w="0" w:type="auto"/>
          </w:tcPr>
          <w:p>
            <w:pPr>
              <w:spacing w:line="240" w:lineRule="auto"/>
              <w:ind w:left="0" w:right="0"/>
              <w:jc w:val="both"/>
              <w:rPr>
                <w:rFonts w:hint="cs"/>
                <w:szCs w:val="20"/>
                <w:rtl/>
              </w:rPr>
            </w:pPr>
            <w:r>
              <w:rPr>
                <w:rFonts w:hint="cs"/>
                <w:szCs w:val="20"/>
                <w:rtl/>
              </w:rPr>
              <w:t xml:space="preserve">קרן </w:t>
            </w:r>
          </w:p>
          <w:p>
            <w:pPr>
              <w:spacing w:line="240" w:lineRule="auto"/>
              <w:ind w:left="0" w:right="0"/>
              <w:jc w:val="both"/>
              <w:rPr>
                <w:rFonts w:hint="cs"/>
                <w:szCs w:val="20"/>
              </w:rPr>
            </w:pPr>
            <w:r>
              <w:rPr>
                <w:rFonts w:hint="cs"/>
                <w:szCs w:val="20"/>
                <w:rtl/>
              </w:rPr>
              <w:t>מו"ג</w:t>
            </w:r>
          </w:p>
        </w:tc>
        <w:tc>
          <w:tcPr>
            <w:tcW w:w="0" w:type="auto"/>
          </w:tcPr>
          <w:p>
            <w:pPr>
              <w:spacing w:line="240" w:lineRule="auto"/>
              <w:ind w:left="0" w:right="0"/>
              <w:jc w:val="both"/>
              <w:rPr>
                <w:rFonts w:hint="cs"/>
                <w:szCs w:val="20"/>
                <w:rtl/>
              </w:rPr>
            </w:pPr>
            <w:r>
              <w:rPr>
                <w:rFonts w:hint="cs"/>
                <w:szCs w:val="20"/>
                <w:rtl/>
              </w:rPr>
              <w:t>קרן</w:t>
            </w:r>
          </w:p>
          <w:p>
            <w:pPr>
              <w:spacing w:line="240" w:lineRule="auto"/>
              <w:ind w:left="0" w:right="0"/>
              <w:jc w:val="both"/>
              <w:rPr>
                <w:rFonts w:hint="cs"/>
                <w:szCs w:val="20"/>
              </w:rPr>
            </w:pPr>
            <w:r>
              <w:rPr>
                <w:rFonts w:hint="cs"/>
                <w:szCs w:val="20"/>
                <w:rtl/>
              </w:rPr>
              <w:t>על יסודיים</w:t>
            </w:r>
          </w:p>
        </w:tc>
        <w:tc>
          <w:tcPr>
            <w:tcW w:w="0" w:type="auto"/>
          </w:tcPr>
          <w:p>
            <w:pPr>
              <w:spacing w:line="240" w:lineRule="auto"/>
              <w:ind w:left="0" w:right="0"/>
              <w:jc w:val="both"/>
              <w:rPr>
                <w:rFonts w:hint="cs"/>
                <w:szCs w:val="20"/>
              </w:rPr>
            </w:pPr>
          </w:p>
        </w:tc>
      </w:tr>
      <w:tr>
        <w:tblPrEx>
          <w:tblW w:w="0" w:type="auto"/>
          <w:jc w:val="right"/>
          <w:tblInd w:w="567" w:type="dxa"/>
          <w:tblCellMar>
            <w:left w:w="108" w:type="dxa"/>
            <w:right w:w="108" w:type="dxa"/>
          </w:tblCellMar>
          <w:tblLook w:val="0000"/>
        </w:tblPrEx>
        <w:trPr>
          <w:cantSplit/>
          <w:jc w:val="right"/>
        </w:trPr>
        <w:tc>
          <w:tcPr>
            <w:tcW w:w="0" w:type="auto"/>
            <w:gridSpan w:val="4"/>
          </w:tcPr>
          <w:p>
            <w:pPr>
              <w:pStyle w:val="Heading9"/>
              <w:spacing w:line="240" w:lineRule="auto"/>
              <w:ind w:left="0" w:right="0"/>
              <w:jc w:val="both"/>
              <w:rPr>
                <w:szCs w:val="20"/>
              </w:rPr>
            </w:pPr>
            <w:r>
              <w:rPr>
                <w:rFonts w:hint="cs"/>
                <w:szCs w:val="20"/>
                <w:rtl/>
              </w:rPr>
              <w:t>נכסים</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230,220</w:t>
            </w:r>
          </w:p>
        </w:tc>
        <w:tc>
          <w:tcPr>
            <w:tcW w:w="0" w:type="auto"/>
          </w:tcPr>
          <w:p>
            <w:pPr>
              <w:spacing w:line="240" w:lineRule="auto"/>
              <w:ind w:left="0" w:right="0"/>
              <w:jc w:val="both"/>
              <w:rPr>
                <w:rFonts w:hint="cs"/>
                <w:szCs w:val="20"/>
              </w:rPr>
            </w:pPr>
            <w:r>
              <w:rPr>
                <w:rFonts w:hint="cs"/>
                <w:szCs w:val="20"/>
                <w:rtl/>
              </w:rPr>
              <w:t>478,647</w:t>
            </w:r>
          </w:p>
        </w:tc>
        <w:tc>
          <w:tcPr>
            <w:tcW w:w="0" w:type="auto"/>
          </w:tcPr>
          <w:p>
            <w:pPr>
              <w:spacing w:line="240" w:lineRule="auto"/>
              <w:ind w:left="0" w:right="0"/>
              <w:jc w:val="both"/>
              <w:rPr>
                <w:rFonts w:hint="cs"/>
                <w:szCs w:val="20"/>
              </w:rPr>
            </w:pPr>
            <w:r>
              <w:rPr>
                <w:rFonts w:hint="cs"/>
                <w:szCs w:val="20"/>
                <w:rtl/>
              </w:rPr>
              <w:t>135,083</w:t>
            </w:r>
          </w:p>
        </w:tc>
        <w:tc>
          <w:tcPr>
            <w:tcW w:w="0" w:type="auto"/>
          </w:tcPr>
          <w:p>
            <w:pPr>
              <w:pStyle w:val="EndnoteText"/>
              <w:spacing w:line="240" w:lineRule="auto"/>
              <w:ind w:left="0" w:right="0"/>
              <w:jc w:val="both"/>
              <w:rPr>
                <w:rFonts w:hint="cs"/>
              </w:rPr>
            </w:pPr>
            <w:r>
              <w:rPr>
                <w:rFonts w:hint="cs"/>
                <w:rtl/>
              </w:rPr>
              <w:t>ניירות ערך</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21,794</w:t>
            </w:r>
          </w:p>
        </w:tc>
        <w:tc>
          <w:tcPr>
            <w:tcW w:w="0" w:type="auto"/>
          </w:tcPr>
          <w:p>
            <w:pPr>
              <w:spacing w:line="240" w:lineRule="auto"/>
              <w:ind w:left="0" w:right="0"/>
              <w:jc w:val="both"/>
              <w:rPr>
                <w:rFonts w:hint="cs"/>
                <w:szCs w:val="20"/>
              </w:rPr>
            </w:pPr>
            <w:r>
              <w:rPr>
                <w:rFonts w:hint="cs"/>
                <w:szCs w:val="20"/>
                <w:rtl/>
              </w:rPr>
              <w:t>34,888</w:t>
            </w:r>
          </w:p>
        </w:tc>
        <w:tc>
          <w:tcPr>
            <w:tcW w:w="0" w:type="auto"/>
          </w:tcPr>
          <w:p>
            <w:pPr>
              <w:spacing w:line="240" w:lineRule="auto"/>
              <w:ind w:left="0" w:right="0"/>
              <w:jc w:val="both"/>
              <w:rPr>
                <w:rFonts w:hint="cs"/>
                <w:szCs w:val="20"/>
              </w:rPr>
            </w:pPr>
            <w:r>
              <w:rPr>
                <w:rFonts w:hint="cs"/>
                <w:szCs w:val="20"/>
                <w:rtl/>
              </w:rPr>
              <w:t>18,778</w:t>
            </w:r>
          </w:p>
        </w:tc>
        <w:tc>
          <w:tcPr>
            <w:tcW w:w="0" w:type="auto"/>
          </w:tcPr>
          <w:p>
            <w:pPr>
              <w:spacing w:line="240" w:lineRule="auto"/>
              <w:ind w:left="0" w:right="0"/>
              <w:jc w:val="both"/>
              <w:rPr>
                <w:rFonts w:hint="cs"/>
                <w:szCs w:val="20"/>
              </w:rPr>
            </w:pPr>
            <w:r>
              <w:rPr>
                <w:rFonts w:hint="cs"/>
                <w:szCs w:val="20"/>
                <w:rtl/>
              </w:rPr>
              <w:t>פיקדונות ומזומנים בבנקים</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3,722</w:t>
            </w:r>
          </w:p>
        </w:tc>
        <w:tc>
          <w:tcPr>
            <w:tcW w:w="0" w:type="auto"/>
          </w:tcPr>
          <w:p>
            <w:pPr>
              <w:spacing w:line="240" w:lineRule="auto"/>
              <w:ind w:left="0" w:right="0"/>
              <w:jc w:val="both"/>
              <w:rPr>
                <w:rFonts w:hint="cs"/>
                <w:szCs w:val="20"/>
              </w:rPr>
            </w:pPr>
            <w:r>
              <w:rPr>
                <w:rFonts w:hint="cs"/>
                <w:szCs w:val="20"/>
                <w:rtl/>
              </w:rPr>
              <w:t>7,080</w:t>
            </w:r>
          </w:p>
        </w:tc>
        <w:tc>
          <w:tcPr>
            <w:tcW w:w="0" w:type="auto"/>
          </w:tcPr>
          <w:p>
            <w:pPr>
              <w:spacing w:line="240" w:lineRule="auto"/>
              <w:ind w:left="0" w:right="0"/>
              <w:jc w:val="both"/>
              <w:rPr>
                <w:rFonts w:hint="cs"/>
                <w:szCs w:val="20"/>
              </w:rPr>
            </w:pPr>
            <w:r>
              <w:rPr>
                <w:rFonts w:hint="cs"/>
                <w:szCs w:val="20"/>
                <w:rtl/>
              </w:rPr>
              <w:t>1,892</w:t>
            </w:r>
          </w:p>
        </w:tc>
        <w:tc>
          <w:tcPr>
            <w:tcW w:w="0" w:type="auto"/>
          </w:tcPr>
          <w:p>
            <w:pPr>
              <w:spacing w:line="240" w:lineRule="auto"/>
              <w:ind w:left="0" w:right="0"/>
              <w:jc w:val="both"/>
              <w:rPr>
                <w:rFonts w:hint="cs"/>
                <w:szCs w:val="20"/>
              </w:rPr>
            </w:pPr>
            <w:r>
              <w:rPr>
                <w:rFonts w:hint="cs"/>
                <w:szCs w:val="20"/>
                <w:rtl/>
              </w:rPr>
              <w:t xml:space="preserve">חייבים </w:t>
            </w:r>
            <w:r>
              <w:rPr>
                <w:szCs w:val="20"/>
                <w:rtl/>
              </w:rPr>
              <w:t>-</w:t>
            </w:r>
            <w:r>
              <w:rPr>
                <w:rFonts w:hint="cs"/>
                <w:szCs w:val="20"/>
                <w:rtl/>
              </w:rPr>
              <w:t xml:space="preserve"> (עמיתים ומעסיקים)</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u w:val="single"/>
              </w:rPr>
            </w:pPr>
            <w:r>
              <w:rPr>
                <w:rFonts w:hint="cs"/>
                <w:szCs w:val="20"/>
                <w:u w:val="single"/>
                <w:rtl/>
              </w:rPr>
              <w:t>255,736</w:t>
            </w:r>
          </w:p>
        </w:tc>
        <w:tc>
          <w:tcPr>
            <w:tcW w:w="0" w:type="auto"/>
          </w:tcPr>
          <w:p>
            <w:pPr>
              <w:spacing w:line="240" w:lineRule="auto"/>
              <w:ind w:left="0" w:right="0"/>
              <w:jc w:val="both"/>
              <w:rPr>
                <w:rFonts w:hint="cs"/>
                <w:szCs w:val="20"/>
                <w:u w:val="single"/>
              </w:rPr>
            </w:pPr>
            <w:r>
              <w:rPr>
                <w:rFonts w:hint="cs"/>
                <w:szCs w:val="20"/>
                <w:u w:val="single"/>
                <w:rtl/>
              </w:rPr>
              <w:t>520,615</w:t>
            </w:r>
          </w:p>
        </w:tc>
        <w:tc>
          <w:tcPr>
            <w:tcW w:w="0" w:type="auto"/>
          </w:tcPr>
          <w:p>
            <w:pPr>
              <w:spacing w:line="240" w:lineRule="auto"/>
              <w:ind w:left="0" w:right="0"/>
              <w:jc w:val="both"/>
              <w:rPr>
                <w:rFonts w:hint="cs"/>
                <w:szCs w:val="20"/>
                <w:u w:val="single"/>
              </w:rPr>
            </w:pPr>
            <w:r>
              <w:rPr>
                <w:rFonts w:hint="cs"/>
                <w:szCs w:val="20"/>
                <w:u w:val="single"/>
                <w:rtl/>
              </w:rPr>
              <w:t>155,753</w:t>
            </w:r>
          </w:p>
        </w:tc>
        <w:tc>
          <w:tcPr>
            <w:tcW w:w="0" w:type="auto"/>
          </w:tcPr>
          <w:p>
            <w:pPr>
              <w:spacing w:line="240" w:lineRule="auto"/>
              <w:ind w:left="0" w:right="0"/>
              <w:jc w:val="both"/>
              <w:rPr>
                <w:rFonts w:hint="cs"/>
                <w:szCs w:val="20"/>
              </w:rPr>
            </w:pPr>
          </w:p>
        </w:tc>
      </w:tr>
      <w:tr>
        <w:tblPrEx>
          <w:tblW w:w="0" w:type="auto"/>
          <w:jc w:val="right"/>
          <w:tblInd w:w="567" w:type="dxa"/>
          <w:tblCellMar>
            <w:left w:w="108" w:type="dxa"/>
            <w:right w:w="108" w:type="dxa"/>
          </w:tblCellMar>
          <w:tblLook w:val="0000"/>
        </w:tblPrEx>
        <w:trPr>
          <w:cantSplit/>
          <w:jc w:val="right"/>
        </w:trPr>
        <w:tc>
          <w:tcPr>
            <w:tcW w:w="0" w:type="auto"/>
            <w:gridSpan w:val="4"/>
          </w:tcPr>
          <w:p>
            <w:pPr>
              <w:spacing w:line="240" w:lineRule="auto"/>
              <w:ind w:left="0" w:right="0"/>
              <w:jc w:val="both"/>
              <w:rPr>
                <w:b/>
                <w:bCs/>
                <w:szCs w:val="20"/>
              </w:rPr>
            </w:pPr>
            <w:r>
              <w:rPr>
                <w:rFonts w:hint="cs"/>
                <w:b/>
                <w:bCs/>
                <w:szCs w:val="20"/>
                <w:rtl/>
              </w:rPr>
              <w:t>התחייבויות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2,309</w:t>
            </w:r>
          </w:p>
        </w:tc>
        <w:tc>
          <w:tcPr>
            <w:tcW w:w="0" w:type="auto"/>
          </w:tcPr>
          <w:p>
            <w:pPr>
              <w:spacing w:line="240" w:lineRule="auto"/>
              <w:ind w:left="0" w:right="0"/>
              <w:jc w:val="both"/>
              <w:rPr>
                <w:rFonts w:hint="cs"/>
                <w:szCs w:val="20"/>
              </w:rPr>
            </w:pPr>
            <w:r>
              <w:rPr>
                <w:rFonts w:hint="cs"/>
                <w:szCs w:val="20"/>
                <w:rtl/>
              </w:rPr>
              <w:t>4,919</w:t>
            </w:r>
          </w:p>
        </w:tc>
        <w:tc>
          <w:tcPr>
            <w:tcW w:w="0" w:type="auto"/>
          </w:tcPr>
          <w:p>
            <w:pPr>
              <w:spacing w:line="240" w:lineRule="auto"/>
              <w:ind w:left="0" w:right="0"/>
              <w:jc w:val="both"/>
              <w:rPr>
                <w:rFonts w:hint="cs"/>
                <w:szCs w:val="20"/>
              </w:rPr>
            </w:pPr>
            <w:r>
              <w:rPr>
                <w:rFonts w:hint="cs"/>
                <w:szCs w:val="20"/>
                <w:rtl/>
              </w:rPr>
              <w:t>305</w:t>
            </w:r>
          </w:p>
        </w:tc>
        <w:tc>
          <w:tcPr>
            <w:tcW w:w="0" w:type="auto"/>
          </w:tcPr>
          <w:p>
            <w:pPr>
              <w:spacing w:line="240" w:lineRule="auto"/>
              <w:ind w:left="0" w:right="0"/>
              <w:jc w:val="both"/>
              <w:rPr>
                <w:rFonts w:hint="cs"/>
                <w:szCs w:val="20"/>
              </w:rPr>
            </w:pPr>
            <w:r>
              <w:rPr>
                <w:rFonts w:hint="cs"/>
                <w:szCs w:val="20"/>
                <w:rtl/>
              </w:rPr>
              <w:t>יתרות זכות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253,427</w:t>
            </w:r>
          </w:p>
        </w:tc>
        <w:tc>
          <w:tcPr>
            <w:tcW w:w="0" w:type="auto"/>
          </w:tcPr>
          <w:p>
            <w:pPr>
              <w:spacing w:line="240" w:lineRule="auto"/>
              <w:ind w:left="0" w:right="0"/>
              <w:jc w:val="both"/>
              <w:rPr>
                <w:rFonts w:hint="cs"/>
                <w:szCs w:val="20"/>
              </w:rPr>
            </w:pPr>
            <w:r>
              <w:rPr>
                <w:rFonts w:hint="cs"/>
                <w:szCs w:val="20"/>
                <w:rtl/>
              </w:rPr>
              <w:t>515,696</w:t>
            </w:r>
          </w:p>
        </w:tc>
        <w:tc>
          <w:tcPr>
            <w:tcW w:w="0" w:type="auto"/>
          </w:tcPr>
          <w:p>
            <w:pPr>
              <w:spacing w:line="240" w:lineRule="auto"/>
              <w:ind w:left="0" w:right="0"/>
              <w:jc w:val="both"/>
              <w:rPr>
                <w:rFonts w:hint="cs"/>
                <w:szCs w:val="20"/>
              </w:rPr>
            </w:pPr>
            <w:r>
              <w:rPr>
                <w:rFonts w:hint="cs"/>
                <w:szCs w:val="20"/>
                <w:rtl/>
              </w:rPr>
              <w:t>155,448</w:t>
            </w:r>
          </w:p>
        </w:tc>
        <w:tc>
          <w:tcPr>
            <w:tcW w:w="0" w:type="auto"/>
          </w:tcPr>
          <w:p>
            <w:pPr>
              <w:spacing w:line="240" w:lineRule="auto"/>
              <w:ind w:left="0" w:right="0"/>
              <w:jc w:val="both"/>
              <w:rPr>
                <w:rFonts w:hint="cs"/>
                <w:szCs w:val="20"/>
              </w:rPr>
            </w:pPr>
            <w:r>
              <w:rPr>
                <w:rFonts w:hint="cs"/>
                <w:szCs w:val="20"/>
                <w:rtl/>
              </w:rPr>
              <w:t>קרן ההשתלמות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u w:val="single"/>
              </w:rPr>
            </w:pPr>
            <w:r>
              <w:rPr>
                <w:rFonts w:hint="cs"/>
                <w:szCs w:val="20"/>
                <w:u w:val="single"/>
                <w:rtl/>
              </w:rPr>
              <w:t>255,736</w:t>
            </w:r>
          </w:p>
        </w:tc>
        <w:tc>
          <w:tcPr>
            <w:tcW w:w="0" w:type="auto"/>
          </w:tcPr>
          <w:p>
            <w:pPr>
              <w:spacing w:line="240" w:lineRule="auto"/>
              <w:ind w:left="0" w:right="0"/>
              <w:jc w:val="both"/>
              <w:rPr>
                <w:rFonts w:hint="cs"/>
                <w:szCs w:val="20"/>
                <w:u w:val="single"/>
              </w:rPr>
            </w:pPr>
            <w:r>
              <w:rPr>
                <w:rFonts w:hint="cs"/>
                <w:szCs w:val="20"/>
                <w:u w:val="single"/>
                <w:rtl/>
              </w:rPr>
              <w:t>520,615</w:t>
            </w:r>
          </w:p>
        </w:tc>
        <w:tc>
          <w:tcPr>
            <w:tcW w:w="0" w:type="auto"/>
          </w:tcPr>
          <w:p>
            <w:pPr>
              <w:spacing w:line="240" w:lineRule="auto"/>
              <w:ind w:left="0" w:right="0"/>
              <w:jc w:val="both"/>
              <w:rPr>
                <w:rFonts w:hint="cs"/>
                <w:szCs w:val="20"/>
                <w:u w:val="single"/>
              </w:rPr>
            </w:pPr>
            <w:r>
              <w:rPr>
                <w:rFonts w:hint="cs"/>
                <w:szCs w:val="20"/>
                <w:u w:val="single"/>
                <w:rtl/>
              </w:rPr>
              <w:t>155,753</w:t>
            </w:r>
          </w:p>
        </w:tc>
        <w:tc>
          <w:tcPr>
            <w:tcW w:w="0" w:type="auto"/>
          </w:tcPr>
          <w:p>
            <w:pPr>
              <w:spacing w:line="240" w:lineRule="auto"/>
              <w:ind w:left="0" w:right="0"/>
              <w:jc w:val="both"/>
              <w:rPr>
                <w:szCs w:val="20"/>
              </w:rPr>
            </w:pPr>
          </w:p>
        </w:tc>
      </w:tr>
      <w:tr>
        <w:tblPrEx>
          <w:tblW w:w="0" w:type="auto"/>
          <w:jc w:val="right"/>
          <w:tblInd w:w="567" w:type="dxa"/>
          <w:tblCellMar>
            <w:left w:w="108" w:type="dxa"/>
            <w:right w:w="108" w:type="dxa"/>
          </w:tblCellMar>
          <w:tblLook w:val="0000"/>
        </w:tblPrEx>
        <w:trPr>
          <w:cantSplit/>
          <w:jc w:val="right"/>
        </w:trPr>
        <w:tc>
          <w:tcPr>
            <w:tcW w:w="0" w:type="auto"/>
            <w:gridSpan w:val="4"/>
          </w:tcPr>
          <w:p>
            <w:pPr>
              <w:spacing w:line="240" w:lineRule="auto"/>
              <w:ind w:left="0" w:right="0"/>
              <w:jc w:val="both"/>
              <w:rPr>
                <w:b/>
                <w:bCs/>
                <w:szCs w:val="20"/>
              </w:rPr>
            </w:pPr>
            <w:r>
              <w:rPr>
                <w:rFonts w:hint="cs"/>
                <w:b/>
                <w:bCs/>
                <w:szCs w:val="20"/>
                <w:rtl/>
              </w:rPr>
              <w:t>הכנסות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48,065</w:t>
            </w:r>
          </w:p>
        </w:tc>
        <w:tc>
          <w:tcPr>
            <w:tcW w:w="0" w:type="auto"/>
          </w:tcPr>
          <w:p>
            <w:pPr>
              <w:spacing w:line="240" w:lineRule="auto"/>
              <w:ind w:left="0" w:right="0"/>
              <w:jc w:val="both"/>
              <w:rPr>
                <w:rFonts w:hint="cs"/>
                <w:szCs w:val="20"/>
              </w:rPr>
            </w:pPr>
            <w:r>
              <w:rPr>
                <w:rFonts w:hint="cs"/>
                <w:szCs w:val="20"/>
                <w:rtl/>
              </w:rPr>
              <w:t>99,277</w:t>
            </w:r>
          </w:p>
        </w:tc>
        <w:tc>
          <w:tcPr>
            <w:tcW w:w="0" w:type="auto"/>
          </w:tcPr>
          <w:p>
            <w:pPr>
              <w:spacing w:line="240" w:lineRule="auto"/>
              <w:ind w:left="0" w:right="0"/>
              <w:jc w:val="both"/>
              <w:rPr>
                <w:rFonts w:hint="cs"/>
                <w:szCs w:val="20"/>
              </w:rPr>
            </w:pPr>
            <w:r>
              <w:rPr>
                <w:rFonts w:hint="cs"/>
                <w:szCs w:val="20"/>
                <w:rtl/>
              </w:rPr>
              <w:t>28,318</w:t>
            </w:r>
          </w:p>
        </w:tc>
        <w:tc>
          <w:tcPr>
            <w:tcW w:w="0" w:type="auto"/>
          </w:tcPr>
          <w:p>
            <w:pPr>
              <w:spacing w:line="240" w:lineRule="auto"/>
              <w:ind w:left="0" w:right="0"/>
              <w:jc w:val="both"/>
              <w:rPr>
                <w:rFonts w:hint="cs"/>
                <w:szCs w:val="20"/>
              </w:rPr>
            </w:pPr>
            <w:r>
              <w:rPr>
                <w:rFonts w:hint="cs"/>
                <w:szCs w:val="20"/>
                <w:rtl/>
              </w:rPr>
              <w:t>הכנסות מריבית והצמדה</w:t>
            </w:r>
          </w:p>
        </w:tc>
      </w:tr>
      <w:tr>
        <w:tblPrEx>
          <w:tblW w:w="0" w:type="auto"/>
          <w:jc w:val="right"/>
          <w:tblInd w:w="567" w:type="dxa"/>
          <w:tblCellMar>
            <w:left w:w="108" w:type="dxa"/>
            <w:right w:w="108" w:type="dxa"/>
          </w:tblCellMar>
          <w:tblLook w:val="0000"/>
        </w:tblPrEx>
        <w:trPr>
          <w:cantSplit/>
          <w:jc w:val="right"/>
        </w:trPr>
        <w:tc>
          <w:tcPr>
            <w:tcW w:w="0" w:type="auto"/>
            <w:gridSpan w:val="4"/>
          </w:tcPr>
          <w:p>
            <w:pPr>
              <w:spacing w:line="240" w:lineRule="auto"/>
              <w:ind w:left="0" w:right="0"/>
              <w:jc w:val="both"/>
              <w:rPr>
                <w:b/>
                <w:bCs/>
                <w:szCs w:val="20"/>
              </w:rPr>
            </w:pPr>
            <w:r>
              <w:rPr>
                <w:rFonts w:hint="cs"/>
                <w:b/>
                <w:bCs/>
                <w:szCs w:val="20"/>
                <w:rtl/>
              </w:rPr>
              <w:t>הוצאות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2,3</w:t>
            </w:r>
            <w:r>
              <w:rPr>
                <w:rFonts w:hint="cs"/>
                <w:szCs w:val="20"/>
                <w:rtl/>
              </w:rPr>
              <w:t>59</w:t>
            </w:r>
          </w:p>
        </w:tc>
        <w:tc>
          <w:tcPr>
            <w:tcW w:w="0" w:type="auto"/>
          </w:tcPr>
          <w:p>
            <w:pPr>
              <w:spacing w:line="240" w:lineRule="auto"/>
              <w:ind w:left="0" w:right="0"/>
              <w:jc w:val="both"/>
              <w:rPr>
                <w:rFonts w:hint="cs"/>
                <w:szCs w:val="20"/>
              </w:rPr>
            </w:pPr>
            <w:r>
              <w:rPr>
                <w:rFonts w:hint="cs"/>
                <w:szCs w:val="20"/>
                <w:rtl/>
              </w:rPr>
              <w:t>4,790</w:t>
            </w:r>
          </w:p>
        </w:tc>
        <w:tc>
          <w:tcPr>
            <w:tcW w:w="0" w:type="auto"/>
          </w:tcPr>
          <w:p>
            <w:pPr>
              <w:spacing w:line="240" w:lineRule="auto"/>
              <w:ind w:left="0" w:right="0"/>
              <w:jc w:val="both"/>
              <w:rPr>
                <w:rFonts w:hint="cs"/>
                <w:szCs w:val="20"/>
              </w:rPr>
            </w:pPr>
            <w:r>
              <w:rPr>
                <w:rFonts w:hint="cs"/>
                <w:szCs w:val="20"/>
                <w:rtl/>
              </w:rPr>
              <w:t>1,398</w:t>
            </w:r>
          </w:p>
        </w:tc>
        <w:tc>
          <w:tcPr>
            <w:tcW w:w="0" w:type="auto"/>
          </w:tcPr>
          <w:p>
            <w:pPr>
              <w:spacing w:line="240" w:lineRule="auto"/>
              <w:ind w:left="0" w:right="0"/>
              <w:jc w:val="both"/>
              <w:rPr>
                <w:rFonts w:hint="cs"/>
                <w:szCs w:val="20"/>
              </w:rPr>
            </w:pPr>
            <w:r>
              <w:rPr>
                <w:rFonts w:hint="cs"/>
                <w:szCs w:val="20"/>
                <w:rtl/>
              </w:rPr>
              <w:t>דמי ניהול למנהל העסקים</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38</w:t>
            </w:r>
          </w:p>
        </w:tc>
        <w:tc>
          <w:tcPr>
            <w:tcW w:w="0" w:type="auto"/>
          </w:tcPr>
          <w:p>
            <w:pPr>
              <w:spacing w:line="240" w:lineRule="auto"/>
              <w:ind w:left="0" w:right="0"/>
              <w:jc w:val="both"/>
              <w:rPr>
                <w:rFonts w:hint="cs"/>
                <w:szCs w:val="20"/>
              </w:rPr>
            </w:pPr>
            <w:r>
              <w:rPr>
                <w:rFonts w:hint="cs"/>
                <w:szCs w:val="20"/>
                <w:rtl/>
              </w:rPr>
              <w:t>77</w:t>
            </w:r>
          </w:p>
        </w:tc>
        <w:tc>
          <w:tcPr>
            <w:tcW w:w="0" w:type="auto"/>
          </w:tcPr>
          <w:p>
            <w:pPr>
              <w:spacing w:line="240" w:lineRule="auto"/>
              <w:ind w:left="0" w:right="0"/>
              <w:jc w:val="both"/>
              <w:rPr>
                <w:rFonts w:hint="cs"/>
                <w:szCs w:val="20"/>
              </w:rPr>
            </w:pPr>
            <w:r>
              <w:rPr>
                <w:rFonts w:hint="cs"/>
                <w:szCs w:val="20"/>
                <w:rtl/>
              </w:rPr>
              <w:t>35</w:t>
            </w:r>
          </w:p>
        </w:tc>
        <w:tc>
          <w:tcPr>
            <w:tcW w:w="0" w:type="auto"/>
          </w:tcPr>
          <w:p>
            <w:pPr>
              <w:spacing w:line="240" w:lineRule="auto"/>
              <w:ind w:left="0" w:right="0"/>
              <w:jc w:val="both"/>
              <w:rPr>
                <w:rFonts w:hint="cs"/>
                <w:szCs w:val="20"/>
              </w:rPr>
            </w:pPr>
            <w:r>
              <w:rPr>
                <w:rFonts w:hint="cs"/>
                <w:szCs w:val="20"/>
                <w:rtl/>
              </w:rPr>
              <w:t>הוצ' ביקורת ומשפטיות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59</w:t>
            </w:r>
          </w:p>
        </w:tc>
        <w:tc>
          <w:tcPr>
            <w:tcW w:w="0" w:type="auto"/>
          </w:tcPr>
          <w:p>
            <w:pPr>
              <w:spacing w:line="240" w:lineRule="auto"/>
              <w:ind w:left="0" w:right="0"/>
              <w:jc w:val="both"/>
              <w:rPr>
                <w:rFonts w:hint="cs"/>
                <w:szCs w:val="20"/>
              </w:rPr>
            </w:pPr>
            <w:r>
              <w:rPr>
                <w:rFonts w:hint="cs"/>
                <w:szCs w:val="20"/>
                <w:rtl/>
              </w:rPr>
              <w:t>122</w:t>
            </w:r>
          </w:p>
        </w:tc>
        <w:tc>
          <w:tcPr>
            <w:tcW w:w="0" w:type="auto"/>
          </w:tcPr>
          <w:p>
            <w:pPr>
              <w:spacing w:line="240" w:lineRule="auto"/>
              <w:ind w:left="0" w:right="0"/>
              <w:jc w:val="both"/>
              <w:rPr>
                <w:rFonts w:hint="cs"/>
                <w:szCs w:val="20"/>
              </w:rPr>
            </w:pPr>
            <w:r>
              <w:rPr>
                <w:rFonts w:hint="cs"/>
                <w:szCs w:val="20"/>
                <w:rtl/>
              </w:rPr>
              <w:t>9</w:t>
            </w:r>
          </w:p>
        </w:tc>
        <w:tc>
          <w:tcPr>
            <w:tcW w:w="0" w:type="auto"/>
          </w:tcPr>
          <w:p>
            <w:pPr>
              <w:spacing w:line="240" w:lineRule="auto"/>
              <w:ind w:left="0" w:right="0"/>
              <w:jc w:val="both"/>
              <w:rPr>
                <w:rFonts w:hint="cs"/>
                <w:szCs w:val="20"/>
              </w:rPr>
            </w:pPr>
            <w:r>
              <w:rPr>
                <w:rFonts w:hint="cs"/>
                <w:szCs w:val="20"/>
                <w:rtl/>
              </w:rPr>
              <w:t>החזר הוצאות הדירקטוריון</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10</w:t>
            </w:r>
          </w:p>
        </w:tc>
        <w:tc>
          <w:tcPr>
            <w:tcW w:w="0" w:type="auto"/>
          </w:tcPr>
          <w:p>
            <w:pPr>
              <w:spacing w:line="240" w:lineRule="auto"/>
              <w:ind w:left="0" w:right="0"/>
              <w:jc w:val="both"/>
              <w:rPr>
                <w:rFonts w:hint="cs"/>
                <w:szCs w:val="20"/>
              </w:rPr>
            </w:pPr>
            <w:r>
              <w:rPr>
                <w:rFonts w:hint="cs"/>
                <w:szCs w:val="20"/>
                <w:rtl/>
              </w:rPr>
              <w:t>41</w:t>
            </w:r>
          </w:p>
        </w:tc>
        <w:tc>
          <w:tcPr>
            <w:tcW w:w="0" w:type="auto"/>
          </w:tcPr>
          <w:p>
            <w:pPr>
              <w:spacing w:line="240" w:lineRule="auto"/>
              <w:ind w:left="0" w:right="0"/>
              <w:jc w:val="both"/>
              <w:rPr>
                <w:rFonts w:hint="cs"/>
                <w:szCs w:val="20"/>
              </w:rPr>
            </w:pPr>
            <w:r>
              <w:rPr>
                <w:rFonts w:hint="cs"/>
                <w:szCs w:val="20"/>
                <w:rtl/>
              </w:rPr>
              <w:t>-</w:t>
            </w:r>
          </w:p>
        </w:tc>
        <w:tc>
          <w:tcPr>
            <w:tcW w:w="0" w:type="auto"/>
          </w:tcPr>
          <w:p>
            <w:pPr>
              <w:spacing w:line="240" w:lineRule="auto"/>
              <w:ind w:left="0" w:right="0"/>
              <w:jc w:val="both"/>
              <w:rPr>
                <w:rFonts w:hint="cs"/>
                <w:szCs w:val="20"/>
              </w:rPr>
            </w:pPr>
            <w:r>
              <w:rPr>
                <w:rFonts w:hint="cs"/>
                <w:szCs w:val="20"/>
                <w:rtl/>
              </w:rPr>
              <w:t>הוצ' החזקת משרד</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2,466</w:t>
            </w:r>
          </w:p>
        </w:tc>
        <w:tc>
          <w:tcPr>
            <w:tcW w:w="0" w:type="auto"/>
          </w:tcPr>
          <w:p>
            <w:pPr>
              <w:spacing w:line="240" w:lineRule="auto"/>
              <w:ind w:left="0" w:right="0"/>
              <w:jc w:val="both"/>
              <w:rPr>
                <w:rFonts w:hint="cs"/>
                <w:szCs w:val="20"/>
              </w:rPr>
            </w:pPr>
            <w:r>
              <w:rPr>
                <w:rFonts w:hint="cs"/>
                <w:szCs w:val="20"/>
                <w:rtl/>
              </w:rPr>
              <w:t>5,030</w:t>
            </w:r>
          </w:p>
        </w:tc>
        <w:tc>
          <w:tcPr>
            <w:tcW w:w="0" w:type="auto"/>
          </w:tcPr>
          <w:p>
            <w:pPr>
              <w:spacing w:line="240" w:lineRule="auto"/>
              <w:ind w:left="0" w:right="0"/>
              <w:jc w:val="both"/>
              <w:rPr>
                <w:rFonts w:hint="cs"/>
                <w:szCs w:val="20"/>
              </w:rPr>
            </w:pPr>
            <w:r>
              <w:rPr>
                <w:rFonts w:hint="cs"/>
                <w:szCs w:val="20"/>
                <w:rtl/>
              </w:rPr>
              <w:t>1,442</w:t>
            </w:r>
          </w:p>
        </w:tc>
        <w:tc>
          <w:tcPr>
            <w:tcW w:w="0" w:type="auto"/>
          </w:tcPr>
          <w:p>
            <w:pPr>
              <w:spacing w:line="240" w:lineRule="auto"/>
              <w:ind w:left="0" w:right="0"/>
              <w:jc w:val="both"/>
              <w:rPr>
                <w:rFonts w:hint="cs"/>
                <w:szCs w:val="20"/>
              </w:rPr>
            </w:pP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b/>
                <w:bCs/>
                <w:szCs w:val="20"/>
                <w:u w:val="single"/>
              </w:rPr>
            </w:pPr>
            <w:r>
              <w:rPr>
                <w:rFonts w:hint="cs"/>
                <w:b/>
                <w:bCs/>
                <w:szCs w:val="20"/>
                <w:u w:val="single"/>
                <w:rtl/>
              </w:rPr>
              <w:t>45,599</w:t>
            </w:r>
          </w:p>
        </w:tc>
        <w:tc>
          <w:tcPr>
            <w:tcW w:w="0" w:type="auto"/>
          </w:tcPr>
          <w:p>
            <w:pPr>
              <w:spacing w:line="240" w:lineRule="auto"/>
              <w:ind w:left="0" w:right="0"/>
              <w:jc w:val="both"/>
              <w:rPr>
                <w:rFonts w:hint="cs"/>
                <w:b/>
                <w:bCs/>
                <w:szCs w:val="20"/>
                <w:u w:val="single"/>
              </w:rPr>
            </w:pPr>
            <w:r>
              <w:rPr>
                <w:rFonts w:hint="cs"/>
                <w:b/>
                <w:bCs/>
                <w:szCs w:val="20"/>
                <w:u w:val="single"/>
                <w:rtl/>
              </w:rPr>
              <w:t>94,247</w:t>
            </w:r>
          </w:p>
        </w:tc>
        <w:tc>
          <w:tcPr>
            <w:tcW w:w="0" w:type="auto"/>
          </w:tcPr>
          <w:p>
            <w:pPr>
              <w:spacing w:line="240" w:lineRule="auto"/>
              <w:ind w:left="0" w:right="0"/>
              <w:jc w:val="both"/>
              <w:rPr>
                <w:rFonts w:hint="cs"/>
                <w:b/>
                <w:bCs/>
                <w:szCs w:val="20"/>
                <w:u w:val="single"/>
              </w:rPr>
            </w:pPr>
            <w:r>
              <w:rPr>
                <w:rFonts w:hint="cs"/>
                <w:b/>
                <w:bCs/>
                <w:szCs w:val="20"/>
                <w:u w:val="single"/>
                <w:rtl/>
              </w:rPr>
              <w:t>26,876</w:t>
            </w:r>
          </w:p>
        </w:tc>
        <w:tc>
          <w:tcPr>
            <w:tcW w:w="0" w:type="auto"/>
          </w:tcPr>
          <w:p>
            <w:pPr>
              <w:spacing w:line="240" w:lineRule="auto"/>
              <w:ind w:left="0" w:right="0"/>
              <w:jc w:val="both"/>
              <w:rPr>
                <w:rFonts w:hint="cs"/>
                <w:szCs w:val="20"/>
              </w:rPr>
            </w:pPr>
            <w:r>
              <w:rPr>
                <w:rFonts w:hint="cs"/>
                <w:szCs w:val="20"/>
                <w:rtl/>
              </w:rPr>
              <w:t>עודף הכנסות על הוצאות</w:t>
            </w:r>
          </w:p>
        </w:tc>
      </w:tr>
      <w:tr>
        <w:tblPrEx>
          <w:tblW w:w="0" w:type="auto"/>
          <w:jc w:val="right"/>
          <w:tblInd w:w="567" w:type="dxa"/>
          <w:tblCellMar>
            <w:left w:w="108" w:type="dxa"/>
            <w:right w:w="108" w:type="dxa"/>
          </w:tblCellMar>
          <w:tblLook w:val="0000"/>
        </w:tblPrEx>
        <w:trPr>
          <w:cantSplit/>
          <w:jc w:val="right"/>
        </w:trPr>
        <w:tc>
          <w:tcPr>
            <w:tcW w:w="0" w:type="auto"/>
            <w:gridSpan w:val="4"/>
          </w:tcPr>
          <w:p>
            <w:pPr>
              <w:spacing w:line="240" w:lineRule="auto"/>
              <w:ind w:left="0" w:right="0"/>
              <w:jc w:val="both"/>
              <w:rPr>
                <w:szCs w:val="20"/>
              </w:rPr>
            </w:pPr>
            <w:r>
              <w:rPr>
                <w:rFonts w:hint="cs"/>
                <w:b/>
                <w:bCs/>
                <w:szCs w:val="20"/>
                <w:rtl/>
              </w:rPr>
              <w:t>התנועה בקרן ההשתלמות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199,580</w:t>
            </w:r>
          </w:p>
        </w:tc>
        <w:tc>
          <w:tcPr>
            <w:tcW w:w="0" w:type="auto"/>
          </w:tcPr>
          <w:p>
            <w:pPr>
              <w:spacing w:line="240" w:lineRule="auto"/>
              <w:ind w:left="0" w:right="0"/>
              <w:jc w:val="both"/>
              <w:rPr>
                <w:rFonts w:hint="cs"/>
                <w:szCs w:val="20"/>
              </w:rPr>
            </w:pPr>
            <w:r>
              <w:rPr>
                <w:rFonts w:hint="cs"/>
                <w:szCs w:val="20"/>
                <w:rtl/>
              </w:rPr>
              <w:t>415,851</w:t>
            </w:r>
          </w:p>
        </w:tc>
        <w:tc>
          <w:tcPr>
            <w:tcW w:w="0" w:type="auto"/>
          </w:tcPr>
          <w:p>
            <w:pPr>
              <w:spacing w:line="240" w:lineRule="auto"/>
              <w:ind w:left="0" w:right="0"/>
              <w:jc w:val="both"/>
              <w:rPr>
                <w:rFonts w:hint="cs"/>
                <w:szCs w:val="20"/>
              </w:rPr>
            </w:pPr>
            <w:r>
              <w:rPr>
                <w:rFonts w:hint="cs"/>
                <w:szCs w:val="20"/>
                <w:rtl/>
              </w:rPr>
              <w:t>124,331</w:t>
            </w:r>
          </w:p>
        </w:tc>
        <w:tc>
          <w:tcPr>
            <w:tcW w:w="0" w:type="auto"/>
          </w:tcPr>
          <w:p>
            <w:pPr>
              <w:spacing w:line="240" w:lineRule="auto"/>
              <w:ind w:left="0" w:right="0"/>
              <w:jc w:val="both"/>
              <w:rPr>
                <w:rFonts w:hint="cs"/>
                <w:szCs w:val="20"/>
              </w:rPr>
            </w:pPr>
            <w:r>
              <w:rPr>
                <w:rFonts w:hint="cs"/>
                <w:szCs w:val="20"/>
                <w:rtl/>
              </w:rPr>
              <w:t>יתרה ל-1.9.89</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tl/>
              </w:rPr>
            </w:pPr>
          </w:p>
          <w:p>
            <w:pPr>
              <w:spacing w:line="240" w:lineRule="auto"/>
              <w:ind w:left="0" w:right="0"/>
              <w:jc w:val="both"/>
              <w:rPr>
                <w:rFonts w:hint="cs"/>
                <w:szCs w:val="20"/>
                <w:rtl/>
              </w:rPr>
            </w:pPr>
            <w:r>
              <w:rPr>
                <w:rFonts w:hint="cs"/>
                <w:szCs w:val="20"/>
                <w:rtl/>
              </w:rPr>
              <w:t>2</w:t>
            </w:r>
            <w:r>
              <w:rPr>
                <w:rFonts w:hint="cs"/>
                <w:szCs w:val="20"/>
                <w:rtl/>
              </w:rPr>
              <w:t>7,944</w:t>
            </w:r>
          </w:p>
          <w:p>
            <w:pPr>
              <w:spacing w:line="240" w:lineRule="auto"/>
              <w:ind w:left="0" w:right="0"/>
              <w:jc w:val="both"/>
              <w:rPr>
                <w:rFonts w:hint="cs"/>
                <w:szCs w:val="20"/>
              </w:rPr>
            </w:pPr>
            <w:r>
              <w:rPr>
                <w:rFonts w:hint="cs"/>
                <w:szCs w:val="20"/>
                <w:rtl/>
              </w:rPr>
              <w:t>13,969</w:t>
            </w:r>
          </w:p>
        </w:tc>
        <w:tc>
          <w:tcPr>
            <w:tcW w:w="0" w:type="auto"/>
          </w:tcPr>
          <w:p>
            <w:pPr>
              <w:spacing w:line="240" w:lineRule="auto"/>
              <w:ind w:left="0" w:right="0"/>
              <w:jc w:val="both"/>
              <w:rPr>
                <w:rFonts w:hint="cs"/>
                <w:szCs w:val="20"/>
                <w:rtl/>
              </w:rPr>
            </w:pPr>
          </w:p>
          <w:p>
            <w:pPr>
              <w:spacing w:line="240" w:lineRule="auto"/>
              <w:ind w:left="0" w:right="0"/>
              <w:jc w:val="both"/>
              <w:rPr>
                <w:rFonts w:hint="cs"/>
                <w:szCs w:val="20"/>
                <w:rtl/>
              </w:rPr>
            </w:pPr>
            <w:r>
              <w:rPr>
                <w:rFonts w:hint="cs"/>
                <w:szCs w:val="20"/>
                <w:rtl/>
              </w:rPr>
              <w:t>52,859</w:t>
            </w:r>
          </w:p>
          <w:p>
            <w:pPr>
              <w:spacing w:line="240" w:lineRule="auto"/>
              <w:ind w:left="0" w:right="0"/>
              <w:jc w:val="both"/>
              <w:rPr>
                <w:rFonts w:hint="cs"/>
                <w:szCs w:val="20"/>
              </w:rPr>
            </w:pPr>
            <w:r>
              <w:rPr>
                <w:rFonts w:hint="cs"/>
                <w:szCs w:val="20"/>
                <w:rtl/>
              </w:rPr>
              <w:t>26,417</w:t>
            </w:r>
          </w:p>
        </w:tc>
        <w:tc>
          <w:tcPr>
            <w:tcW w:w="0" w:type="auto"/>
          </w:tcPr>
          <w:p>
            <w:pPr>
              <w:spacing w:line="240" w:lineRule="auto"/>
              <w:ind w:left="0" w:right="0"/>
              <w:jc w:val="both"/>
              <w:rPr>
                <w:rFonts w:hint="cs"/>
                <w:szCs w:val="20"/>
                <w:rtl/>
              </w:rPr>
            </w:pPr>
          </w:p>
          <w:p>
            <w:pPr>
              <w:spacing w:line="240" w:lineRule="auto"/>
              <w:ind w:left="0" w:right="0"/>
              <w:jc w:val="both"/>
              <w:rPr>
                <w:rFonts w:hint="cs"/>
                <w:szCs w:val="20"/>
                <w:rtl/>
              </w:rPr>
            </w:pPr>
            <w:r>
              <w:rPr>
                <w:rFonts w:hint="cs"/>
                <w:szCs w:val="20"/>
                <w:rtl/>
              </w:rPr>
              <w:t>20,061</w:t>
            </w:r>
          </w:p>
          <w:p>
            <w:pPr>
              <w:spacing w:line="240" w:lineRule="auto"/>
              <w:ind w:left="0" w:right="0"/>
              <w:jc w:val="both"/>
              <w:rPr>
                <w:rFonts w:hint="cs"/>
                <w:szCs w:val="20"/>
              </w:rPr>
            </w:pPr>
            <w:r>
              <w:rPr>
                <w:rFonts w:hint="cs"/>
                <w:szCs w:val="20"/>
                <w:rtl/>
              </w:rPr>
              <w:t>10,056</w:t>
            </w:r>
          </w:p>
        </w:tc>
        <w:tc>
          <w:tcPr>
            <w:tcW w:w="0" w:type="auto"/>
          </w:tcPr>
          <w:p>
            <w:pPr>
              <w:spacing w:line="240" w:lineRule="auto"/>
              <w:ind w:left="0" w:right="0"/>
              <w:jc w:val="both"/>
              <w:rPr>
                <w:rFonts w:hint="cs"/>
                <w:szCs w:val="20"/>
                <w:rtl/>
              </w:rPr>
            </w:pPr>
            <w:r>
              <w:rPr>
                <w:rFonts w:hint="cs"/>
                <w:szCs w:val="20"/>
                <w:rtl/>
              </w:rPr>
              <w:t>העברות שוטפות:</w:t>
            </w:r>
          </w:p>
          <w:p>
            <w:pPr>
              <w:spacing w:line="240" w:lineRule="auto"/>
              <w:ind w:left="0" w:right="0"/>
              <w:jc w:val="both"/>
              <w:rPr>
                <w:rFonts w:hint="cs"/>
                <w:szCs w:val="20"/>
                <w:rtl/>
              </w:rPr>
            </w:pPr>
            <w:r>
              <w:rPr>
                <w:rFonts w:hint="cs"/>
                <w:szCs w:val="20"/>
                <w:rtl/>
              </w:rPr>
              <w:t xml:space="preserve">             מעסיקים</w:t>
            </w:r>
          </w:p>
          <w:p>
            <w:pPr>
              <w:spacing w:line="240" w:lineRule="auto"/>
              <w:ind w:left="0" w:right="0"/>
              <w:jc w:val="both"/>
              <w:rPr>
                <w:rFonts w:hint="cs"/>
                <w:szCs w:val="20"/>
              </w:rPr>
            </w:pPr>
            <w:r>
              <w:rPr>
                <w:rFonts w:hint="cs"/>
                <w:szCs w:val="20"/>
                <w:rtl/>
              </w:rPr>
              <w:t xml:space="preserve">             עמיתים</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41,913</w:t>
            </w:r>
          </w:p>
        </w:tc>
        <w:tc>
          <w:tcPr>
            <w:tcW w:w="0" w:type="auto"/>
          </w:tcPr>
          <w:p>
            <w:pPr>
              <w:spacing w:line="240" w:lineRule="auto"/>
              <w:ind w:left="0" w:right="0"/>
              <w:jc w:val="both"/>
              <w:rPr>
                <w:rFonts w:hint="cs"/>
                <w:szCs w:val="20"/>
              </w:rPr>
            </w:pPr>
            <w:r>
              <w:rPr>
                <w:rFonts w:hint="cs"/>
                <w:szCs w:val="20"/>
                <w:rtl/>
              </w:rPr>
              <w:t>79,276</w:t>
            </w:r>
          </w:p>
        </w:tc>
        <w:tc>
          <w:tcPr>
            <w:tcW w:w="0" w:type="auto"/>
          </w:tcPr>
          <w:p>
            <w:pPr>
              <w:spacing w:line="240" w:lineRule="auto"/>
              <w:ind w:left="0" w:right="0"/>
              <w:jc w:val="both"/>
              <w:rPr>
                <w:rFonts w:hint="cs"/>
                <w:szCs w:val="20"/>
              </w:rPr>
            </w:pPr>
            <w:r>
              <w:rPr>
                <w:rFonts w:hint="cs"/>
                <w:szCs w:val="20"/>
                <w:rtl/>
              </w:rPr>
              <w:t>30,117</w:t>
            </w:r>
          </w:p>
        </w:tc>
        <w:tc>
          <w:tcPr>
            <w:tcW w:w="0" w:type="auto"/>
          </w:tcPr>
          <w:p>
            <w:pPr>
              <w:spacing w:line="240" w:lineRule="auto"/>
              <w:ind w:left="0" w:right="0"/>
              <w:jc w:val="both"/>
              <w:rPr>
                <w:rFonts w:hint="cs"/>
                <w:szCs w:val="20"/>
              </w:rPr>
            </w:pPr>
            <w:r>
              <w:rPr>
                <w:rFonts w:hint="cs"/>
                <w:szCs w:val="20"/>
                <w:rtl/>
              </w:rPr>
              <w:t xml:space="preserve">             ס"ה</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45,599</w:t>
            </w:r>
          </w:p>
        </w:tc>
        <w:tc>
          <w:tcPr>
            <w:tcW w:w="0" w:type="auto"/>
          </w:tcPr>
          <w:p>
            <w:pPr>
              <w:spacing w:line="240" w:lineRule="auto"/>
              <w:ind w:left="0" w:right="0"/>
              <w:jc w:val="both"/>
              <w:rPr>
                <w:rFonts w:hint="cs"/>
                <w:szCs w:val="20"/>
              </w:rPr>
            </w:pPr>
            <w:r>
              <w:rPr>
                <w:rFonts w:hint="cs"/>
                <w:szCs w:val="20"/>
                <w:rtl/>
              </w:rPr>
              <w:t>94,247</w:t>
            </w:r>
          </w:p>
        </w:tc>
        <w:tc>
          <w:tcPr>
            <w:tcW w:w="0" w:type="auto"/>
          </w:tcPr>
          <w:p>
            <w:pPr>
              <w:spacing w:line="240" w:lineRule="auto"/>
              <w:ind w:left="0" w:right="0"/>
              <w:jc w:val="both"/>
              <w:rPr>
                <w:rFonts w:hint="cs"/>
                <w:szCs w:val="20"/>
              </w:rPr>
            </w:pPr>
            <w:r>
              <w:rPr>
                <w:rFonts w:hint="cs"/>
                <w:szCs w:val="20"/>
                <w:rtl/>
              </w:rPr>
              <w:t>26,876</w:t>
            </w:r>
          </w:p>
        </w:tc>
        <w:tc>
          <w:tcPr>
            <w:tcW w:w="0" w:type="auto"/>
          </w:tcPr>
          <w:p>
            <w:pPr>
              <w:spacing w:line="240" w:lineRule="auto"/>
              <w:ind w:left="0" w:right="0"/>
              <w:jc w:val="both"/>
              <w:rPr>
                <w:rFonts w:hint="cs"/>
                <w:szCs w:val="20"/>
              </w:rPr>
            </w:pPr>
            <w:r>
              <w:rPr>
                <w:rFonts w:hint="cs"/>
                <w:szCs w:val="20"/>
                <w:rtl/>
              </w:rPr>
              <w:t>עודף הכנסות על הוצאות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b/>
                <w:bCs/>
                <w:szCs w:val="20"/>
              </w:rPr>
            </w:pPr>
            <w:r>
              <w:rPr>
                <w:rFonts w:hint="cs"/>
                <w:b/>
                <w:bCs/>
                <w:szCs w:val="20"/>
                <w:rtl/>
              </w:rPr>
              <w:t>87,512</w:t>
            </w:r>
          </w:p>
        </w:tc>
        <w:tc>
          <w:tcPr>
            <w:tcW w:w="0" w:type="auto"/>
          </w:tcPr>
          <w:p>
            <w:pPr>
              <w:spacing w:line="240" w:lineRule="auto"/>
              <w:ind w:left="0" w:right="0"/>
              <w:jc w:val="both"/>
              <w:rPr>
                <w:rFonts w:hint="cs"/>
                <w:b/>
                <w:bCs/>
                <w:szCs w:val="20"/>
              </w:rPr>
            </w:pPr>
            <w:r>
              <w:rPr>
                <w:rFonts w:hint="cs"/>
                <w:b/>
                <w:bCs/>
                <w:szCs w:val="20"/>
                <w:rtl/>
              </w:rPr>
              <w:t>173,523</w:t>
            </w:r>
          </w:p>
        </w:tc>
        <w:tc>
          <w:tcPr>
            <w:tcW w:w="0" w:type="auto"/>
          </w:tcPr>
          <w:p>
            <w:pPr>
              <w:spacing w:line="240" w:lineRule="auto"/>
              <w:ind w:left="0" w:right="0"/>
              <w:jc w:val="both"/>
              <w:rPr>
                <w:rFonts w:hint="cs"/>
                <w:b/>
                <w:bCs/>
                <w:szCs w:val="20"/>
              </w:rPr>
            </w:pPr>
            <w:r>
              <w:rPr>
                <w:rFonts w:hint="cs"/>
                <w:b/>
                <w:bCs/>
                <w:szCs w:val="20"/>
                <w:rtl/>
              </w:rPr>
              <w:t>56,993</w:t>
            </w:r>
          </w:p>
        </w:tc>
        <w:tc>
          <w:tcPr>
            <w:tcW w:w="0" w:type="auto"/>
          </w:tcPr>
          <w:p>
            <w:pPr>
              <w:spacing w:line="240" w:lineRule="auto"/>
              <w:ind w:left="0" w:right="0"/>
              <w:jc w:val="both"/>
              <w:rPr>
                <w:rFonts w:hint="cs"/>
                <w:szCs w:val="20"/>
              </w:rPr>
            </w:pPr>
            <w:r>
              <w:rPr>
                <w:rFonts w:hint="cs"/>
                <w:szCs w:val="20"/>
                <w:rtl/>
              </w:rPr>
              <w:t>ס"ה העברות ועודף הכנסות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26,013</w:t>
            </w:r>
          </w:p>
        </w:tc>
        <w:tc>
          <w:tcPr>
            <w:tcW w:w="0" w:type="auto"/>
          </w:tcPr>
          <w:p>
            <w:pPr>
              <w:spacing w:line="240" w:lineRule="auto"/>
              <w:ind w:left="0" w:right="0"/>
              <w:jc w:val="both"/>
              <w:rPr>
                <w:rFonts w:hint="cs"/>
                <w:szCs w:val="20"/>
              </w:rPr>
            </w:pPr>
            <w:r>
              <w:rPr>
                <w:rFonts w:hint="cs"/>
                <w:szCs w:val="20"/>
                <w:rtl/>
              </w:rPr>
              <w:t>62,372</w:t>
            </w:r>
          </w:p>
        </w:tc>
        <w:tc>
          <w:tcPr>
            <w:tcW w:w="0" w:type="auto"/>
          </w:tcPr>
          <w:p>
            <w:pPr>
              <w:spacing w:line="240" w:lineRule="auto"/>
              <w:ind w:left="0" w:right="0"/>
              <w:jc w:val="both"/>
              <w:rPr>
                <w:rFonts w:hint="cs"/>
                <w:szCs w:val="20"/>
              </w:rPr>
            </w:pPr>
            <w:r>
              <w:rPr>
                <w:rFonts w:hint="cs"/>
                <w:szCs w:val="20"/>
                <w:rtl/>
              </w:rPr>
              <w:t>22,461</w:t>
            </w:r>
          </w:p>
        </w:tc>
        <w:tc>
          <w:tcPr>
            <w:tcW w:w="0" w:type="auto"/>
          </w:tcPr>
          <w:p>
            <w:pPr>
              <w:spacing w:line="240" w:lineRule="auto"/>
              <w:ind w:left="0" w:right="0"/>
              <w:jc w:val="both"/>
              <w:rPr>
                <w:rFonts w:hint="cs"/>
                <w:szCs w:val="20"/>
              </w:rPr>
            </w:pPr>
            <w:r>
              <w:rPr>
                <w:rFonts w:hint="cs"/>
                <w:szCs w:val="20"/>
                <w:rtl/>
              </w:rPr>
              <w:t>תשלומים בגין השתלמות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tl/>
              </w:rPr>
            </w:pPr>
            <w:r>
              <w:rPr>
                <w:rFonts w:hint="cs"/>
                <w:szCs w:val="20"/>
                <w:rtl/>
              </w:rPr>
              <w:t>7,652</w:t>
            </w:r>
          </w:p>
        </w:tc>
        <w:tc>
          <w:tcPr>
            <w:tcW w:w="0" w:type="auto"/>
          </w:tcPr>
          <w:p>
            <w:pPr>
              <w:spacing w:line="240" w:lineRule="auto"/>
              <w:ind w:left="0" w:right="0"/>
              <w:jc w:val="both"/>
              <w:rPr>
                <w:rFonts w:hint="cs"/>
                <w:szCs w:val="20"/>
                <w:rtl/>
              </w:rPr>
            </w:pPr>
            <w:r>
              <w:rPr>
                <w:rFonts w:hint="cs"/>
                <w:szCs w:val="20"/>
                <w:rtl/>
              </w:rPr>
              <w:t>11,306</w:t>
            </w:r>
          </w:p>
        </w:tc>
        <w:tc>
          <w:tcPr>
            <w:tcW w:w="0" w:type="auto"/>
          </w:tcPr>
          <w:p>
            <w:pPr>
              <w:spacing w:line="240" w:lineRule="auto"/>
              <w:ind w:left="0" w:right="0"/>
              <w:jc w:val="both"/>
              <w:rPr>
                <w:rFonts w:hint="cs"/>
                <w:szCs w:val="20"/>
                <w:rtl/>
              </w:rPr>
            </w:pPr>
            <w:r>
              <w:rPr>
                <w:rFonts w:hint="cs"/>
                <w:szCs w:val="20"/>
                <w:rtl/>
              </w:rPr>
              <w:t>3,415</w:t>
            </w:r>
          </w:p>
        </w:tc>
        <w:tc>
          <w:tcPr>
            <w:tcW w:w="0" w:type="auto"/>
          </w:tcPr>
          <w:p>
            <w:pPr>
              <w:spacing w:line="240" w:lineRule="auto"/>
              <w:ind w:left="0" w:right="0"/>
              <w:jc w:val="both"/>
              <w:rPr>
                <w:rFonts w:hint="cs"/>
                <w:szCs w:val="20"/>
                <w:rtl/>
              </w:rPr>
            </w:pPr>
            <w:r>
              <w:rPr>
                <w:rFonts w:hint="cs"/>
                <w:szCs w:val="20"/>
                <w:rtl/>
              </w:rPr>
              <w:t>תשלומים לפורשים והעברות נטו לקרנות אחרות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tl/>
              </w:rPr>
            </w:pPr>
            <w:r>
              <w:rPr>
                <w:rFonts w:hint="cs"/>
                <w:szCs w:val="20"/>
                <w:rtl/>
              </w:rPr>
              <w:t>33,665</w:t>
            </w:r>
          </w:p>
        </w:tc>
        <w:tc>
          <w:tcPr>
            <w:tcW w:w="0" w:type="auto"/>
          </w:tcPr>
          <w:p>
            <w:pPr>
              <w:spacing w:line="240" w:lineRule="auto"/>
              <w:ind w:left="0" w:right="0"/>
              <w:jc w:val="both"/>
              <w:rPr>
                <w:rFonts w:hint="cs"/>
                <w:szCs w:val="20"/>
                <w:rtl/>
              </w:rPr>
            </w:pPr>
            <w:r>
              <w:rPr>
                <w:rFonts w:hint="cs"/>
                <w:szCs w:val="20"/>
                <w:rtl/>
              </w:rPr>
              <w:t>73,678</w:t>
            </w:r>
          </w:p>
        </w:tc>
        <w:tc>
          <w:tcPr>
            <w:tcW w:w="0" w:type="auto"/>
          </w:tcPr>
          <w:p>
            <w:pPr>
              <w:spacing w:line="240" w:lineRule="auto"/>
              <w:ind w:left="0" w:right="0"/>
              <w:jc w:val="both"/>
              <w:rPr>
                <w:rFonts w:hint="cs"/>
                <w:szCs w:val="20"/>
                <w:rtl/>
              </w:rPr>
            </w:pPr>
            <w:r>
              <w:rPr>
                <w:rFonts w:hint="cs"/>
                <w:szCs w:val="20"/>
                <w:rtl/>
              </w:rPr>
              <w:t>25,876</w:t>
            </w:r>
          </w:p>
        </w:tc>
        <w:tc>
          <w:tcPr>
            <w:tcW w:w="0" w:type="auto"/>
          </w:tcPr>
          <w:p>
            <w:pPr>
              <w:spacing w:line="240" w:lineRule="auto"/>
              <w:ind w:left="0" w:right="0"/>
              <w:jc w:val="both"/>
              <w:rPr>
                <w:rFonts w:hint="cs"/>
                <w:szCs w:val="20"/>
                <w:rtl/>
              </w:rPr>
            </w:pPr>
            <w:r>
              <w:rPr>
                <w:rFonts w:hint="cs"/>
                <w:szCs w:val="20"/>
                <w:rtl/>
              </w:rPr>
              <w:t>ס"ה תשלומים</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tl/>
              </w:rPr>
            </w:pPr>
            <w:r>
              <w:rPr>
                <w:rFonts w:hint="cs"/>
                <w:szCs w:val="20"/>
                <w:rtl/>
              </w:rPr>
              <w:t>53,847</w:t>
            </w:r>
          </w:p>
        </w:tc>
        <w:tc>
          <w:tcPr>
            <w:tcW w:w="0" w:type="auto"/>
          </w:tcPr>
          <w:p>
            <w:pPr>
              <w:spacing w:line="240" w:lineRule="auto"/>
              <w:ind w:left="0" w:right="0"/>
              <w:jc w:val="both"/>
              <w:rPr>
                <w:rFonts w:hint="cs"/>
                <w:szCs w:val="20"/>
                <w:rtl/>
              </w:rPr>
            </w:pPr>
            <w:r>
              <w:rPr>
                <w:rFonts w:hint="cs"/>
                <w:szCs w:val="20"/>
                <w:rtl/>
              </w:rPr>
              <w:t>99,845</w:t>
            </w:r>
          </w:p>
        </w:tc>
        <w:tc>
          <w:tcPr>
            <w:tcW w:w="0" w:type="auto"/>
          </w:tcPr>
          <w:p>
            <w:pPr>
              <w:spacing w:line="240" w:lineRule="auto"/>
              <w:ind w:left="0" w:right="0"/>
              <w:jc w:val="both"/>
              <w:rPr>
                <w:rFonts w:hint="cs"/>
                <w:szCs w:val="20"/>
                <w:rtl/>
              </w:rPr>
            </w:pPr>
            <w:r>
              <w:rPr>
                <w:rFonts w:hint="cs"/>
                <w:szCs w:val="20"/>
                <w:rtl/>
              </w:rPr>
              <w:t>31,117</w:t>
            </w:r>
          </w:p>
        </w:tc>
        <w:tc>
          <w:tcPr>
            <w:tcW w:w="0" w:type="auto"/>
          </w:tcPr>
          <w:p>
            <w:pPr>
              <w:spacing w:line="240" w:lineRule="auto"/>
              <w:ind w:left="0" w:right="0"/>
              <w:jc w:val="both"/>
              <w:rPr>
                <w:rFonts w:hint="cs"/>
                <w:szCs w:val="20"/>
                <w:rtl/>
              </w:rPr>
            </w:pPr>
            <w:r>
              <w:rPr>
                <w:rFonts w:hint="cs"/>
                <w:szCs w:val="20"/>
                <w:rtl/>
              </w:rPr>
              <w:t xml:space="preserve">הגידול בקרן במשך השנה </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u w:val="single"/>
                <w:rtl/>
              </w:rPr>
            </w:pPr>
            <w:r>
              <w:rPr>
                <w:rFonts w:hint="cs"/>
                <w:szCs w:val="20"/>
                <w:u w:val="single"/>
                <w:rtl/>
              </w:rPr>
              <w:t>253,427</w:t>
            </w:r>
          </w:p>
        </w:tc>
        <w:tc>
          <w:tcPr>
            <w:tcW w:w="0" w:type="auto"/>
          </w:tcPr>
          <w:p>
            <w:pPr>
              <w:spacing w:line="240" w:lineRule="auto"/>
              <w:ind w:left="0" w:right="0"/>
              <w:jc w:val="both"/>
              <w:rPr>
                <w:rFonts w:hint="cs"/>
                <w:szCs w:val="20"/>
                <w:u w:val="single"/>
                <w:rtl/>
              </w:rPr>
            </w:pPr>
            <w:r>
              <w:rPr>
                <w:rFonts w:hint="cs"/>
                <w:szCs w:val="20"/>
                <w:u w:val="single"/>
                <w:rtl/>
              </w:rPr>
              <w:t>515,696</w:t>
            </w:r>
          </w:p>
        </w:tc>
        <w:tc>
          <w:tcPr>
            <w:tcW w:w="0" w:type="auto"/>
          </w:tcPr>
          <w:p>
            <w:pPr>
              <w:spacing w:line="240" w:lineRule="auto"/>
              <w:ind w:left="0" w:right="0"/>
              <w:jc w:val="both"/>
              <w:rPr>
                <w:rFonts w:hint="cs"/>
                <w:szCs w:val="20"/>
                <w:u w:val="single"/>
                <w:rtl/>
              </w:rPr>
            </w:pPr>
            <w:r>
              <w:rPr>
                <w:rFonts w:hint="cs"/>
                <w:szCs w:val="20"/>
                <w:u w:val="single"/>
                <w:rtl/>
              </w:rPr>
              <w:t>155,448</w:t>
            </w:r>
          </w:p>
        </w:tc>
        <w:tc>
          <w:tcPr>
            <w:tcW w:w="0" w:type="auto"/>
          </w:tcPr>
          <w:p>
            <w:pPr>
              <w:spacing w:line="240" w:lineRule="auto"/>
              <w:ind w:left="0" w:right="0"/>
              <w:jc w:val="both"/>
              <w:rPr>
                <w:rFonts w:hint="cs"/>
                <w:szCs w:val="20"/>
                <w:rtl/>
              </w:rPr>
            </w:pPr>
            <w:r>
              <w:rPr>
                <w:rFonts w:hint="cs"/>
                <w:szCs w:val="20"/>
                <w:rtl/>
              </w:rPr>
              <w:t>היתרה ל-31.8.90</w:t>
            </w:r>
          </w:p>
        </w:tc>
      </w:tr>
    </w:tbl>
    <w:p>
      <w:pPr>
        <w:spacing w:line="240" w:lineRule="auto"/>
        <w:ind w:left="0" w:right="0"/>
        <w:jc w:val="both"/>
        <w:rPr>
          <w:rtl/>
        </w:rPr>
      </w:pPr>
    </w:p>
    <w:p>
      <w:pPr>
        <w:pStyle w:val="4"/>
        <w:spacing w:line="240" w:lineRule="auto"/>
        <w:ind w:left="0" w:right="0"/>
        <w:jc w:val="left"/>
        <w:rPr>
          <w:rFonts w:hint="cs"/>
          <w:rtl/>
        </w:rPr>
      </w:pPr>
      <w:r>
        <w:rPr>
          <w:rtl/>
        </w:rPr>
        <w:br w:type="page"/>
      </w:r>
      <w:r>
        <w:rPr>
          <w:rFonts w:hint="cs"/>
          <w:rtl/>
        </w:rPr>
        <w:t>דמי ניהול למנהל העסקים</w:t>
      </w:r>
    </w:p>
    <w:p>
      <w:pPr>
        <w:spacing w:line="240" w:lineRule="auto"/>
        <w:ind w:left="0" w:right="0"/>
        <w:jc w:val="both"/>
        <w:rPr>
          <w:rFonts w:hint="cs"/>
          <w:rtl/>
        </w:rPr>
      </w:pPr>
      <w:r>
        <w:rPr>
          <w:rFonts w:hint="cs"/>
          <w:rtl/>
        </w:rPr>
        <w:t>בהסכמים בין הקרנות לבין הבנקים המשמשים מנהלי עסקים נקבע, שמנהלי העסקים יקבלו דמי ניהול שנתיים בשיעור של 1% משוויים המשוערך של נכסי הקרנות.</w:t>
      </w:r>
    </w:p>
    <w:p>
      <w:pPr>
        <w:spacing w:line="240" w:lineRule="auto"/>
        <w:ind w:left="0" w:right="0"/>
        <w:jc w:val="both"/>
        <w:rPr>
          <w:rFonts w:hint="cs"/>
          <w:rtl/>
        </w:rPr>
      </w:pPr>
    </w:p>
    <w:p>
      <w:pPr>
        <w:spacing w:line="240" w:lineRule="auto"/>
        <w:ind w:left="0" w:right="0"/>
        <w:jc w:val="both"/>
        <w:rPr>
          <w:rFonts w:hint="cs"/>
          <w:rtl/>
        </w:rPr>
      </w:pPr>
      <w:r>
        <w:rPr>
          <w:rFonts w:hint="cs"/>
          <w:rtl/>
        </w:rPr>
        <w:t>להלן פירוט הסכומים ששילמו הקרנות למנהלי העסקים בשנות הכספים שהסתיימו במועדים המפורטים להלן (באלפי ש"ח):</w:t>
      </w:r>
    </w:p>
    <w:p>
      <w:pPr>
        <w:spacing w:line="240" w:lineRule="auto"/>
        <w:ind w:left="0" w:right="0"/>
        <w:jc w:val="both"/>
        <w:rPr>
          <w:rtl/>
        </w:rPr>
      </w:pPr>
    </w:p>
    <w:tbl>
      <w:tblPr>
        <w:tblW w:w="0" w:type="auto"/>
        <w:jc w:val="right"/>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224"/>
        <w:gridCol w:w="1008"/>
        <w:gridCol w:w="1125"/>
        <w:gridCol w:w="1179"/>
      </w:tblGrid>
      <w:tr>
        <w:tblPrEx>
          <w:tblW w:w="0" w:type="auto"/>
          <w:jc w:val="right"/>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right"/>
        </w:trPr>
        <w:tc>
          <w:tcPr>
            <w:tcW w:w="1224" w:type="dxa"/>
          </w:tcPr>
          <w:p>
            <w:pPr>
              <w:spacing w:line="240" w:lineRule="auto"/>
              <w:ind w:left="0" w:right="0"/>
              <w:jc w:val="both"/>
              <w:rPr>
                <w:rFonts w:hint="cs"/>
                <w:szCs w:val="20"/>
                <w:rtl/>
              </w:rPr>
            </w:pPr>
            <w:r>
              <w:rPr>
                <w:rFonts w:hint="cs"/>
                <w:szCs w:val="20"/>
                <w:rtl/>
              </w:rPr>
              <w:t>קרן</w:t>
            </w:r>
          </w:p>
          <w:p>
            <w:pPr>
              <w:spacing w:line="240" w:lineRule="auto"/>
              <w:ind w:left="0" w:right="0"/>
              <w:jc w:val="both"/>
              <w:rPr>
                <w:rFonts w:hint="cs"/>
                <w:szCs w:val="20"/>
              </w:rPr>
            </w:pPr>
            <w:r>
              <w:rPr>
                <w:rFonts w:hint="cs"/>
                <w:szCs w:val="20"/>
                <w:rtl/>
              </w:rPr>
              <w:t>תיכוניים</w:t>
            </w:r>
          </w:p>
        </w:tc>
        <w:tc>
          <w:tcPr>
            <w:tcW w:w="1008" w:type="dxa"/>
          </w:tcPr>
          <w:p>
            <w:pPr>
              <w:spacing w:line="240" w:lineRule="auto"/>
              <w:ind w:left="0" w:right="0"/>
              <w:jc w:val="both"/>
              <w:rPr>
                <w:rFonts w:hint="cs"/>
                <w:szCs w:val="20"/>
                <w:rtl/>
              </w:rPr>
            </w:pPr>
            <w:r>
              <w:rPr>
                <w:rFonts w:hint="cs"/>
                <w:szCs w:val="20"/>
                <w:rtl/>
              </w:rPr>
              <w:t>קרן</w:t>
            </w:r>
          </w:p>
          <w:p>
            <w:pPr>
              <w:spacing w:line="240" w:lineRule="auto"/>
              <w:ind w:left="0" w:right="0"/>
              <w:jc w:val="both"/>
              <w:rPr>
                <w:rFonts w:hint="cs"/>
                <w:szCs w:val="20"/>
              </w:rPr>
            </w:pPr>
            <w:r>
              <w:rPr>
                <w:rFonts w:hint="cs"/>
                <w:szCs w:val="20"/>
                <w:rtl/>
              </w:rPr>
              <w:t>מו"ג</w:t>
            </w:r>
          </w:p>
        </w:tc>
        <w:tc>
          <w:tcPr>
            <w:tcW w:w="1125" w:type="dxa"/>
          </w:tcPr>
          <w:p>
            <w:pPr>
              <w:spacing w:line="240" w:lineRule="auto"/>
              <w:ind w:left="0" w:right="0"/>
              <w:jc w:val="both"/>
              <w:rPr>
                <w:rFonts w:hint="cs"/>
                <w:szCs w:val="20"/>
                <w:rtl/>
              </w:rPr>
            </w:pPr>
            <w:r>
              <w:rPr>
                <w:rFonts w:hint="cs"/>
                <w:szCs w:val="20"/>
                <w:rtl/>
              </w:rPr>
              <w:t>קרן</w:t>
            </w:r>
          </w:p>
          <w:p>
            <w:pPr>
              <w:spacing w:line="240" w:lineRule="auto"/>
              <w:ind w:left="0" w:right="0"/>
              <w:jc w:val="both"/>
              <w:rPr>
                <w:rFonts w:hint="cs"/>
                <w:szCs w:val="20"/>
              </w:rPr>
            </w:pPr>
            <w:r>
              <w:rPr>
                <w:rFonts w:hint="cs"/>
                <w:szCs w:val="20"/>
                <w:rtl/>
              </w:rPr>
              <w:t>על יסודיים</w:t>
            </w:r>
          </w:p>
        </w:tc>
        <w:tc>
          <w:tcPr>
            <w:tcW w:w="1179" w:type="dxa"/>
          </w:tcPr>
          <w:p>
            <w:pPr>
              <w:spacing w:line="240" w:lineRule="auto"/>
              <w:ind w:left="0" w:right="0"/>
              <w:jc w:val="both"/>
              <w:rPr>
                <w:rFonts w:hint="cs"/>
                <w:szCs w:val="20"/>
              </w:rPr>
            </w:pPr>
          </w:p>
        </w:tc>
      </w:tr>
      <w:tr>
        <w:tblPrEx>
          <w:tblW w:w="0" w:type="auto"/>
          <w:jc w:val="right"/>
          <w:tblInd w:w="1848" w:type="dxa"/>
          <w:tblCellMar>
            <w:left w:w="108" w:type="dxa"/>
            <w:right w:w="108" w:type="dxa"/>
          </w:tblCellMar>
          <w:tblLook w:val="0000"/>
        </w:tblPrEx>
        <w:trPr>
          <w:jc w:val="right"/>
        </w:trPr>
        <w:tc>
          <w:tcPr>
            <w:tcW w:w="1224" w:type="dxa"/>
          </w:tcPr>
          <w:p>
            <w:pPr>
              <w:spacing w:line="240" w:lineRule="auto"/>
              <w:ind w:left="0" w:right="0"/>
              <w:jc w:val="both"/>
              <w:rPr>
                <w:rFonts w:hint="cs"/>
                <w:szCs w:val="20"/>
              </w:rPr>
            </w:pPr>
            <w:r>
              <w:rPr>
                <w:rFonts w:hint="cs"/>
                <w:szCs w:val="20"/>
                <w:rtl/>
              </w:rPr>
              <w:t>718</w:t>
            </w:r>
          </w:p>
        </w:tc>
        <w:tc>
          <w:tcPr>
            <w:tcW w:w="1008" w:type="dxa"/>
          </w:tcPr>
          <w:p>
            <w:pPr>
              <w:spacing w:line="240" w:lineRule="auto"/>
              <w:ind w:left="0" w:right="0"/>
              <w:jc w:val="both"/>
              <w:rPr>
                <w:rFonts w:hint="cs"/>
                <w:szCs w:val="20"/>
              </w:rPr>
            </w:pPr>
            <w:r>
              <w:rPr>
                <w:rFonts w:hint="cs"/>
                <w:szCs w:val="20"/>
                <w:rtl/>
              </w:rPr>
              <w:t>1</w:t>
            </w:r>
            <w:r>
              <w:rPr>
                <w:rFonts w:hint="cs"/>
                <w:szCs w:val="20"/>
                <w:rtl/>
              </w:rPr>
              <w:t>,835</w:t>
            </w:r>
          </w:p>
        </w:tc>
        <w:tc>
          <w:tcPr>
            <w:tcW w:w="1125" w:type="dxa"/>
          </w:tcPr>
          <w:p>
            <w:pPr>
              <w:spacing w:line="240" w:lineRule="auto"/>
              <w:ind w:left="0" w:right="0"/>
              <w:jc w:val="both"/>
              <w:rPr>
                <w:rFonts w:hint="cs"/>
                <w:szCs w:val="20"/>
              </w:rPr>
            </w:pPr>
            <w:r>
              <w:rPr>
                <w:rFonts w:hint="cs"/>
                <w:szCs w:val="20"/>
                <w:rtl/>
              </w:rPr>
              <w:t>488</w:t>
            </w:r>
          </w:p>
        </w:tc>
        <w:tc>
          <w:tcPr>
            <w:tcW w:w="1179" w:type="dxa"/>
          </w:tcPr>
          <w:p>
            <w:pPr>
              <w:spacing w:line="240" w:lineRule="auto"/>
              <w:ind w:left="0" w:right="0"/>
              <w:jc w:val="both"/>
              <w:rPr>
                <w:rFonts w:hint="cs"/>
                <w:szCs w:val="20"/>
              </w:rPr>
            </w:pPr>
            <w:r>
              <w:rPr>
                <w:rFonts w:hint="cs"/>
                <w:szCs w:val="20"/>
                <w:rtl/>
              </w:rPr>
              <w:t>31.8.86</w:t>
            </w:r>
          </w:p>
        </w:tc>
      </w:tr>
      <w:tr>
        <w:tblPrEx>
          <w:tblW w:w="0" w:type="auto"/>
          <w:jc w:val="right"/>
          <w:tblInd w:w="1848" w:type="dxa"/>
          <w:tblCellMar>
            <w:left w:w="108" w:type="dxa"/>
            <w:right w:w="108" w:type="dxa"/>
          </w:tblCellMar>
          <w:tblLook w:val="0000"/>
        </w:tblPrEx>
        <w:trPr>
          <w:jc w:val="right"/>
        </w:trPr>
        <w:tc>
          <w:tcPr>
            <w:tcW w:w="1224" w:type="dxa"/>
          </w:tcPr>
          <w:p>
            <w:pPr>
              <w:spacing w:line="240" w:lineRule="auto"/>
              <w:ind w:left="0" w:right="0"/>
              <w:jc w:val="both"/>
              <w:rPr>
                <w:rFonts w:hint="cs"/>
                <w:szCs w:val="20"/>
              </w:rPr>
            </w:pPr>
            <w:r>
              <w:rPr>
                <w:rFonts w:hint="cs"/>
                <w:szCs w:val="20"/>
                <w:rtl/>
              </w:rPr>
              <w:t>948</w:t>
            </w:r>
          </w:p>
        </w:tc>
        <w:tc>
          <w:tcPr>
            <w:tcW w:w="1008" w:type="dxa"/>
          </w:tcPr>
          <w:p>
            <w:pPr>
              <w:spacing w:line="240" w:lineRule="auto"/>
              <w:ind w:left="0" w:right="0"/>
              <w:jc w:val="both"/>
              <w:rPr>
                <w:rFonts w:hint="cs"/>
                <w:szCs w:val="20"/>
              </w:rPr>
            </w:pPr>
            <w:r>
              <w:rPr>
                <w:rFonts w:hint="cs"/>
                <w:szCs w:val="20"/>
                <w:rtl/>
              </w:rPr>
              <w:t>2,337</w:t>
            </w:r>
          </w:p>
        </w:tc>
        <w:tc>
          <w:tcPr>
            <w:tcW w:w="1125" w:type="dxa"/>
          </w:tcPr>
          <w:p>
            <w:pPr>
              <w:pStyle w:val="EndnoteText"/>
              <w:spacing w:line="240" w:lineRule="auto"/>
              <w:ind w:left="0" w:right="0"/>
              <w:jc w:val="both"/>
              <w:rPr>
                <w:rFonts w:hint="cs"/>
              </w:rPr>
            </w:pPr>
            <w:r>
              <w:rPr>
                <w:rFonts w:hint="cs"/>
                <w:rtl/>
              </w:rPr>
              <w:t xml:space="preserve">663* </w:t>
            </w:r>
          </w:p>
        </w:tc>
        <w:tc>
          <w:tcPr>
            <w:tcW w:w="1179" w:type="dxa"/>
          </w:tcPr>
          <w:p>
            <w:pPr>
              <w:spacing w:line="240" w:lineRule="auto"/>
              <w:ind w:left="0" w:right="0"/>
              <w:jc w:val="both"/>
              <w:rPr>
                <w:rFonts w:hint="cs"/>
                <w:szCs w:val="20"/>
              </w:rPr>
            </w:pPr>
            <w:r>
              <w:rPr>
                <w:rFonts w:hint="cs"/>
                <w:szCs w:val="20"/>
                <w:rtl/>
              </w:rPr>
              <w:t>31.8.87</w:t>
            </w:r>
          </w:p>
        </w:tc>
      </w:tr>
      <w:tr>
        <w:tblPrEx>
          <w:tblW w:w="0" w:type="auto"/>
          <w:jc w:val="right"/>
          <w:tblInd w:w="1848" w:type="dxa"/>
          <w:tblCellMar>
            <w:left w:w="108" w:type="dxa"/>
            <w:right w:w="108" w:type="dxa"/>
          </w:tblCellMar>
          <w:tblLook w:val="0000"/>
        </w:tblPrEx>
        <w:trPr>
          <w:jc w:val="right"/>
        </w:trPr>
        <w:tc>
          <w:tcPr>
            <w:tcW w:w="1224" w:type="dxa"/>
          </w:tcPr>
          <w:p>
            <w:pPr>
              <w:spacing w:line="240" w:lineRule="auto"/>
              <w:ind w:left="0" w:right="0"/>
              <w:jc w:val="both"/>
              <w:rPr>
                <w:rFonts w:hint="cs"/>
                <w:szCs w:val="20"/>
              </w:rPr>
            </w:pPr>
            <w:r>
              <w:rPr>
                <w:rFonts w:hint="cs"/>
                <w:szCs w:val="20"/>
                <w:rtl/>
              </w:rPr>
              <w:t>1,283</w:t>
            </w:r>
          </w:p>
        </w:tc>
        <w:tc>
          <w:tcPr>
            <w:tcW w:w="1008" w:type="dxa"/>
          </w:tcPr>
          <w:p>
            <w:pPr>
              <w:spacing w:line="240" w:lineRule="auto"/>
              <w:ind w:left="0" w:right="0"/>
              <w:jc w:val="both"/>
              <w:rPr>
                <w:rFonts w:hint="cs"/>
                <w:szCs w:val="20"/>
              </w:rPr>
            </w:pPr>
            <w:r>
              <w:rPr>
                <w:rFonts w:hint="cs"/>
                <w:szCs w:val="20"/>
                <w:rtl/>
              </w:rPr>
              <w:t>2,886</w:t>
            </w:r>
          </w:p>
        </w:tc>
        <w:tc>
          <w:tcPr>
            <w:tcW w:w="1125" w:type="dxa"/>
          </w:tcPr>
          <w:p>
            <w:pPr>
              <w:spacing w:line="240" w:lineRule="auto"/>
              <w:ind w:left="0" w:right="0"/>
              <w:jc w:val="both"/>
              <w:rPr>
                <w:rFonts w:hint="cs"/>
                <w:szCs w:val="20"/>
              </w:rPr>
            </w:pPr>
            <w:r>
              <w:rPr>
                <w:rFonts w:hint="cs"/>
                <w:szCs w:val="20"/>
                <w:rtl/>
              </w:rPr>
              <w:t xml:space="preserve">740* </w:t>
            </w:r>
          </w:p>
        </w:tc>
        <w:tc>
          <w:tcPr>
            <w:tcW w:w="1179" w:type="dxa"/>
          </w:tcPr>
          <w:p>
            <w:pPr>
              <w:spacing w:line="240" w:lineRule="auto"/>
              <w:ind w:left="0" w:right="0"/>
              <w:jc w:val="both"/>
              <w:rPr>
                <w:rFonts w:hint="cs"/>
                <w:szCs w:val="20"/>
              </w:rPr>
            </w:pPr>
            <w:r>
              <w:rPr>
                <w:rFonts w:hint="cs"/>
                <w:szCs w:val="20"/>
                <w:rtl/>
              </w:rPr>
              <w:t>31.8.88</w:t>
            </w:r>
          </w:p>
        </w:tc>
      </w:tr>
      <w:tr>
        <w:tblPrEx>
          <w:tblW w:w="0" w:type="auto"/>
          <w:jc w:val="right"/>
          <w:tblInd w:w="1848" w:type="dxa"/>
          <w:tblCellMar>
            <w:left w:w="108" w:type="dxa"/>
            <w:right w:w="108" w:type="dxa"/>
          </w:tblCellMar>
          <w:tblLook w:val="0000"/>
        </w:tblPrEx>
        <w:trPr>
          <w:jc w:val="right"/>
        </w:trPr>
        <w:tc>
          <w:tcPr>
            <w:tcW w:w="1224" w:type="dxa"/>
          </w:tcPr>
          <w:p>
            <w:pPr>
              <w:spacing w:line="240" w:lineRule="auto"/>
              <w:ind w:left="0" w:right="0"/>
              <w:jc w:val="both"/>
              <w:rPr>
                <w:rFonts w:hint="cs"/>
                <w:szCs w:val="20"/>
              </w:rPr>
            </w:pPr>
            <w:r>
              <w:rPr>
                <w:rFonts w:hint="cs"/>
                <w:szCs w:val="20"/>
                <w:rtl/>
              </w:rPr>
              <w:t>1,851</w:t>
            </w:r>
          </w:p>
        </w:tc>
        <w:tc>
          <w:tcPr>
            <w:tcW w:w="1008" w:type="dxa"/>
          </w:tcPr>
          <w:p>
            <w:pPr>
              <w:spacing w:line="240" w:lineRule="auto"/>
              <w:ind w:left="0" w:right="0"/>
              <w:jc w:val="both"/>
              <w:rPr>
                <w:rFonts w:hint="cs"/>
                <w:szCs w:val="20"/>
              </w:rPr>
            </w:pPr>
            <w:r>
              <w:rPr>
                <w:rFonts w:hint="cs"/>
                <w:szCs w:val="20"/>
                <w:rtl/>
              </w:rPr>
              <w:t>3,868</w:t>
            </w:r>
          </w:p>
        </w:tc>
        <w:tc>
          <w:tcPr>
            <w:tcW w:w="1125" w:type="dxa"/>
          </w:tcPr>
          <w:p>
            <w:pPr>
              <w:spacing w:line="240" w:lineRule="auto"/>
              <w:ind w:left="0" w:right="0"/>
              <w:jc w:val="both"/>
              <w:rPr>
                <w:rFonts w:hint="cs"/>
                <w:szCs w:val="20"/>
              </w:rPr>
            </w:pPr>
            <w:r>
              <w:rPr>
                <w:rFonts w:hint="cs"/>
                <w:szCs w:val="20"/>
                <w:rtl/>
              </w:rPr>
              <w:t>1,103</w:t>
            </w:r>
          </w:p>
        </w:tc>
        <w:tc>
          <w:tcPr>
            <w:tcW w:w="1179" w:type="dxa"/>
          </w:tcPr>
          <w:p>
            <w:pPr>
              <w:spacing w:line="240" w:lineRule="auto"/>
              <w:ind w:left="0" w:right="0"/>
              <w:jc w:val="both"/>
              <w:rPr>
                <w:rFonts w:hint="cs"/>
                <w:szCs w:val="20"/>
              </w:rPr>
            </w:pPr>
            <w:r>
              <w:rPr>
                <w:rFonts w:hint="cs"/>
                <w:szCs w:val="20"/>
                <w:rtl/>
              </w:rPr>
              <w:t>31.8.89</w:t>
            </w:r>
          </w:p>
        </w:tc>
      </w:tr>
      <w:tr>
        <w:tblPrEx>
          <w:tblW w:w="0" w:type="auto"/>
          <w:jc w:val="right"/>
          <w:tblInd w:w="1848" w:type="dxa"/>
          <w:tblCellMar>
            <w:left w:w="108" w:type="dxa"/>
            <w:right w:w="108" w:type="dxa"/>
          </w:tblCellMar>
          <w:tblLook w:val="0000"/>
        </w:tblPrEx>
        <w:trPr>
          <w:jc w:val="right"/>
        </w:trPr>
        <w:tc>
          <w:tcPr>
            <w:tcW w:w="1224" w:type="dxa"/>
          </w:tcPr>
          <w:p>
            <w:pPr>
              <w:spacing w:line="240" w:lineRule="auto"/>
              <w:ind w:left="0" w:right="0"/>
              <w:jc w:val="both"/>
              <w:rPr>
                <w:rFonts w:hint="cs"/>
                <w:szCs w:val="20"/>
              </w:rPr>
            </w:pPr>
            <w:r>
              <w:rPr>
                <w:rFonts w:hint="cs"/>
                <w:szCs w:val="20"/>
                <w:rtl/>
              </w:rPr>
              <w:t>2,359</w:t>
            </w:r>
          </w:p>
        </w:tc>
        <w:tc>
          <w:tcPr>
            <w:tcW w:w="1008" w:type="dxa"/>
          </w:tcPr>
          <w:p>
            <w:pPr>
              <w:spacing w:line="240" w:lineRule="auto"/>
              <w:ind w:left="0" w:right="0"/>
              <w:jc w:val="both"/>
              <w:rPr>
                <w:rFonts w:hint="cs"/>
                <w:szCs w:val="20"/>
              </w:rPr>
            </w:pPr>
            <w:r>
              <w:rPr>
                <w:rFonts w:hint="cs"/>
                <w:szCs w:val="20"/>
                <w:rtl/>
              </w:rPr>
              <w:t>4,790</w:t>
            </w:r>
          </w:p>
        </w:tc>
        <w:tc>
          <w:tcPr>
            <w:tcW w:w="1125" w:type="dxa"/>
          </w:tcPr>
          <w:p>
            <w:pPr>
              <w:spacing w:line="240" w:lineRule="auto"/>
              <w:ind w:left="0" w:right="0"/>
              <w:jc w:val="both"/>
              <w:rPr>
                <w:rFonts w:hint="cs"/>
                <w:szCs w:val="20"/>
              </w:rPr>
            </w:pPr>
            <w:r>
              <w:rPr>
                <w:rFonts w:hint="cs"/>
                <w:szCs w:val="20"/>
                <w:rtl/>
              </w:rPr>
              <w:t>1,398</w:t>
            </w:r>
          </w:p>
        </w:tc>
        <w:tc>
          <w:tcPr>
            <w:tcW w:w="1179" w:type="dxa"/>
          </w:tcPr>
          <w:p>
            <w:pPr>
              <w:spacing w:line="240" w:lineRule="auto"/>
              <w:ind w:left="0" w:right="0"/>
              <w:jc w:val="both"/>
              <w:rPr>
                <w:rFonts w:hint="cs"/>
                <w:szCs w:val="20"/>
              </w:rPr>
            </w:pPr>
            <w:r>
              <w:rPr>
                <w:rFonts w:hint="cs"/>
                <w:szCs w:val="20"/>
                <w:rtl/>
              </w:rPr>
              <w:t>31.8.90</w:t>
            </w:r>
          </w:p>
        </w:tc>
      </w:tr>
    </w:tbl>
    <w:p>
      <w:pPr>
        <w:spacing w:line="240" w:lineRule="auto"/>
        <w:ind w:left="0" w:right="0"/>
        <w:jc w:val="both"/>
        <w:rPr>
          <w:rFonts w:hint="cs"/>
          <w:rtl/>
        </w:rPr>
      </w:pPr>
    </w:p>
    <w:p>
      <w:pPr>
        <w:pStyle w:val="FootnoteText"/>
        <w:ind w:left="567" w:right="0"/>
        <w:jc w:val="both"/>
        <w:rPr>
          <w:rFonts w:hint="cs"/>
          <w:rtl/>
        </w:rPr>
      </w:pPr>
      <w:r>
        <w:rPr>
          <w:rFonts w:hint="cs"/>
          <w:rtl/>
        </w:rPr>
        <w:t>_________</w:t>
      </w:r>
    </w:p>
    <w:p>
      <w:pPr>
        <w:pStyle w:val="FootnoteText"/>
        <w:spacing w:line="240" w:lineRule="auto"/>
        <w:ind w:left="567" w:right="0"/>
        <w:jc w:val="both"/>
        <w:rPr>
          <w:rFonts w:hint="cs"/>
          <w:rtl/>
        </w:rPr>
      </w:pPr>
      <w:r>
        <w:rPr>
          <w:rFonts w:hint="cs"/>
          <w:rtl/>
        </w:rPr>
        <w:t>(*)</w:t>
        <w:tab/>
        <w:t xml:space="preserve">היות שקרן על יסודיים הכינה במהלך שנתיים (1.9.86 </w:t>
      </w:r>
      <w:r>
        <w:rPr>
          <w:rtl/>
        </w:rPr>
        <w:t>-</w:t>
      </w:r>
      <w:r>
        <w:rPr>
          <w:rFonts w:hint="cs"/>
          <w:rtl/>
        </w:rPr>
        <w:t xml:space="preserve"> 31.8.88) שלושה דוחות כספיים (ל-31.12.86, ל-31.12.87 ול-31.8.88), מוצגים דמי הניהול בכל אחת מהשנתיים האלה על פי חישוב יחסי שעשה משרד מבקר המדינה.</w:t>
      </w:r>
    </w:p>
    <w:p>
      <w:pPr>
        <w:spacing w:line="240" w:lineRule="auto"/>
        <w:ind w:left="567" w:right="0" w:hanging="567"/>
        <w:jc w:val="both"/>
        <w:rPr>
          <w:rFonts w:hint="cs"/>
          <w:szCs w:val="20"/>
          <w:rtl/>
        </w:rPr>
      </w:pPr>
    </w:p>
    <w:p>
      <w:pPr>
        <w:spacing w:line="240" w:lineRule="auto"/>
        <w:ind w:left="0" w:right="0"/>
        <w:jc w:val="both"/>
        <w:rPr>
          <w:rFonts w:hint="cs"/>
          <w:rtl/>
        </w:rPr>
      </w:pPr>
      <w:r>
        <w:rPr>
          <w:rFonts w:hint="cs"/>
          <w:rtl/>
        </w:rPr>
        <w:t>הקרנות הסבירו, שהסיבה לשיעור הגבוה יחסית של דמי ניהול נעוצה בסל השירותים שקרנות ההשתלמות של עובדי ההוראה מקבלות ממנהל העסקים סל הכולל, בין היתר, את חישוב מענקי ההשתלמות וטיפול בגבייה לפי הוראות קבע. לדעת מבקר המדינה, על הקרנות לחתור להוזלת השירותים שהן מקבלות, על ידי בחינת שיטות שיבססו את דמי הניהול לא על גודל יתרת הנכסים אלא על עלות השירותים בפועל וכן על ידי בקשת הצעות מגופים אחרים היכולים לשמש מנהלי עסקים לקרנות.</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החזר הוצאות הדירקטוריון</w:t>
      </w:r>
    </w:p>
    <w:p>
      <w:pPr>
        <w:spacing w:line="240" w:lineRule="auto"/>
        <w:ind w:left="0" w:right="0"/>
        <w:jc w:val="both"/>
        <w:rPr>
          <w:rFonts w:hint="cs"/>
          <w:rtl/>
        </w:rPr>
      </w:pPr>
    </w:p>
    <w:p>
      <w:pPr>
        <w:spacing w:line="240" w:lineRule="auto"/>
        <w:ind w:left="0" w:right="0"/>
        <w:jc w:val="both"/>
        <w:rPr>
          <w:rFonts w:hint="cs"/>
          <w:rtl/>
        </w:rPr>
      </w:pPr>
      <w:r>
        <w:rPr>
          <w:rFonts w:hint="cs"/>
          <w:rtl/>
        </w:rPr>
        <w:t>א.</w:t>
        <w:tab/>
        <w:t>כאמור שר החינוך והתרבות מינה עובד בכיר של המשרד ליושב ראש הדירקטוריונים של שלוש קרנות ההשתלמות לעובדי הוראה; עובד זה פרש לגמלאות ב-1.2.87, אולם המשרד החליט להעסיקו על פי חוזה מיוחד במשרה בהיקף של 30%, לשם המשך כהונתו כיו"ר הדירקטוריונים של הקרנות.</w:t>
      </w:r>
    </w:p>
    <w:p>
      <w:pPr>
        <w:spacing w:line="240" w:lineRule="auto"/>
        <w:ind w:left="0" w:right="0"/>
        <w:jc w:val="both"/>
        <w:rPr>
          <w:rFonts w:hint="cs"/>
          <w:rtl/>
        </w:rPr>
      </w:pPr>
      <w:r>
        <w:rPr>
          <w:rtl/>
        </w:rPr>
        <w:br w:type="page"/>
      </w:r>
      <w:r>
        <w:rPr>
          <w:rFonts w:hint="cs"/>
          <w:rtl/>
        </w:rPr>
        <w:t>קרנות מו"ג ותיכוניים משלמות במשותף ליו"ר הדירקטוריונים, החל ב-1.2.87, השתתפות בהוצאות החזקת רכב לפי תעריף "חשב"</w:t>
      </w:r>
      <w:r>
        <w:rPr>
          <w:rStyle w:val="FootnoteReference"/>
          <w:rtl/>
        </w:rPr>
        <w:footnoteReference w:id="13"/>
      </w:r>
      <w:r>
        <w:rPr>
          <w:rFonts w:hint="cs"/>
          <w:rtl/>
        </w:rPr>
        <w:t xml:space="preserve"> במכסה חודשית של 2,000 ק"מ, וכן אש"ל ל-15 ימים בחודש, ללא דיווח על הנסיעות; עוד מכסות הקרנות הוצאות בגין 500 שיחות טלפון בחודש. קרן על יסודיים משלמת ליו"ר הדירקטוריונים השתתפות בהחזקת רכב לפי מכסה חודשית של 500 ק"מ ושני ימי אש"ל בחודש, גם זאת בלי דיווח. בסך הכל משלמות אפוא שלוש הקרנות מדי שנה בשנה בעבור נסיעות בהיקף של 30,000 ק"מ</w:t>
      </w:r>
      <w:r>
        <w:rPr>
          <w:rStyle w:val="FootnoteReference"/>
          <w:rtl/>
        </w:rPr>
        <w:footnoteReference w:id="14"/>
      </w:r>
      <w:r>
        <w:rPr>
          <w:rFonts w:hint="cs"/>
          <w:rtl/>
        </w:rPr>
        <w:t>. יצוין, שבשירות המדינה לא מקובל החזר הוצאות רכב לפי מכסת קילומטרים העולה על 14,000-15,000 ק"מ בשנה.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התעריף לקילומטר של "חשב" </w:t>
      </w:r>
      <w:r>
        <w:rPr>
          <w:rtl/>
        </w:rPr>
        <w:t>-</w:t>
      </w:r>
      <w:r>
        <w:rPr>
          <w:rFonts w:hint="cs"/>
          <w:rtl/>
        </w:rPr>
        <w:t xml:space="preserve"> שלפיו משלמות הקרנות ליו"ר את הוצאות החזקת הרכב </w:t>
      </w:r>
      <w:r>
        <w:rPr>
          <w:rtl/>
        </w:rPr>
        <w:t>-</w:t>
      </w:r>
      <w:r>
        <w:rPr>
          <w:rFonts w:hint="cs"/>
          <w:rtl/>
        </w:rPr>
        <w:t xml:space="preserve"> אמור לכסות, מלבד הוצאות משתנות, גם הוצאות קבועות והחזר הון מחושב על פי מכסת נסיעות שנתית של 12,000 ק"מ, וכן גילום מס. הואיל והקרנות משלמות ליו"ר הדירקטוריונים עבור 30,000 ק"מ לשנה לפי תעריף זה, יוצא, שההוצאות הקבועות מכוסות בשיעור של 250%.</w:t>
      </w:r>
    </w:p>
    <w:p>
      <w:pPr>
        <w:spacing w:line="240" w:lineRule="auto"/>
        <w:ind w:left="0" w:right="0"/>
        <w:jc w:val="both"/>
        <w:rPr>
          <w:rFonts w:hint="cs"/>
          <w:rtl/>
        </w:rPr>
      </w:pPr>
    </w:p>
    <w:p>
      <w:pPr>
        <w:spacing w:line="240" w:lineRule="auto"/>
        <w:ind w:left="0" w:right="0"/>
        <w:jc w:val="both"/>
        <w:rPr>
          <w:rFonts w:hint="cs"/>
          <w:rtl/>
        </w:rPr>
      </w:pPr>
      <w:r>
        <w:rPr>
          <w:rFonts w:hint="cs"/>
          <w:rtl/>
        </w:rPr>
        <w:t>ההוצאה של שלוש הקרנות על החזקת הרכב, אש"ל וגילום מס של היו"ר הגיעה בשנת 1989/90 לסך כולל של 59,000 ש"ח בקירוב.</w:t>
      </w:r>
    </w:p>
    <w:p>
      <w:pPr>
        <w:spacing w:line="240" w:lineRule="auto"/>
        <w:ind w:left="0" w:right="0"/>
        <w:jc w:val="both"/>
        <w:rPr>
          <w:rFonts w:hint="cs"/>
          <w:rtl/>
        </w:rPr>
      </w:pPr>
    </w:p>
    <w:p>
      <w:pPr>
        <w:spacing w:line="240" w:lineRule="auto"/>
        <w:ind w:left="0" w:right="0"/>
        <w:jc w:val="both"/>
        <w:rPr>
          <w:rtl/>
        </w:rPr>
      </w:pPr>
      <w:r>
        <w:rPr>
          <w:rFonts w:hint="cs"/>
          <w:rtl/>
        </w:rPr>
        <w:t>על פי סעיף 19 שבפרק ג' לחוק החברות הממשלתיות</w:t>
      </w:r>
      <w:r>
        <w:rPr>
          <w:rStyle w:val="FootnoteReference"/>
          <w:rtl/>
        </w:rPr>
        <w:footnoteReference w:id="15"/>
      </w:r>
      <w:r>
        <w:rPr>
          <w:rFonts w:hint="cs"/>
          <w:rtl/>
        </w:rPr>
        <w:t xml:space="preserve">, התשל"ה-1975, רשאי שר האוצר להתקין תקנות בדבר הגמול וההוצאות שישולמו לדירקטורים בחברות ממשלתיות; שר האוצר לא התקין תקנות בעניין זה ואף הודיע לרשות החברות הממשלתיות על התנגדותו למתן גמול לדירקטורים מטעם המדינה. רשות החברות הבהירה בחוזר 21/81 מ-18.1.81 ובחוזר 13/84 מ-25.6.84 את המצב המשפטי עקב הימנעותו של השר להתקין תקנות והודיעה כי "עובדי מדינה </w:t>
      </w:r>
      <w:r>
        <w:rPr>
          <w:rtl/>
        </w:rPr>
        <w:t>-</w:t>
      </w:r>
      <w:r>
        <w:rPr>
          <w:rFonts w:hint="cs"/>
          <w:rtl/>
        </w:rPr>
        <w:t xml:space="preserve"> המכהנים כדירקטורים בחברות ממשלתיות זכאים להחזר הוצאות אש"ל מהמשרד בו הם עובדים. חברה ממשלתית לא תשלם לדירקטורים מטעם המדינה, שהם עובדי מדינה, תשלום כשלהוא בגין החזר הוצאות אש"ל, כולל נסיעה".</w:t>
      </w:r>
    </w:p>
    <w:p>
      <w:pPr>
        <w:spacing w:line="240" w:lineRule="auto"/>
        <w:ind w:left="0" w:right="0"/>
        <w:jc w:val="both"/>
        <w:rPr>
          <w:rFonts w:hint="cs"/>
          <w:rtl/>
        </w:rPr>
      </w:pPr>
      <w:r>
        <w:rPr>
          <w:rtl/>
        </w:rPr>
        <w:br w:type="page"/>
      </w:r>
      <w:r>
        <w:rPr>
          <w:rFonts w:hint="cs"/>
          <w:rtl/>
        </w:rPr>
        <w:t>ב.</w:t>
        <w:tab/>
        <w:t>הנציג הבכיר של הסתדרות המורים בדירקטוריונים של הקרנות ממלא תפקיד של מזכיר קרן מו"ג וקרן תיכוניים ושכרו משולם לו על ידי הסתדרות המורים. קרנות מו"ג ותיכוניים מעבירות בכל חודש להסתדרות המורים תשלום בגובה שכרו של המזכיר והחזר הוצאות רכב. סך כל הסכומים ששתי הקרנות העבירו כאמור הגיע בשנת 1989/90 ל-58,000 ש"ח בקירוב.</w:t>
      </w:r>
    </w:p>
    <w:p>
      <w:pPr>
        <w:spacing w:line="240" w:lineRule="auto"/>
        <w:ind w:left="0" w:right="0"/>
        <w:jc w:val="both"/>
        <w:rPr>
          <w:rFonts w:hint="cs"/>
          <w:rtl/>
        </w:rPr>
      </w:pPr>
    </w:p>
    <w:p>
      <w:pPr>
        <w:spacing w:line="240" w:lineRule="auto"/>
        <w:ind w:left="0" w:right="0"/>
        <w:jc w:val="both"/>
        <w:rPr>
          <w:rFonts w:hint="cs"/>
          <w:rtl/>
        </w:rPr>
      </w:pPr>
      <w:r>
        <w:rPr>
          <w:rFonts w:hint="cs"/>
          <w:rtl/>
        </w:rPr>
        <w:t>התקנות הראשונות של קרנות ההשתלמות לעובדי הוראה קבעו, שהדירקטורים לא יקבלו כל שכר מהקרנות</w:t>
      </w:r>
      <w:r>
        <w:rPr>
          <w:rStyle w:val="FootnoteReference"/>
          <w:rtl/>
        </w:rPr>
        <w:footnoteReference w:id="16"/>
      </w:r>
      <w:r>
        <w:rPr>
          <w:rFonts w:hint="cs"/>
          <w:rtl/>
        </w:rPr>
        <w:t>. ב-1987 אישרו הדירקטוריונים של הקרנות הצעת שינוי בתקנות, ולפיה הוראה זו לא תחול על היו"ר ועל המזכיר. ההצעה הובאה לאסיפה הכללית ב-9.5.87; באסיפה סוכם שהיא תנוסח מחדש לאחר שיילקחו בחשבון כל ההערות והשינויים שהוצעו.</w:t>
      </w:r>
    </w:p>
    <w:p>
      <w:pPr>
        <w:spacing w:line="240" w:lineRule="auto"/>
        <w:ind w:left="0" w:right="0"/>
        <w:jc w:val="both"/>
        <w:rPr>
          <w:rFonts w:hint="cs"/>
          <w:rtl/>
        </w:rPr>
      </w:pPr>
    </w:p>
    <w:p>
      <w:pPr>
        <w:spacing w:line="240" w:lineRule="auto"/>
        <w:ind w:left="0" w:right="0"/>
        <w:jc w:val="both"/>
        <w:rPr>
          <w:rFonts w:hint="cs"/>
          <w:rtl/>
        </w:rPr>
      </w:pPr>
      <w:r>
        <w:rPr>
          <w:rFonts w:hint="cs"/>
          <w:rtl/>
        </w:rPr>
        <w:t>רק ב-15.2.91, בעקבות הביקורת בעניין זה, אושרה ההצעה באסיפות הכלליות שקיימו שתי הקרנות.</w:t>
      </w:r>
    </w:p>
    <w:p>
      <w:pPr>
        <w:spacing w:line="240" w:lineRule="auto"/>
        <w:ind w:left="0" w:right="0"/>
        <w:jc w:val="both"/>
        <w:rPr>
          <w:rFonts w:hint="cs"/>
          <w:rtl/>
        </w:rPr>
      </w:pPr>
    </w:p>
    <w:p>
      <w:pPr>
        <w:pStyle w:val="4"/>
        <w:ind w:left="0" w:right="0"/>
        <w:jc w:val="left"/>
        <w:rPr>
          <w:rFonts w:hint="cs"/>
          <w:rtl/>
        </w:rPr>
      </w:pPr>
      <w:r>
        <w:rPr>
          <w:rFonts w:hint="cs"/>
          <w:rtl/>
        </w:rPr>
        <w:t xml:space="preserve">הוצאות החזקת משרד </w:t>
      </w:r>
    </w:p>
    <w:p>
      <w:pPr>
        <w:spacing w:line="240" w:lineRule="auto"/>
        <w:ind w:left="0" w:right="0"/>
        <w:jc w:val="both"/>
        <w:rPr>
          <w:rFonts w:hint="cs"/>
          <w:rtl/>
        </w:rPr>
      </w:pPr>
      <w:r>
        <w:rPr>
          <w:rFonts w:hint="cs"/>
          <w:rtl/>
        </w:rPr>
        <w:t>עד 1985 פעלו קרנות מו"ג ותיכוניים במשרדי מנהל העסקים. בשנה האמורה שכרו שתי הקרנות, במשותף, דירה של שלושה חדרים בתל אביב והעבירו אליה את משרדיהן. בשלהי שנת 1987 העתיקו הקרנות את משרדיהן לדירה מרווחת יותר והיקצו בה חדרים ליו"ר הדירקטוריונים ולמזכיר של שתי הקרנות. ההוצאה שלהן על החזקת משרד הגיעה בשנת 1989/90 לסך כולל של 51,000 ש"ח.</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ניהול חשבונות</w:t>
      </w:r>
    </w:p>
    <w:p>
      <w:pPr>
        <w:spacing w:line="240" w:lineRule="auto"/>
        <w:ind w:left="0" w:right="0"/>
        <w:jc w:val="both"/>
        <w:rPr>
          <w:rtl/>
        </w:rPr>
      </w:pPr>
      <w:r>
        <w:rPr>
          <w:rFonts w:hint="cs"/>
          <w:rtl/>
        </w:rPr>
        <w:t>קרנות ההשתלמות רושמות במשך השנה את העברות העמיתים והמעסיקים במקובץ ואינן מנהלות חשבון נפרד לכל עמית כחלק מהמערכת החשבונאית; חשבון אישי לכל עמית שבו נרשמים תשלומיו בלבד, מנוהל במערכת נפרדת והקרנות אינן עורכות התאמות בין שתי המערכות. היות שהעברות המעסיקים אינן נרשמות בפירוט לפי העמיתים, אי אפשר לבדוק אם נתקבלה השתתפות המעסיק בגין כל עמית.</w:t>
      </w:r>
    </w:p>
    <w:p>
      <w:pPr>
        <w:spacing w:line="240" w:lineRule="auto"/>
        <w:ind w:left="0" w:right="0"/>
        <w:jc w:val="center"/>
        <w:rPr>
          <w:rFonts w:hint="cs"/>
          <w:rtl/>
        </w:rPr>
      </w:pPr>
      <w:r>
        <w:rPr>
          <w:rtl/>
        </w:rPr>
        <w:br w:type="page"/>
      </w:r>
    </w:p>
    <w:p>
      <w:pPr>
        <w:spacing w:line="240" w:lineRule="auto"/>
        <w:ind w:left="0" w:right="0"/>
        <w:jc w:val="center"/>
        <w:rPr>
          <w:sz w:val="30"/>
          <w:szCs w:val="28"/>
        </w:rPr>
      </w:pPr>
      <w:r>
        <w:rPr>
          <w:rFonts w:ascii="Monotype Sorts" w:hAnsi="Monotype Sorts"/>
          <w:sz w:val="30"/>
          <w:szCs w:val="28"/>
        </w:rPr>
        <w:sym w:font="Monotype Sorts" w:char="F048"/>
      </w:r>
    </w:p>
    <w:p>
      <w:pPr>
        <w:spacing w:line="240" w:lineRule="auto"/>
        <w:ind w:left="0" w:right="0"/>
        <w:jc w:val="center"/>
        <w:rPr>
          <w:sz w:val="30"/>
          <w:szCs w:val="28"/>
        </w:rPr>
      </w:pPr>
    </w:p>
    <w:p>
      <w:pPr>
        <w:spacing w:line="240" w:lineRule="auto"/>
        <w:ind w:left="0" w:right="0"/>
        <w:jc w:val="both"/>
        <w:rPr>
          <w:rFonts w:hint="cs"/>
          <w:b/>
          <w:bCs/>
          <w:sz w:val="30"/>
          <w:rtl/>
        </w:rPr>
      </w:pPr>
      <w:r>
        <w:rPr>
          <w:rFonts w:hint="cs"/>
          <w:b/>
          <w:bCs/>
          <w:sz w:val="30"/>
          <w:rtl/>
        </w:rPr>
        <w:t>קרנות ההשתלמות מאפשרות למורים להרחיב ולהעמיק את השכלתם המקצועית והכללית על ידי השתלמות בשנת שבתון, המיועדת גם למתן את השחיקה הכרוכה בעבודה ממושכת במקצועות ההוראה.</w:t>
      </w:r>
    </w:p>
    <w:p>
      <w:pPr>
        <w:spacing w:line="240" w:lineRule="auto"/>
        <w:ind w:left="0" w:right="0"/>
        <w:jc w:val="both"/>
        <w:rPr>
          <w:rFonts w:hint="cs"/>
          <w:b/>
          <w:bCs/>
          <w:sz w:val="30"/>
          <w:rtl/>
        </w:rPr>
      </w:pPr>
    </w:p>
    <w:p>
      <w:pPr>
        <w:spacing w:line="240" w:lineRule="auto"/>
        <w:ind w:left="0" w:right="0"/>
        <w:jc w:val="both"/>
        <w:rPr>
          <w:rFonts w:hint="cs"/>
          <w:b/>
          <w:bCs/>
          <w:sz w:val="30"/>
          <w:rtl/>
        </w:rPr>
      </w:pPr>
      <w:r>
        <w:rPr>
          <w:rFonts w:hint="cs"/>
          <w:b/>
          <w:bCs/>
          <w:sz w:val="30"/>
          <w:rtl/>
        </w:rPr>
        <w:t>הממצאים שהעלתה הביקורת בשלוש הקרנות מצביעים על הצורך לנקוט צעדים לשיפור היבטים אחדים בפעילותן. בשתיים מהקרנות נמצא, שפרט לדמי הניהול לבנק המנהל את עסקיהן בהתאם להסדרים הנהוגים בכל קרנות ההשתלמות, קיימות הוצאות ניכרות על שכירת משרדים ותשלומים להנהלה הפעילה של הקרנות. על הדירקטוריונים לבחון דרכים לצמצומן של ההוצאה על דמי הניהול ושל הוצאות המינהל הנוספות.</w:t>
      </w:r>
    </w:p>
    <w:p>
      <w:pPr>
        <w:spacing w:line="240" w:lineRule="auto"/>
        <w:ind w:left="0" w:right="0"/>
        <w:jc w:val="both"/>
        <w:rPr>
          <w:rFonts w:hint="cs"/>
          <w:b/>
          <w:bCs/>
          <w:sz w:val="30"/>
          <w:rtl/>
        </w:rPr>
      </w:pPr>
    </w:p>
    <w:p>
      <w:pPr>
        <w:spacing w:line="240" w:lineRule="auto"/>
        <w:ind w:left="0" w:right="0"/>
        <w:jc w:val="both"/>
        <w:rPr>
          <w:rFonts w:hint="cs"/>
          <w:b/>
          <w:bCs/>
          <w:sz w:val="30"/>
          <w:rtl/>
        </w:rPr>
      </w:pPr>
      <w:r>
        <w:rPr>
          <w:rFonts w:hint="cs"/>
          <w:b/>
          <w:bCs/>
          <w:sz w:val="30"/>
          <w:rtl/>
        </w:rPr>
        <w:t>השאלה העיקרית היא, האם יוכלו הקרנות להמשיך ולפעול לטווח ארוך במתכונת הקיימת של צבירת כספים ושל מתן זכויות לעמיתים. מתכונת זו שונה מדרך הפעולה של קרנות ההשתלמות, שהקימה המדינה עם איגודים מקצועיים אחרים, שבהן העמית זכאי לקבל בסופן של תקופות מוגדרות את הכספים שנצברו בחשבונו האישי, אם לצורכי השתלמות (אחרי שלוש שנים) ואם כמימוש חיסכון (אחרי שש שנים). קרנות ההשתלמות של עובדי הוראה נטלו עליהן לשלם לעמית שיעור מסוים ממשכורתו ושכר לימוד (שגדל בשנים אחרונות במידה ניכרת), במשך שנת השבתון, בלא שקיים קשר אקטוארי יציב בין תשלומים אלה לבין התקבולים הנצברים בקרן בגין אותו עמית. עד כה לא התעוררה בקרנות בעיה כספית, מפאת תזרים המזומנים החיובי שנוצר בעיקר משום שרבים מהעמיתים לא ניצלו את זכותם לצאת לשנת השתלמות. אולם מצב זה עלול להשתנות ככל שיגדל מספר העמיתים שירצו לממש את זכותם להשתלמות.</w:t>
      </w:r>
    </w:p>
    <w:p>
      <w:pPr>
        <w:spacing w:line="240" w:lineRule="auto"/>
        <w:ind w:left="0" w:right="0"/>
        <w:jc w:val="both"/>
        <w:rPr>
          <w:rFonts w:hint="cs"/>
          <w:b/>
          <w:bCs/>
          <w:sz w:val="30"/>
          <w:rtl/>
        </w:rPr>
      </w:pPr>
    </w:p>
    <w:p>
      <w:pPr>
        <w:spacing w:line="240" w:lineRule="auto"/>
        <w:ind w:left="0" w:right="0"/>
        <w:jc w:val="both"/>
        <w:rPr>
          <w:b/>
          <w:bCs/>
          <w:sz w:val="30"/>
          <w:rtl/>
        </w:rPr>
      </w:pPr>
      <w:r>
        <w:rPr>
          <w:rFonts w:hint="cs"/>
          <w:b/>
          <w:bCs/>
          <w:sz w:val="30"/>
          <w:rtl/>
        </w:rPr>
        <w:t>עובדים בכירים במשרד החינוך והתרבות ובמשרד האוצר, המופקדים על קרנות ההשתלמות, ניסו להקל על מצבן הכספי בכך שפטרו אותן מלשלם לקופת המדינה את הסכומים הדרושים להשלמת זכויות הגמלה בעבור מורים בשנת שבתון, הזכאים לפנסיה תקציבית מהמדינה. הקלה נוספת לקרנות מתבטאת בכך, שלפי תקנותיהן אין הן חייבות להחזיר למעסיקים כל סכום מהפרשותיהם, במקרים שבהם כספים אלה לא נוצלו להשתלמות או לא הוחזרו לעמית בעת הפרישה. בשני הסדרים אלה אפשר לראות סבסוד סמוי של הקרנות. אשר לויתור על הכספים המיועדים לרכישת זכויות גמלה, מן</w:t>
      </w:r>
    </w:p>
    <w:p>
      <w:pPr>
        <w:spacing w:line="240" w:lineRule="auto"/>
        <w:ind w:left="0" w:right="0"/>
        <w:jc w:val="both"/>
        <w:rPr>
          <w:rFonts w:hint="cs"/>
          <w:b/>
          <w:bCs/>
          <w:sz w:val="30"/>
          <w:rtl/>
        </w:rPr>
      </w:pPr>
      <w:r>
        <w:rPr>
          <w:b/>
          <w:bCs/>
          <w:sz w:val="30"/>
          <w:rtl/>
        </w:rPr>
        <w:br w:type="page"/>
      </w:r>
      <w:r>
        <w:rPr>
          <w:rFonts w:hint="cs"/>
          <w:b/>
          <w:bCs/>
          <w:sz w:val="30"/>
          <w:rtl/>
        </w:rPr>
        <w:t>הראוי היה שהחלטה עקרונית בעניין זה תתקבל במשרד האוצר בדרג המוסמך לכך, וכי הסכומים שהמדינה מוותרת עליהם יירשמו כהוצאה בתקציב הרגיל של משרד החינוך והתרבות.</w:t>
      </w:r>
    </w:p>
    <w:p>
      <w:pPr>
        <w:spacing w:line="240" w:lineRule="auto"/>
        <w:ind w:left="0" w:right="0"/>
        <w:jc w:val="both"/>
        <w:rPr>
          <w:rFonts w:hint="cs"/>
          <w:b/>
          <w:bCs/>
          <w:sz w:val="30"/>
          <w:rtl/>
        </w:rPr>
      </w:pPr>
    </w:p>
    <w:p>
      <w:pPr>
        <w:spacing w:line="240" w:lineRule="auto"/>
        <w:ind w:left="0" w:right="0"/>
        <w:jc w:val="both"/>
        <w:rPr>
          <w:rFonts w:hint="cs"/>
          <w:b/>
          <w:bCs/>
          <w:sz w:val="30"/>
          <w:rtl/>
        </w:rPr>
      </w:pPr>
      <w:r>
        <w:rPr>
          <w:rFonts w:hint="cs"/>
          <w:b/>
          <w:bCs/>
          <w:sz w:val="30"/>
          <w:rtl/>
        </w:rPr>
        <w:t>על משרד האוצר, משרד החינוך והתרבות, הסתדרות המורים וארגון המורים העל יסודיים לבחון את החלופות השונות שבאמצעותן ניתן להביא לאיזון בין ההפרשות שהקרנות מקבלות והתשואה על השקעותיהן לבין ההתחייבויות, בדרך שתבטיח לקרנות את היכולת להמשיך ולמלא לטווח ארוך את ייעודן, תוך מילוי מלוא התחייבויותיהן כלפי העמיתים.</w:t>
      </w:r>
    </w:p>
    <w:p>
      <w:pPr>
        <w:spacing w:line="240" w:lineRule="auto"/>
        <w:ind w:left="0" w:right="0"/>
        <w:jc w:val="both"/>
        <w:rPr>
          <w:rFonts w:hint="cs"/>
          <w:b/>
          <w:bCs/>
          <w:sz w:val="30"/>
          <w:rtl/>
        </w:rPr>
      </w:pPr>
    </w:p>
    <w:p>
      <w:pPr>
        <w:spacing w:line="240" w:lineRule="auto"/>
        <w:ind w:left="0" w:right="0"/>
        <w:jc w:val="both"/>
        <w:rPr>
          <w:rFonts w:hint="cs"/>
          <w:b/>
          <w:bCs/>
          <w:sz w:val="30"/>
          <w:rtl/>
        </w:rPr>
      </w:pPr>
    </w:p>
    <w:p>
      <w:pPr>
        <w:pStyle w:val="4"/>
        <w:spacing w:line="240" w:lineRule="auto"/>
        <w:ind w:left="0" w:right="0"/>
        <w:jc w:val="right"/>
        <w:rPr>
          <w:rFonts w:hint="cs"/>
          <w:rtl/>
        </w:rPr>
      </w:pPr>
      <w:r>
        <w:rPr>
          <w:rFonts w:hint="cs"/>
          <w:rtl/>
        </w:rPr>
        <w:t>מבקר המדינה</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r>
        <w:rPr>
          <w:rFonts w:hint="cs"/>
          <w:rtl/>
        </w:rPr>
        <w:t>ירושלים, אדר א' התשנ"ב</w:t>
      </w:r>
    </w:p>
    <w:p>
      <w:pPr>
        <w:spacing w:line="240" w:lineRule="auto"/>
        <w:ind w:left="567" w:right="0"/>
        <w:jc w:val="both"/>
        <w:rPr>
          <w:rFonts w:hint="cs"/>
          <w:rtl/>
        </w:rPr>
      </w:pPr>
      <w:r>
        <w:rPr>
          <w:rFonts w:hint="cs"/>
          <w:rtl/>
        </w:rPr>
        <w:t xml:space="preserve">     פברואר 1992</w:t>
      </w:r>
    </w:p>
    <w:sectPr>
      <w:headerReference w:type="even" r:id="rId10"/>
      <w:headerReference w:type="default" r:id="rId11"/>
      <w:footerReference w:type="even" r:id="rId12"/>
      <w:footerReference w:type="default" r:id="rId13"/>
      <w:headerReference w:type="first" r:id="rId14"/>
      <w:footerReference w:type="first" r:id="rId15"/>
      <w:pgSz w:w="11906" w:h="16838" w:code="9"/>
      <w:pgMar w:top="1701" w:right="1985" w:bottom="1588" w:left="1701" w:header="709" w:footer="709" w:gutter="0"/>
      <w:pgNumType w:start="7"/>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onotype Sorts">
    <w:panose1 w:val="01010601010101010101"/>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Fonts w:hint="cs"/>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0" type="#_x0000_t202" style="width:348.1pt;height:32.05pt;margin-top:6.8pt;margin-left:123.4pt;mso-position-horizontal-relative:page;position:absolute;visibility:hidden;z-index:25165824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1" o:spid="_x0000_s2052" type="#_x0000_t202" style="width:348.1pt;height:32.1pt;margin-top:8.8pt;margin-left:122.1pt;mso-position-horizontal-relative:page;position:absolute;visibility:hidden;z-index:251661312"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Fonts w:hint="cs"/>
        <w:rtl/>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4" type="#_x0000_t202" style="width:348.1pt;height:32.05pt;margin-top:6.8pt;margin-left:123.4pt;mso-position-horizontal-relative:page;position:absolute;visibility:hidden;z-index:251664384"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tl/>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1" o:spid="_x0000_s2056" type="#_x0000_t202" style="width:348.1pt;height:32.1pt;margin-top:8.8pt;margin-left:122.1pt;mso-position-horizontal-relative:page;position:absolute;visibility:hidden;z-index:251663360"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rPr>
      </w:pPr>
      <w:r>
        <w:rPr>
          <w:rFonts w:hint="cs"/>
          <w:sz w:val="16"/>
          <w:szCs w:val="16"/>
          <w:rtl/>
        </w:rPr>
        <w:t>__________________</w:t>
      </w:r>
    </w:p>
    <w:p>
      <w:pPr>
        <w:spacing w:line="240" w:lineRule="auto"/>
        <w:ind w:left="0" w:right="0"/>
        <w:jc w:val="both"/>
        <w:rPr>
          <w:rFonts w:hint="cs"/>
          <w:sz w:val="16"/>
          <w:szCs w:val="16"/>
        </w:rPr>
      </w:pPr>
    </w:p>
  </w:footnote>
  <w:footnote w:type="continuationSeparator" w:id="1">
    <w:p>
      <w:pPr>
        <w:ind w:left="0" w:right="0"/>
        <w:jc w:val="both"/>
      </w:pPr>
      <w:r>
        <w:t>_______________</w:t>
      </w:r>
    </w:p>
  </w:footnote>
  <w:footnote w:id="2">
    <w:p>
      <w:pPr>
        <w:pStyle w:val="FootnoteText"/>
        <w:ind w:left="567" w:right="0"/>
        <w:jc w:val="both"/>
        <w:rPr>
          <w:rFonts w:hint="cs"/>
          <w:rtl/>
        </w:rPr>
      </w:pPr>
      <w:r>
        <w:rPr>
          <w:rStyle w:val="FootnoteReference"/>
        </w:rPr>
        <w:footnoteRef/>
      </w:r>
      <w:r>
        <w:t xml:space="preserve"> </w:t>
      </w:r>
      <w:r>
        <w:rPr>
          <w:rFonts w:hint="cs"/>
          <w:rtl/>
        </w:rPr>
        <w:tab/>
        <w:t>הנוסח אחיד בשלוש הקרנות.</w:t>
      </w:r>
    </w:p>
  </w:footnote>
  <w:footnote w:id="3">
    <w:p>
      <w:pPr>
        <w:pStyle w:val="FootnoteText"/>
        <w:ind w:left="567" w:right="0"/>
        <w:jc w:val="both"/>
        <w:rPr>
          <w:rFonts w:hint="cs"/>
          <w:rtl/>
        </w:rPr>
      </w:pPr>
      <w:r>
        <w:rPr>
          <w:rStyle w:val="FootnoteReference"/>
        </w:rPr>
        <w:footnoteRef/>
      </w:r>
      <w:r>
        <w:t xml:space="preserve"> </w:t>
      </w:r>
      <w:r>
        <w:rPr>
          <w:rFonts w:hint="cs"/>
          <w:rtl/>
        </w:rPr>
        <w:tab/>
        <w:t>עבור עמיתים המועסקים באזורי פיתוח משלם המעסיק גם את חלקו של העמית.</w:t>
      </w:r>
    </w:p>
  </w:footnote>
  <w:footnote w:id="4">
    <w:p>
      <w:pPr>
        <w:pStyle w:val="FootnoteText"/>
        <w:ind w:left="567" w:right="0"/>
        <w:jc w:val="both"/>
        <w:rPr>
          <w:rFonts w:hint="cs"/>
          <w:rtl/>
        </w:rPr>
      </w:pPr>
      <w:r>
        <w:rPr>
          <w:rStyle w:val="FootnoteReference"/>
        </w:rPr>
        <w:footnoteRef/>
      </w:r>
      <w:r>
        <w:t xml:space="preserve"> </w:t>
      </w:r>
      <w:r>
        <w:rPr>
          <w:rFonts w:hint="cs"/>
          <w:rtl/>
        </w:rPr>
        <w:tab/>
        <w:t>מספר העמיתים, המוצג בטבלה, כולל את העמיתים שטרם השלימו את תקופת החיסכון האחרונה או השלימו אותה וטרם יצאו להשתלמות, ואת אלה שהיו באותה שנה בהשתלמות.</w:t>
      </w:r>
    </w:p>
  </w:footnote>
  <w:footnote w:id="5">
    <w:p>
      <w:pPr>
        <w:pStyle w:val="FootnoteText"/>
        <w:ind w:left="567" w:right="0"/>
        <w:jc w:val="both"/>
        <w:rPr>
          <w:rFonts w:hint="cs"/>
          <w:rtl/>
        </w:rPr>
      </w:pPr>
      <w:r>
        <w:rPr>
          <w:rStyle w:val="FootnoteReference"/>
        </w:rPr>
        <w:footnoteRef/>
      </w:r>
      <w:r>
        <w:t xml:space="preserve"> </w:t>
      </w:r>
      <w:r>
        <w:rPr>
          <w:rFonts w:hint="cs"/>
          <w:rtl/>
        </w:rPr>
        <w:tab/>
        <w:t>הנתונים בדבר הזכאים לצאת לשנת שבתון כוללים את אלה שזכאותם לא נוצלה אלא נדחתה בשנה, שנתיים או יותר ואת אלה שרק בתום שנת הלימודים הקודמת הגיעו לזכאות.</w:t>
      </w:r>
    </w:p>
  </w:footnote>
  <w:footnote w:id="6">
    <w:p>
      <w:pPr>
        <w:pStyle w:val="FootnoteText"/>
        <w:ind w:left="567" w:right="0"/>
        <w:jc w:val="both"/>
        <w:rPr>
          <w:rFonts w:hint="cs"/>
          <w:rtl/>
        </w:rPr>
      </w:pPr>
      <w:r>
        <w:rPr>
          <w:rStyle w:val="FootnoteReference"/>
        </w:rPr>
        <w:footnoteRef/>
      </w:r>
      <w:r>
        <w:t xml:space="preserve"> </w:t>
      </w:r>
      <w:r>
        <w:rPr>
          <w:rFonts w:hint="cs"/>
          <w:rtl/>
        </w:rPr>
        <w:tab/>
        <w:t xml:space="preserve">סקירה כללית על קרנות אלה הובאה בדוח שנתי 33 של מבקר המדינה (עמ' 109). דוחות נפרדים על הביקורת בשתיים מהקרנות </w:t>
      </w:r>
      <w:r>
        <w:rPr>
          <w:rtl/>
        </w:rPr>
        <w:t>–</w:t>
      </w:r>
      <w:r>
        <w:rPr>
          <w:rFonts w:hint="cs"/>
          <w:rtl/>
        </w:rPr>
        <w:t xml:space="preserve"> קרן השתלמות לעובדי המדינה בדירוג האחיד וקרן השתלמות למהנדסים </w:t>
      </w:r>
      <w:r>
        <w:rPr>
          <w:rtl/>
        </w:rPr>
        <w:t>–</w:t>
      </w:r>
      <w:r>
        <w:rPr>
          <w:rFonts w:hint="cs"/>
          <w:rtl/>
        </w:rPr>
        <w:t xml:space="preserve"> ניתנו לאחרונה בשנת 1985.</w:t>
      </w:r>
    </w:p>
  </w:footnote>
  <w:footnote w:id="7">
    <w:p>
      <w:pPr>
        <w:pStyle w:val="FootnoteText"/>
        <w:ind w:left="567" w:right="0"/>
        <w:jc w:val="both"/>
        <w:rPr>
          <w:rFonts w:hint="cs"/>
          <w:rtl/>
        </w:rPr>
      </w:pPr>
      <w:r>
        <w:rPr>
          <w:rStyle w:val="FootnoteReference"/>
        </w:rPr>
        <w:footnoteRef/>
      </w:r>
      <w:r>
        <w:t xml:space="preserve"> </w:t>
      </w:r>
      <w:r>
        <w:rPr>
          <w:rFonts w:hint="cs"/>
          <w:rtl/>
        </w:rPr>
        <w:tab/>
        <w:t>בעניין זה ראה להלן עמ' 15-16.</w:t>
      </w:r>
    </w:p>
  </w:footnote>
  <w:footnote w:id="8">
    <w:p>
      <w:pPr>
        <w:pStyle w:val="FootnoteText"/>
        <w:ind w:left="567" w:right="0"/>
        <w:jc w:val="both"/>
        <w:rPr>
          <w:rFonts w:hint="cs"/>
          <w:rtl/>
        </w:rPr>
      </w:pPr>
      <w:r>
        <w:rPr>
          <w:rStyle w:val="FootnoteReference"/>
        </w:rPr>
        <w:footnoteRef/>
      </w:r>
      <w:r>
        <w:t xml:space="preserve"> </w:t>
      </w:r>
      <w:r>
        <w:rPr>
          <w:rFonts w:hint="cs"/>
          <w:rtl/>
        </w:rPr>
        <w:tab/>
        <w:t>תוספות הוותק למורים הן בשיעור גבוה יותר מאלה הניתנות לעובדים אחרים במגזר הציבורי.</w:t>
      </w:r>
    </w:p>
  </w:footnote>
  <w:footnote w:id="9">
    <w:p>
      <w:pPr>
        <w:pStyle w:val="FootnoteText"/>
        <w:ind w:left="567" w:right="0"/>
        <w:jc w:val="both"/>
        <w:rPr>
          <w:rFonts w:hint="cs"/>
          <w:rtl/>
        </w:rPr>
      </w:pPr>
      <w:r>
        <w:rPr>
          <w:rStyle w:val="FootnoteReference"/>
        </w:rPr>
        <w:footnoteRef/>
      </w:r>
      <w:r>
        <w:t xml:space="preserve"> </w:t>
      </w:r>
      <w:r>
        <w:rPr>
          <w:rFonts w:hint="cs"/>
          <w:rtl/>
        </w:rPr>
        <w:tab/>
        <w:t>שיעור התשואה נטו מחושב על ידי ניכוי של הוצאות ניהול ושל הגידול החזוי בשכר הריאלי, מהתשואה ברוטו. חלופה אחרת של המאזן האקטוארי נערכה על יסוד שיעור תשואה נטו של 1%, עם תוצאות שכמובן גרועות יותר מבחינת הקרנות.</w:t>
      </w:r>
    </w:p>
  </w:footnote>
  <w:footnote w:id="10">
    <w:p>
      <w:pPr>
        <w:pStyle w:val="FootnoteText"/>
        <w:ind w:left="567" w:right="0"/>
        <w:jc w:val="both"/>
        <w:rPr>
          <w:rFonts w:hint="cs"/>
          <w:rtl/>
        </w:rPr>
      </w:pPr>
      <w:r>
        <w:rPr>
          <w:rStyle w:val="FootnoteReference"/>
        </w:rPr>
        <w:footnoteRef/>
      </w:r>
      <w:r>
        <w:t xml:space="preserve"> </w:t>
      </w:r>
      <w:r>
        <w:rPr>
          <w:rFonts w:hint="cs"/>
          <w:rtl/>
        </w:rPr>
        <w:tab/>
        <w:t>אשר לעמיתים שזכויות הגמלה שלהם מובטחות בקרנות פנסיה, הקרנות מעבירות תשלומים באופן שוטף.</w:t>
      </w:r>
    </w:p>
  </w:footnote>
  <w:footnote w:id="11">
    <w:p>
      <w:pPr>
        <w:pStyle w:val="FootnoteText"/>
        <w:ind w:left="567" w:right="0"/>
        <w:jc w:val="both"/>
        <w:rPr>
          <w:rFonts w:hint="cs"/>
          <w:rtl/>
        </w:rPr>
      </w:pPr>
      <w:r>
        <w:rPr>
          <w:rStyle w:val="FootnoteReference"/>
        </w:rPr>
        <w:footnoteRef/>
      </w:r>
      <w:r>
        <w:t xml:space="preserve"> </w:t>
      </w:r>
      <w:r>
        <w:rPr>
          <w:rFonts w:hint="cs"/>
          <w:rtl/>
        </w:rPr>
        <w:tab/>
        <w:t>בעניין הוצאות הניהול בפועל של הקרנות, ראה להלן עמ' 22-25.</w:t>
      </w:r>
    </w:p>
  </w:footnote>
  <w:footnote w:id="12">
    <w:p>
      <w:pPr>
        <w:pStyle w:val="FootnoteText"/>
        <w:ind w:left="567" w:right="0"/>
        <w:jc w:val="both"/>
        <w:rPr>
          <w:rtl/>
        </w:rPr>
      </w:pPr>
      <w:r>
        <w:rPr>
          <w:rStyle w:val="FootnoteReference"/>
        </w:rPr>
        <w:footnoteRef/>
      </w:r>
      <w:r>
        <w:t xml:space="preserve"> </w:t>
      </w:r>
      <w:r>
        <w:rPr>
          <w:rFonts w:hint="cs"/>
          <w:rtl/>
        </w:rPr>
        <w:tab/>
        <w:t>המשרד מעביר לקרנות אחת לשנה רשימה שבה מפורטים השיעורים של המשרות שבהן העסיק עובדי הוראה במשך השנה; מעסיקים אחרים אינם עושים זאת.</w:t>
      </w:r>
    </w:p>
  </w:footnote>
  <w:footnote w:id="13">
    <w:p>
      <w:pPr>
        <w:pStyle w:val="FootnoteText"/>
        <w:ind w:left="567" w:right="0"/>
        <w:jc w:val="both"/>
        <w:rPr>
          <w:rFonts w:hint="cs"/>
          <w:rtl/>
        </w:rPr>
      </w:pPr>
      <w:r>
        <w:rPr>
          <w:rStyle w:val="FootnoteReference"/>
        </w:rPr>
        <w:footnoteRef/>
      </w:r>
      <w:r>
        <w:t xml:space="preserve"> </w:t>
      </w:r>
      <w:r>
        <w:rPr>
          <w:rFonts w:hint="cs"/>
          <w:rtl/>
        </w:rPr>
        <w:tab/>
        <w:t>תחשיב תקופתי בדבר הוצאות החזקה של כלי רכב והצעת תשלום להשתתפות בהוצאות אלה, המופק על ידי "חשב", היחידה הבין קיבוצית לשירותי ניהול.</w:t>
      </w:r>
    </w:p>
  </w:footnote>
  <w:footnote w:id="14">
    <w:p>
      <w:pPr>
        <w:pStyle w:val="FootnoteText"/>
        <w:ind w:left="567" w:right="0"/>
        <w:jc w:val="both"/>
        <w:rPr>
          <w:rFonts w:hint="cs"/>
          <w:rtl/>
        </w:rPr>
      </w:pPr>
      <w:r>
        <w:rPr>
          <w:rStyle w:val="FootnoteReference"/>
        </w:rPr>
        <w:footnoteRef/>
      </w:r>
      <w:r>
        <w:t xml:space="preserve"> </w:t>
      </w:r>
      <w:r>
        <w:rPr>
          <w:rFonts w:hint="cs"/>
          <w:rtl/>
        </w:rPr>
        <w:tab/>
        <w:t>יו"ר הדירקטוריונים מתגורר בירושלים ומגיע, בדרך כלל, שלוש פעמים בשבוע למשרדי קרנות ההשתלמות בתל אביב וכן הוא משתתף בכנסים של מורים.</w:t>
      </w:r>
    </w:p>
  </w:footnote>
  <w:footnote w:id="15">
    <w:p>
      <w:pPr>
        <w:pStyle w:val="FootnoteText"/>
        <w:ind w:left="567" w:right="0"/>
        <w:jc w:val="both"/>
        <w:rPr>
          <w:rFonts w:hint="cs"/>
          <w:rtl/>
        </w:rPr>
      </w:pPr>
      <w:r>
        <w:rPr>
          <w:rStyle w:val="FootnoteReference"/>
        </w:rPr>
        <w:footnoteRef/>
      </w:r>
      <w:r>
        <w:t xml:space="preserve"> </w:t>
      </w:r>
      <w:r>
        <w:rPr>
          <w:rFonts w:hint="cs"/>
          <w:rtl/>
        </w:rPr>
        <w:tab/>
        <w:t xml:space="preserve">כל האמור בפרק ג' של החוק (בעניין דירקטורים בחברות ממשלתיות) הוחל על פי סעיף 58 לחוק גם על חברות מעורבות. </w:t>
      </w:r>
    </w:p>
  </w:footnote>
  <w:footnote w:id="16">
    <w:p>
      <w:pPr>
        <w:pStyle w:val="FootnoteText"/>
        <w:ind w:left="567" w:right="0"/>
        <w:jc w:val="both"/>
        <w:rPr>
          <w:rFonts w:hint="cs"/>
          <w:rtl/>
        </w:rPr>
      </w:pPr>
      <w:r>
        <w:rPr>
          <w:rStyle w:val="FootnoteReference"/>
        </w:rPr>
        <w:footnoteRef/>
      </w:r>
      <w:r>
        <w:t xml:space="preserve"> </w:t>
      </w:r>
      <w:r>
        <w:rPr>
          <w:rFonts w:hint="cs"/>
          <w:rtl/>
        </w:rPr>
        <w:tab/>
        <w:t>בדבר הוראות התקנות בעניין העסקת עובדים, ראה עמ' 7-8 לעיל.</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60288"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rPr>
      <w:t xml:space="preserve">  </w:t>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sz w:val="24"/>
        <w:rtl/>
      </w:rPr>
    </w:pPr>
    <w:r>
      <w:rPr>
        <w:noProof/>
        <w:rtl/>
        <w:lang w:val="he-IL"/>
      </w:rPr>
      <w:pict>
        <v:shapetype id="_x0000_t202" coordsize="21600,21600" o:spt="202" path="m,l,21600r21600,l21600,xe">
          <v:stroke joinstyle="miter"/>
          <v:path gradientshapeok="t" o:connecttype="rect"/>
        </v:shapetype>
        <v:shape id="HeadOne" o:spid="_x0000_s2051" type="#_x0000_t202" style="width:118pt;height:19.5pt;margin-top:9.25pt;margin-left:329.85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rPr>
    </w:pPr>
    <w:r>
      <w:rPr>
        <w:noProof/>
        <w:rtl/>
        <w:lang w:val="he-IL"/>
      </w:rPr>
      <w:pict>
        <v:shapetype id="_x0000_t202" coordsize="21600,21600" o:spt="202" path="m,l,21600r21600,l21600,xe">
          <v:stroke joinstyle="miter"/>
          <v:path gradientshapeok="t" o:connecttype="rect"/>
        </v:shapetype>
        <v:shape id="HeadTwo" o:spid="_x0000_s2053" type="#_x0000_t202" style="width:145.75pt;height:19pt;margin-top:9.25pt;margin-left:300.9pt;position:absolute;visibility:hidden;z-index:251665408"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rPr>
      <w:t xml:space="preserve">  </w:t>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sz w:val="24"/>
        <w:rtl/>
      </w:rPr>
    </w:pPr>
    <w:r>
      <w:rPr>
        <w:noProof/>
        <w:rtl/>
        <w:lang w:val="he-IL"/>
      </w:rPr>
      <w:pict>
        <v:shapetype id="_x0000_t202" coordsize="21600,21600" o:spt="202" path="m,l,21600r21600,l21600,xe">
          <v:stroke joinstyle="miter"/>
          <v:path gradientshapeok="t" o:connecttype="rect"/>
        </v:shapetype>
        <v:shape id="HeadOne" o:spid="_x0000_s2055" type="#_x0000_t202" style="width:118pt;height:19.5pt;margin-top:9.25pt;margin-left:329.85pt;position:absolute;visibility:hidden;z-index:251662336"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B7D62FD"/>
    <w:multiLevelType w:val="hybridMultilevel"/>
    <w:tmpl w:val="70EEFD02"/>
    <w:lvl w:ilvl="0">
      <w:start w:val="1"/>
      <w:numFmt w:val="hebrew1"/>
      <w:lvlText w:val="%1."/>
      <w:lvlJc w:val="left"/>
      <w:pPr>
        <w:tabs>
          <w:tab w:val="num" w:pos="1308"/>
        </w:tabs>
        <w:ind w:left="1308" w:hanging="570"/>
      </w:pPr>
      <w:rPr>
        <w:rFonts w:hint="cs"/>
      </w:rPr>
    </w:lvl>
    <w:lvl w:ilvl="1" w:tentative="1">
      <w:start w:val="1"/>
      <w:numFmt w:val="lowerLetter"/>
      <w:lvlText w:val="%2."/>
      <w:lvlJc w:val="left"/>
      <w:pPr>
        <w:tabs>
          <w:tab w:val="num" w:pos="1818"/>
        </w:tabs>
        <w:ind w:left="1818" w:hanging="360"/>
      </w:pPr>
    </w:lvl>
    <w:lvl w:ilvl="2" w:tentative="1">
      <w:start w:val="1"/>
      <w:numFmt w:val="lowerRoman"/>
      <w:lvlText w:val="%3."/>
      <w:lvlJc w:val="right"/>
      <w:pPr>
        <w:tabs>
          <w:tab w:val="num" w:pos="2538"/>
        </w:tabs>
        <w:ind w:left="2538" w:hanging="180"/>
      </w:pPr>
    </w:lvl>
    <w:lvl w:ilvl="3" w:tentative="1">
      <w:start w:val="1"/>
      <w:numFmt w:val="decimal"/>
      <w:lvlText w:val="%4."/>
      <w:lvlJc w:val="left"/>
      <w:pPr>
        <w:tabs>
          <w:tab w:val="num" w:pos="3258"/>
        </w:tabs>
        <w:ind w:left="3258" w:hanging="360"/>
      </w:pPr>
    </w:lvl>
    <w:lvl w:ilvl="4" w:tentative="1">
      <w:start w:val="1"/>
      <w:numFmt w:val="lowerLetter"/>
      <w:lvlText w:val="%5."/>
      <w:lvlJc w:val="left"/>
      <w:pPr>
        <w:tabs>
          <w:tab w:val="num" w:pos="3978"/>
        </w:tabs>
        <w:ind w:left="3978" w:hanging="360"/>
      </w:pPr>
    </w:lvl>
    <w:lvl w:ilvl="5" w:tentative="1">
      <w:start w:val="1"/>
      <w:numFmt w:val="lowerRoman"/>
      <w:lvlText w:val="%6."/>
      <w:lvlJc w:val="right"/>
      <w:pPr>
        <w:tabs>
          <w:tab w:val="num" w:pos="4698"/>
        </w:tabs>
        <w:ind w:left="4698" w:hanging="180"/>
      </w:pPr>
    </w:lvl>
    <w:lvl w:ilvl="6" w:tentative="1">
      <w:start w:val="1"/>
      <w:numFmt w:val="decimal"/>
      <w:lvlText w:val="%7."/>
      <w:lvlJc w:val="left"/>
      <w:pPr>
        <w:tabs>
          <w:tab w:val="num" w:pos="5418"/>
        </w:tabs>
        <w:ind w:left="5418" w:hanging="360"/>
      </w:pPr>
    </w:lvl>
    <w:lvl w:ilvl="7" w:tentative="1">
      <w:start w:val="1"/>
      <w:numFmt w:val="lowerLetter"/>
      <w:lvlText w:val="%8."/>
      <w:lvlJc w:val="left"/>
      <w:pPr>
        <w:tabs>
          <w:tab w:val="num" w:pos="6138"/>
        </w:tabs>
        <w:ind w:left="6138" w:hanging="360"/>
      </w:pPr>
    </w:lvl>
    <w:lvl w:ilvl="8" w:tentative="1">
      <w:start w:val="1"/>
      <w:numFmt w:val="lowerRoman"/>
      <w:lvlText w:val="%9."/>
      <w:lvlJc w:val="right"/>
      <w:pPr>
        <w:tabs>
          <w:tab w:val="num" w:pos="6858"/>
        </w:tabs>
        <w:ind w:left="6858" w:hanging="180"/>
      </w:pPr>
    </w:lvl>
  </w:abstractNum>
  <w:abstractNum w:abstractNumId="2">
    <w:nsid w:val="1B1C317B"/>
    <w:multiLevelType w:val="hybridMultilevel"/>
    <w:tmpl w:val="30B617F4"/>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443390D"/>
    <w:multiLevelType w:val="singleLevel"/>
    <w:tmpl w:val="A07AD338"/>
    <w:lvl w:ilvl="0">
      <w:start w:val="1"/>
      <w:numFmt w:val="upperRoman"/>
      <w:lvlText w:val="%1."/>
      <w:lvlJc w:val="center"/>
      <w:pPr>
        <w:tabs>
          <w:tab w:val="num" w:pos="648"/>
        </w:tabs>
        <w:ind w:right="648" w:hanging="360"/>
      </w:pPr>
    </w:lvl>
  </w:abstractNum>
  <w:abstractNum w:abstractNumId="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5">
    <w:nsid w:val="4D2958F4"/>
    <w:multiLevelType w:val="hybridMultilevel"/>
    <w:tmpl w:val="54662FEA"/>
    <w:lvl w:ilvl="0">
      <w:start w:val="1"/>
      <w:numFmt w:val="decimal"/>
      <w:lvlText w:val="(%1)"/>
      <w:lvlJc w:val="left"/>
      <w:pPr>
        <w:tabs>
          <w:tab w:val="num" w:pos="855"/>
        </w:tabs>
        <w:ind w:left="855" w:hanging="495"/>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A1C7FB5"/>
    <w:multiLevelType w:val="singleLevel"/>
    <w:tmpl w:val="CB646ABA"/>
    <w:lvl w:ilvl="0">
      <w:start w:val="1"/>
      <w:numFmt w:val="hebrew1"/>
      <w:lvlText w:val="%1."/>
      <w:lvlJc w:val="center"/>
      <w:pPr>
        <w:tabs>
          <w:tab w:val="num" w:pos="797"/>
        </w:tabs>
        <w:ind w:left="797" w:hanging="360"/>
      </w:pPr>
    </w:lvl>
  </w:abstractNum>
  <w:num w:numId="1">
    <w:abstractNumId w:val="4"/>
  </w:num>
  <w:num w:numId="2">
    <w:abstractNumId w:val="4"/>
  </w:num>
  <w:num w:numId="3">
    <w:abstractNumId w:val="4"/>
  </w:num>
  <w:num w:numId="4">
    <w:abstractNumId w:val="3"/>
  </w:num>
  <w:num w:numId="5">
    <w:abstractNumId w:val="7"/>
  </w:num>
  <w:num w:numId="6">
    <w:abstractNumId w:val="7"/>
  </w:num>
  <w:num w:numId="7">
    <w:abstractNumId w:val="4"/>
  </w:num>
  <w:num w:numId="8">
    <w:abstractNumId w:val="4"/>
  </w:num>
  <w:num w:numId="9">
    <w:abstractNumId w:val="7"/>
  </w:num>
  <w:num w:numId="10">
    <w:abstractNumId w:val="4"/>
  </w:num>
  <w:num w:numId="11">
    <w:abstractNumId w:val="7"/>
  </w:num>
  <w:num w:numId="12">
    <w:abstractNumId w:val="6"/>
  </w:num>
  <w:num w:numId="13">
    <w:abstractNumId w:val="0"/>
  </w:num>
  <w:num w:numId="14">
    <w:abstractNumId w:val="5"/>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56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center"/>
      <w:outlineLvl w:val="2"/>
    </w:pPr>
    <w:rPr>
      <w:b/>
      <w:bCs/>
      <w:sz w:val="46"/>
      <w:szCs w:val="44"/>
    </w:rPr>
  </w:style>
  <w:style w:type="paragraph" w:styleId="Heading4">
    <w:name w:val="heading 4"/>
    <w:basedOn w:val="Normal"/>
    <w:next w:val="Normal"/>
    <w:uiPriority w:val="9"/>
    <w:qFormat/>
    <w:pPr>
      <w:keepNext/>
      <w:ind w:left="0" w:right="0"/>
      <w:jc w:val="center"/>
      <w:outlineLvl w:val="3"/>
    </w:pPr>
    <w:rPr>
      <w:b/>
      <w:bCs/>
      <w:sz w:val="46"/>
      <w:szCs w:val="40"/>
    </w:rPr>
  </w:style>
  <w:style w:type="paragraph" w:styleId="Heading5">
    <w:name w:val="heading 5"/>
    <w:basedOn w:val="Normal"/>
    <w:next w:val="Normal"/>
    <w:uiPriority w:val="9"/>
    <w:qFormat/>
    <w:pPr>
      <w:keepNext/>
      <w:ind w:left="0" w:right="0"/>
      <w:jc w:val="center"/>
      <w:outlineLvl w:val="4"/>
    </w:pPr>
    <w:rPr>
      <w:b/>
      <w:bCs/>
      <w:sz w:val="46"/>
      <w:szCs w:val="32"/>
    </w:rPr>
  </w:style>
  <w:style w:type="paragraph" w:styleId="Heading6">
    <w:name w:val="heading 6"/>
    <w:basedOn w:val="Normal"/>
    <w:next w:val="Normal"/>
    <w:uiPriority w:val="9"/>
    <w:qFormat/>
    <w:pPr>
      <w:keepNext/>
      <w:ind w:left="0" w:right="0"/>
      <w:jc w:val="both"/>
      <w:outlineLvl w:val="5"/>
    </w:pPr>
    <w:rPr>
      <w:b/>
      <w:bCs/>
      <w:sz w:val="46"/>
      <w:szCs w:val="28"/>
    </w:rPr>
  </w:style>
  <w:style w:type="paragraph" w:styleId="Heading7">
    <w:name w:val="heading 7"/>
    <w:basedOn w:val="Normal"/>
    <w:next w:val="Normal"/>
    <w:uiPriority w:val="9"/>
    <w:qFormat/>
    <w:pPr>
      <w:keepNext/>
      <w:spacing w:line="360" w:lineRule="auto"/>
      <w:ind w:left="0" w:right="0"/>
      <w:jc w:val="both"/>
      <w:outlineLvl w:val="6"/>
    </w:pPr>
    <w:rPr>
      <w:b/>
      <w:bCs/>
      <w:sz w:val="46"/>
      <w:szCs w:val="28"/>
    </w:rPr>
  </w:style>
  <w:style w:type="paragraph" w:styleId="Heading8">
    <w:name w:val="heading 8"/>
    <w:basedOn w:val="Normal"/>
    <w:next w:val="Normal"/>
    <w:uiPriority w:val="9"/>
    <w:qFormat/>
    <w:pPr>
      <w:keepNext/>
      <w:spacing w:line="360" w:lineRule="auto"/>
      <w:ind w:left="0" w:right="0"/>
      <w:jc w:val="both"/>
      <w:outlineLvl w:val="7"/>
    </w:pPr>
    <w:rPr>
      <w:sz w:val="46"/>
      <w:szCs w:val="28"/>
    </w:rPr>
  </w:style>
  <w:style w:type="paragraph" w:styleId="Heading9">
    <w:name w:val="heading 9"/>
    <w:basedOn w:val="Normal"/>
    <w:next w:val="Normal"/>
    <w:uiPriority w:val="9"/>
    <w:qFormat/>
    <w:pPr>
      <w:keepNext/>
      <w:ind w:left="0" w:right="0"/>
      <w:jc w:val="both"/>
      <w:outlineLvl w:val="8"/>
    </w:pPr>
    <w:rPr>
      <w:b/>
      <w:bCs/>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pPr>
      <w:ind w:left="567" w:right="0" w:hanging="567"/>
      <w:jc w:val="both"/>
    </w:pPr>
    <w:rPr>
      <w:szCs w:val="20"/>
    </w:rPr>
  </w:style>
  <w:style w:type="character" w:styleId="FootnoteReference">
    <w:name w:val="footnote reference"/>
    <w:basedOn w:val="DefaultParagraphFont"/>
    <w:rPr>
      <w:vertAlign w:val="superscript"/>
    </w:rPr>
  </w:style>
  <w:style w:type="paragraph" w:styleId="EndnoteText">
    <w:name w:val="endnote text"/>
    <w:basedOn w:val="Normal"/>
    <w:pPr>
      <w:ind w:left="0" w:right="0"/>
      <w:jc w:val="both"/>
    </w:pPr>
    <w:rPr>
      <w:szCs w:val="20"/>
    </w:rPr>
  </w:style>
  <w:style w:type="character" w:styleId="EndnoteReference">
    <w:name w:val="endnote reference"/>
    <w:basedOn w:val="DefaultParagraphFont"/>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ind w:left="372" w:right="0" w:hanging="372"/>
      <w:jc w:val="both"/>
    </w:pPr>
  </w:style>
  <w:style w:type="paragraph" w:styleId="BodyTextIndent2">
    <w:name w:val="Body Text Indent 2"/>
    <w:basedOn w:val="Normal"/>
    <w:pPr>
      <w:ind w:left="84" w:right="0"/>
      <w:jc w:val="both"/>
    </w:pPr>
  </w:style>
  <w:style w:type="paragraph" w:styleId="BodyTextIndent3">
    <w:name w:val="Body Text Indent 3"/>
    <w:basedOn w:val="Normal"/>
    <w:pPr>
      <w:ind w:left="567" w:right="0"/>
      <w:jc w:val="both"/>
    </w:pPr>
    <w:rPr>
      <w:b/>
      <w:bCs/>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header" Target="header2.xml"/><Relationship Id="rId18"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styles" Target="styles.xml"/><Relationship Id="rId7" Type="http://schemas.openxmlformats.org/officeDocument/2006/relationships/footer" Target="footer1.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1.xml"/><Relationship Id="rId15" Type="http://schemas.openxmlformats.org/officeDocument/2006/relationships/footer" Target="footer5.xml"/><Relationship Id="rId5"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customXml" Target="../customXml/item2.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footer" Target="footer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EDC60A-82B6-4B23-A44F-B566329782C7}"/>
</file>

<file path=customXml/itemProps2.xml><?xml version="1.0" encoding="utf-8"?>
<ds:datastoreItem xmlns:ds="http://schemas.openxmlformats.org/officeDocument/2006/customXml" ds:itemID="{09DACE4C-7AD0-4866-AEDF-7BCB4555E0CB}"/>
</file>

<file path=customXml/itemProps3.xml><?xml version="1.0" encoding="utf-8"?>
<ds:datastoreItem xmlns:ds="http://schemas.openxmlformats.org/officeDocument/2006/customXml" ds:itemID="{D5D53070-7FC0-4FED-9DE4-4B44F84F179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