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Heading3"/>
        <w:ind w:left="0" w:right="0"/>
        <w:jc w:val="left"/>
        <w:rPr>
          <w:rFonts w:cs="David"/>
          <w:sz w:val="27"/>
        </w:rPr>
      </w:pPr>
    </w:p>
    <w:p>
      <w:pPr>
        <w:ind w:left="4" w:right="0" w:firstLine="4920"/>
        <w:jc w:val="both"/>
        <w:rPr>
          <w:rFonts w:cs="Narkisim"/>
          <w:sz w:val="32"/>
          <w:szCs w:val="32"/>
          <w:rtl/>
        </w:rPr>
      </w:pPr>
      <w:r>
        <w:rPr>
          <w:rFonts w:cs="Narkisim" w:hint="cs"/>
          <w:sz w:val="32"/>
          <w:szCs w:val="32"/>
          <w:rtl/>
        </w:rPr>
        <w:t>מבקר המדינה</w:t>
      </w:r>
    </w:p>
    <w:p>
      <w:pPr>
        <w:pStyle w:val="Heading5"/>
        <w:ind w:left="4" w:right="0" w:firstLine="4920"/>
        <w:jc w:val="both"/>
        <w:rPr>
          <w:rFonts w:cs="Narkisim" w:hint="cs"/>
          <w:b w:val="0"/>
          <w:bCs w:val="0"/>
          <w:sz w:val="28"/>
          <w:szCs w:val="28"/>
          <w:rtl/>
        </w:rPr>
      </w:pPr>
      <w:r>
        <w:rPr>
          <w:rFonts w:cs="Narkisim" w:hint="cs"/>
          <w:b w:val="0"/>
          <w:bCs w:val="0"/>
          <w:sz w:val="28"/>
          <w:szCs w:val="28"/>
          <w:rtl/>
        </w:rPr>
        <w:t>דוח על הביקורת</w:t>
      </w:r>
    </w:p>
    <w:p>
      <w:pPr>
        <w:ind w:left="4" w:right="0" w:firstLine="4920"/>
        <w:jc w:val="both"/>
        <w:rPr>
          <w:rFonts w:cs="Narkisim" w:hint="cs"/>
          <w:sz w:val="28"/>
          <w:szCs w:val="28"/>
          <w:rtl/>
        </w:rPr>
      </w:pPr>
      <w:r>
        <w:rPr>
          <w:rFonts w:cs="Narkisim" w:hint="cs"/>
          <w:sz w:val="28"/>
          <w:szCs w:val="28"/>
          <w:rtl/>
        </w:rPr>
        <w:t>בקרן וולף</w:t>
      </w:r>
    </w:p>
    <w:p>
      <w:pPr>
        <w:pStyle w:val="Heading3"/>
        <w:ind w:left="0" w:right="0"/>
        <w:jc w:val="left"/>
        <w:rPr>
          <w:rFonts w:cs="David" w:hint="cs"/>
          <w:sz w:val="27"/>
          <w:rtl/>
        </w:rPr>
      </w:pPr>
    </w:p>
    <w:p>
      <w:pPr>
        <w:pStyle w:val="Heading3"/>
        <w:ind w:left="0" w:right="0"/>
        <w:jc w:val="left"/>
        <w:rPr>
          <w:rFonts w:cs="David" w:hint="cs"/>
          <w:sz w:val="27"/>
          <w:rtl/>
        </w:rPr>
      </w:pPr>
      <w:r>
        <w:rPr>
          <w:b w:val="0"/>
          <w:bCs w:val="0"/>
          <w:rtl/>
        </w:rPr>
        <w:br w:type="page"/>
      </w:r>
    </w:p>
    <w:p>
      <w:pPr>
        <w:pStyle w:val="Heading3"/>
        <w:ind w:left="0" w:right="0"/>
        <w:jc w:val="left"/>
        <w:rPr>
          <w:rFonts w:cs="FrankRuehl" w:hint="cs"/>
          <w:rtl/>
        </w:rPr>
      </w:pPr>
      <w:r>
        <w:rPr>
          <w:b w:val="0"/>
          <w:bCs w:val="0"/>
          <w:rtl/>
        </w:rPr>
        <w:br w:type="page"/>
      </w:r>
    </w:p>
    <w:p>
      <w:pPr>
        <w:ind w:left="0" w:right="0"/>
        <w:jc w:val="both"/>
        <w:rPr>
          <w:rFonts w:cs="FrankRuehl" w:hint="cs"/>
          <w:sz w:val="24"/>
          <w:rtl/>
        </w:rPr>
      </w:pPr>
    </w:p>
    <w:p>
      <w:pPr>
        <w:ind w:left="0" w:right="0"/>
        <w:jc w:val="center"/>
        <w:rPr>
          <w:rFonts w:cs="FrankRuehl" w:hint="cs"/>
          <w:sz w:val="24"/>
          <w:rtl/>
        </w:rPr>
      </w:pPr>
      <w:r>
        <w:rPr>
          <w:rFonts w:cs="FrankRuehl"/>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16pt;height:69.77pt" o:preferrelative="t" fillcolor="window" stroked="f">
            <v:imagedata r:id="rId5" o:title="semel"/>
          </v:shape>
        </w:pict>
      </w:r>
    </w:p>
    <w:p>
      <w:pPr>
        <w:ind w:left="0" w:right="0"/>
        <w:jc w:val="both"/>
        <w:rPr>
          <w:rFonts w:cs="FrankRuehl" w:hint="cs"/>
          <w:sz w:val="24"/>
          <w:rtl/>
        </w:rPr>
      </w:pPr>
    </w:p>
    <w:p>
      <w:pPr>
        <w:ind w:left="0" w:right="0"/>
        <w:jc w:val="center"/>
        <w:rPr>
          <w:rFonts w:cs="David" w:hint="cs"/>
          <w:b/>
          <w:bCs/>
          <w:sz w:val="52"/>
          <w:szCs w:val="52"/>
          <w:rtl/>
        </w:rPr>
      </w:pPr>
      <w:r>
        <w:rPr>
          <w:rFonts w:cs="David" w:hint="cs"/>
          <w:b/>
          <w:bCs/>
          <w:sz w:val="52"/>
          <w:szCs w:val="52"/>
          <w:rtl/>
        </w:rPr>
        <w:t>מבקר המדינה</w:t>
      </w:r>
    </w:p>
    <w:p>
      <w:pPr>
        <w:ind w:left="0" w:right="0"/>
        <w:jc w:val="both"/>
        <w:rPr>
          <w:rFonts w:cs="FrankRuehl" w:hint="cs"/>
          <w:sz w:val="24"/>
          <w:rtl/>
        </w:rPr>
      </w:pPr>
    </w:p>
    <w:p>
      <w:pPr>
        <w:ind w:left="0" w:right="0"/>
        <w:jc w:val="both"/>
        <w:rPr>
          <w:rFonts w:cs="FrankRuehl" w:hint="cs"/>
          <w:sz w:val="24"/>
          <w:rtl/>
        </w:rPr>
      </w:pPr>
    </w:p>
    <w:p>
      <w:pPr>
        <w:ind w:left="0" w:right="0"/>
        <w:jc w:val="both"/>
        <w:rPr>
          <w:rFonts w:cs="FrankRuehl" w:hint="cs"/>
          <w:sz w:val="24"/>
          <w:rtl/>
        </w:rPr>
      </w:pPr>
    </w:p>
    <w:p>
      <w:pPr>
        <w:ind w:left="0" w:right="0"/>
        <w:jc w:val="center"/>
        <w:rPr>
          <w:rFonts w:cs="Narkisim" w:hint="cs"/>
          <w:sz w:val="56"/>
          <w:szCs w:val="56"/>
          <w:rtl/>
        </w:rPr>
      </w:pPr>
      <w:r>
        <w:rPr>
          <w:rFonts w:cs="Narkisim" w:hint="cs"/>
          <w:sz w:val="56"/>
          <w:szCs w:val="56"/>
          <w:rtl/>
        </w:rPr>
        <w:t>דוח על הביקורת</w:t>
      </w:r>
    </w:p>
    <w:p>
      <w:pPr>
        <w:ind w:left="0" w:right="0"/>
        <w:jc w:val="center"/>
        <w:rPr>
          <w:rFonts w:cs="Narkisim" w:hint="cs"/>
          <w:sz w:val="56"/>
          <w:szCs w:val="56"/>
          <w:rtl/>
        </w:rPr>
      </w:pPr>
      <w:r>
        <w:rPr>
          <w:rFonts w:cs="Narkisim" w:hint="cs"/>
          <w:sz w:val="56"/>
          <w:szCs w:val="56"/>
          <w:rtl/>
        </w:rPr>
        <w:t>בקרן וולף</w:t>
      </w:r>
    </w:p>
    <w:p>
      <w:pPr>
        <w:ind w:left="0" w:right="0"/>
        <w:jc w:val="center"/>
        <w:rPr>
          <w:rFonts w:cs="Narkisim" w:hint="cs"/>
          <w:sz w:val="56"/>
          <w:szCs w:val="56"/>
          <w:rtl/>
        </w:rPr>
      </w:pPr>
      <w:r>
        <w:rPr>
          <w:rFonts w:cs="Narkisim" w:hint="cs"/>
          <w:sz w:val="56"/>
          <w:szCs w:val="56"/>
          <w:rtl/>
        </w:rPr>
        <w:t>2/98</w:t>
      </w:r>
    </w:p>
    <w:p>
      <w:pPr>
        <w:pStyle w:val="Heading6"/>
        <w:ind w:left="0" w:right="0"/>
        <w:jc w:val="center"/>
        <w:rPr>
          <w:rFonts w:cs="Narkisim" w:hint="cs"/>
          <w:rtl/>
        </w:rPr>
      </w:pPr>
    </w:p>
    <w:p>
      <w:pPr>
        <w:pStyle w:val="Heading6"/>
        <w:ind w:left="0" w:right="0"/>
        <w:jc w:val="center"/>
        <w:rPr>
          <w:rFonts w:cs="Narkisim" w:hint="cs"/>
          <w:rtl/>
        </w:rPr>
      </w:pPr>
    </w:p>
    <w:p>
      <w:pPr>
        <w:pStyle w:val="Heading6"/>
        <w:ind w:left="0" w:right="0"/>
        <w:jc w:val="center"/>
        <w:rPr>
          <w:rFonts w:cs="Narkisim" w:hint="cs"/>
          <w:rtl/>
        </w:rPr>
      </w:pPr>
      <w:r>
        <w:rPr>
          <w:rFonts w:cs="Narkisim" w:hint="cs"/>
          <w:rtl/>
        </w:rPr>
        <w:t>ירושלים, התשנ"ט-1998</w:t>
      </w:r>
    </w:p>
    <w:p>
      <w:pPr>
        <w:ind w:left="0" w:right="0"/>
        <w:jc w:val="both"/>
        <w:rPr>
          <w:rFonts w:cs="FrankRuehl" w:hint="cs"/>
          <w:sz w:val="24"/>
          <w:rtl/>
        </w:rPr>
      </w:pPr>
    </w:p>
    <w:p>
      <w:pPr>
        <w:ind w:left="0" w:right="0"/>
        <w:jc w:val="both"/>
        <w:rPr>
          <w:rFonts w:cs="FrankRuehl" w:hint="cs"/>
          <w:sz w:val="24"/>
          <w:rtl/>
        </w:rPr>
      </w:pPr>
    </w:p>
    <w:p>
      <w:pPr>
        <w:ind w:left="0" w:right="0"/>
        <w:jc w:val="both"/>
        <w:rPr>
          <w:rFonts w:cs="FrankRuehl" w:hint="cs"/>
          <w:sz w:val="24"/>
          <w:rtl/>
        </w:rPr>
      </w:pPr>
    </w:p>
    <w:p>
      <w:pPr>
        <w:ind w:left="0" w:right="0"/>
        <w:jc w:val="both"/>
        <w:rPr>
          <w:rFonts w:cs="FrankRuehl" w:hint="cs"/>
          <w:sz w:val="24"/>
          <w:rtl/>
        </w:rPr>
      </w:pPr>
      <w:r>
        <w:rPr>
          <w:rFonts w:cs="FrankRuehl" w:hint="cs"/>
          <w:sz w:val="24"/>
          <w:rtl/>
        </w:rPr>
        <w:br w:type="page"/>
      </w: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4"/>
          <w:rtl/>
        </w:rPr>
      </w:pPr>
    </w:p>
    <w:p>
      <w:pPr>
        <w:ind w:left="0" w:right="0"/>
        <w:jc w:val="center"/>
        <w:rPr>
          <w:rFonts w:cs="FrankRuehl" w:hint="cs"/>
          <w:sz w:val="22"/>
          <w:szCs w:val="22"/>
          <w:rtl/>
        </w:rPr>
      </w:pPr>
      <w:r>
        <w:rPr>
          <w:rFonts w:cs="FrankRuehl"/>
          <w:szCs w:val="22"/>
        </w:rPr>
        <w:t>ISSN 0792-7932</w:t>
      </w:r>
    </w:p>
    <w:p>
      <w:pPr>
        <w:ind w:left="0" w:right="0"/>
        <w:jc w:val="center"/>
        <w:rPr>
          <w:rFonts w:cs="FrankRuehl" w:hint="cs"/>
          <w:sz w:val="24"/>
          <w:rtl/>
        </w:rPr>
      </w:pPr>
      <w:r>
        <w:rPr>
          <w:rFonts w:cs="FrankRuehl" w:hint="cs"/>
          <w:sz w:val="24"/>
          <w:rtl/>
        </w:rPr>
        <w:t xml:space="preserve">מס' קטלוגי </w:t>
      </w:r>
      <w:r>
        <w:rPr>
          <w:rFonts w:cs="FrankRuehl"/>
          <w:szCs w:val="20"/>
        </w:rPr>
        <w:t>97-006</w:t>
      </w:r>
    </w:p>
    <w:p>
      <w:pPr>
        <w:ind w:left="0" w:right="0"/>
        <w:jc w:val="center"/>
        <w:rPr>
          <w:rFonts w:cs="FrankRuehl" w:hint="cs"/>
          <w:sz w:val="24"/>
          <w:rtl/>
          <w:lang w:eastAsia="en-US"/>
        </w:rPr>
      </w:pPr>
      <w:r>
        <w:rPr>
          <w:rFonts w:cs="FrankRuehl" w:hint="cs"/>
          <w:sz w:val="24"/>
          <w:rtl/>
          <w:lang w:eastAsia="en-US"/>
        </w:rPr>
        <w:t xml:space="preserve">"ניתן לקבל גרסה אלקטרונית של דוח זה באתר האינטרנט של משרד מבקר המדינה </w:t>
        <w:br/>
        <w:t>בכתובת:</w:t>
      </w:r>
      <w:r>
        <w:rPr>
          <w:rFonts w:cs="FrankRuehl"/>
          <w:lang w:eastAsia="en-US"/>
        </w:rPr>
        <w:fldChar w:fldCharType="begin"/>
      </w:r>
      <w:r>
        <w:rPr>
          <w:rFonts w:cs="FrankRuehl"/>
          <w:lang w:eastAsia="en-US"/>
        </w:rPr>
        <w:instrText xml:space="preserve"> HYPERLINK "h</w:instrText>
      </w:r>
      <w:r>
        <w:rPr>
          <w:rFonts w:cs="FrankRuehl"/>
          <w:lang w:eastAsia="en-US"/>
        </w:rPr>
        <w:instrText xml:space="preserve">ttp://www.mevaker.gov.il/" </w:instrText>
      </w:r>
      <w:r>
        <w:rPr>
          <w:rFonts w:cs="FrankRuehl"/>
          <w:lang w:eastAsia="en-US"/>
        </w:rPr>
        <w:fldChar w:fldCharType="separate"/>
      </w:r>
      <w:r>
        <w:rPr>
          <w:rStyle w:val="Hyperlink"/>
          <w:rFonts w:cs="FrankRuehl"/>
          <w:color w:val="auto"/>
          <w:u w:val="none"/>
          <w:lang w:eastAsia="en-US"/>
        </w:rPr>
        <w:t>www.me</w:t>
      </w:r>
      <w:bookmarkStart w:id="0" w:name="_Hlt467555650"/>
      <w:r>
        <w:rPr>
          <w:rStyle w:val="Hyperlink"/>
          <w:rFonts w:cs="FrankRuehl"/>
          <w:color w:val="auto"/>
          <w:u w:val="none"/>
          <w:lang w:eastAsia="en-US"/>
        </w:rPr>
        <w:t>v</w:t>
      </w:r>
      <w:bookmarkEnd w:id="0"/>
      <w:r>
        <w:rPr>
          <w:rStyle w:val="Hyperlink"/>
          <w:rFonts w:cs="FrankRuehl"/>
          <w:color w:val="auto"/>
          <w:u w:val="none"/>
          <w:lang w:eastAsia="en-US"/>
        </w:rPr>
        <w:t>aker.gov.il</w:t>
      </w:r>
      <w:r>
        <w:rPr>
          <w:rFonts w:cs="FrankRuehl"/>
          <w:lang w:eastAsia="en-US"/>
        </w:rPr>
        <w:fldChar w:fldCharType="end"/>
      </w:r>
      <w:r>
        <w:rPr>
          <w:rFonts w:cs="FrankRuehl" w:hint="cs"/>
          <w:sz w:val="24"/>
          <w:rtl/>
          <w:lang w:eastAsia="en-US"/>
        </w:rPr>
        <w:t>"</w:t>
      </w:r>
    </w:p>
    <w:p>
      <w:pPr>
        <w:ind w:left="0" w:right="0"/>
        <w:jc w:val="center"/>
        <w:rPr>
          <w:rFonts w:cs="FrankRuehl" w:hint="cs"/>
          <w:sz w:val="24"/>
          <w:rtl/>
          <w:lang w:eastAsia="en-US"/>
        </w:rPr>
      </w:pPr>
    </w:p>
    <w:p>
      <w:pPr>
        <w:ind w:left="0" w:right="0"/>
        <w:jc w:val="center"/>
        <w:rPr>
          <w:rFonts w:cs="David" w:hint="cs"/>
          <w:sz w:val="27"/>
          <w:rtl/>
        </w:rPr>
      </w:pPr>
      <w:r>
        <w:rPr>
          <w:rtl/>
        </w:rPr>
        <w:br w:type="page"/>
      </w:r>
    </w:p>
    <w:p>
      <w:pPr>
        <w:pStyle w:val="a2"/>
        <w:ind w:left="0" w:right="0"/>
        <w:jc w:val="both"/>
        <w:rPr>
          <w:rFonts w:cs="Narkisim" w:hint="cs"/>
          <w:sz w:val="24"/>
          <w:rtl/>
        </w:rPr>
      </w:pPr>
    </w:p>
    <w:p>
      <w:pPr>
        <w:pStyle w:val="a2"/>
        <w:ind w:left="0" w:right="0"/>
        <w:jc w:val="both"/>
        <w:rPr>
          <w:rFonts w:cs="Narkisim" w:hint="cs"/>
          <w:sz w:val="24"/>
          <w:rtl/>
        </w:rPr>
      </w:pPr>
    </w:p>
    <w:p>
      <w:pPr>
        <w:pStyle w:val="a2"/>
        <w:ind w:left="0" w:right="0"/>
        <w:jc w:val="both"/>
        <w:rPr>
          <w:rFonts w:cs="Narkisim" w:hint="cs"/>
          <w:sz w:val="24"/>
          <w:rtl/>
        </w:rPr>
      </w:pPr>
      <w:r>
        <w:rPr>
          <w:rFonts w:cs="Narkisim" w:hint="cs"/>
          <w:sz w:val="24"/>
          <w:rtl/>
        </w:rPr>
        <w:t>דין וחשבון זה של מבקר המדינה, מסכם את הביקורת שנעשתה בקרן וולף, לסירוגין, בשנים 1996 ו-1997. בדיקות השלמה נעשו בשנת 1998. הממצאים שהעלתה הביקורת הובאו לידיעתה של הקרן, ובדוח זה מובאים העיקריים שבהם.</w:t>
      </w:r>
    </w:p>
    <w:p>
      <w:pPr>
        <w:pStyle w:val="a2"/>
        <w:ind w:left="0" w:right="0"/>
        <w:jc w:val="both"/>
        <w:rPr>
          <w:rFonts w:cs="Narkisim" w:hint="cs"/>
          <w:sz w:val="24"/>
          <w:rtl/>
        </w:rPr>
      </w:pPr>
    </w:p>
    <w:p>
      <w:pPr>
        <w:pStyle w:val="a2"/>
        <w:ind w:left="0" w:right="0"/>
        <w:jc w:val="both"/>
        <w:rPr>
          <w:rFonts w:cs="Narkisim" w:hint="cs"/>
          <w:sz w:val="24"/>
          <w:rtl/>
        </w:rPr>
      </w:pPr>
      <w:r>
        <w:rPr>
          <w:rFonts w:cs="Narkisim" w:hint="cs"/>
          <w:sz w:val="24"/>
          <w:rtl/>
        </w:rPr>
        <w:t>קרן וולף עומדת לביקורת מבקר המדינה לפי סעיף 9(6) לחוק מבקר המדינה, התשי"ח-1959 (נוסח משולב), כגוף שעומד לביקורת על פי חוק (חוק קרן וולף, התשל"ה-1975). שר החינוך, התרבות והספורט ממונה על ביצוע חוק זה.</w:t>
      </w:r>
    </w:p>
    <w:p>
      <w:pPr>
        <w:pStyle w:val="a2"/>
        <w:ind w:left="0" w:right="0"/>
        <w:jc w:val="both"/>
        <w:rPr>
          <w:rFonts w:hint="cs"/>
          <w:rtl/>
        </w:rPr>
      </w:pPr>
      <w:r>
        <w:rPr>
          <w:rtl/>
        </w:rPr>
        <w:br w:type="page"/>
      </w:r>
    </w:p>
    <w:p>
      <w:pPr>
        <w:pStyle w:val="a2"/>
        <w:ind w:left="0" w:right="0"/>
        <w:jc w:val="both"/>
        <w:rPr>
          <w:rFonts w:cs="David" w:hint="cs"/>
          <w:sz w:val="32"/>
          <w:szCs w:val="32"/>
          <w:rtl/>
        </w:rPr>
      </w:pPr>
      <w:r>
        <w:rPr>
          <w:rtl/>
        </w:rPr>
        <w:br w:type="page"/>
      </w:r>
    </w:p>
    <w:p>
      <w:pPr>
        <w:pStyle w:val="Heading7"/>
        <w:ind w:left="0" w:right="0"/>
        <w:jc w:val="center"/>
        <w:rPr>
          <w:rFonts w:cs="David" w:hint="cs"/>
          <w:rtl/>
        </w:rPr>
      </w:pPr>
      <w:r>
        <w:rPr>
          <w:rFonts w:cs="David" w:hint="cs"/>
          <w:rtl/>
        </w:rPr>
        <w:t>תוכן העניינים</w:t>
      </w:r>
    </w:p>
    <w:p>
      <w:pPr>
        <w:ind w:left="0" w:right="0"/>
        <w:jc w:val="both"/>
        <w:rPr>
          <w:rFonts w:hint="cs"/>
          <w:sz w:val="24"/>
          <w:rtl/>
        </w:rPr>
      </w:pPr>
      <w:r>
        <w:rPr>
          <w:rFonts w:hint="cs"/>
          <w:sz w:val="24"/>
          <w:rtl/>
        </w:rPr>
        <w:t>מבוא ...................................</w:t>
      </w:r>
      <w:r>
        <w:rPr>
          <w:rFonts w:hint="cs"/>
          <w:sz w:val="24"/>
          <w:rtl/>
        </w:rPr>
        <w:t>.........................................................................9</w:t>
      </w:r>
    </w:p>
    <w:p>
      <w:pPr>
        <w:ind w:left="0" w:right="0"/>
        <w:jc w:val="both"/>
        <w:rPr>
          <w:rFonts w:hint="cs"/>
          <w:sz w:val="24"/>
          <w:rtl/>
        </w:rPr>
      </w:pPr>
      <w:r>
        <w:rPr>
          <w:rFonts w:hint="cs"/>
          <w:sz w:val="24"/>
          <w:rtl/>
        </w:rPr>
        <w:t>פרסים מענקים ומלגות.....................................................................................12</w:t>
      </w:r>
    </w:p>
    <w:p>
      <w:pPr>
        <w:ind w:left="0" w:right="0"/>
        <w:jc w:val="both"/>
        <w:rPr>
          <w:rFonts w:hint="cs"/>
          <w:sz w:val="24"/>
          <w:rtl/>
        </w:rPr>
      </w:pPr>
      <w:r>
        <w:rPr>
          <w:rFonts w:hint="cs"/>
          <w:sz w:val="24"/>
          <w:rtl/>
        </w:rPr>
        <w:t>השקעות הקרן ..............................................................</w:t>
      </w:r>
      <w:r>
        <w:rPr>
          <w:rFonts w:hint="cs"/>
          <w:sz w:val="24"/>
          <w:rtl/>
        </w:rPr>
        <w:t>.................................15</w:t>
      </w:r>
    </w:p>
    <w:p>
      <w:pPr>
        <w:ind w:left="0" w:right="0"/>
        <w:jc w:val="both"/>
        <w:rPr>
          <w:rFonts w:hint="cs"/>
          <w:sz w:val="24"/>
          <w:rtl/>
        </w:rPr>
      </w:pPr>
      <w:r>
        <w:rPr>
          <w:rFonts w:hint="cs"/>
          <w:sz w:val="24"/>
          <w:rtl/>
        </w:rPr>
        <w:t>חשבונות וכספים............................................................................................18</w:t>
      </w:r>
    </w:p>
    <w:p>
      <w:pPr>
        <w:pStyle w:val="TOC1"/>
        <w:ind w:left="0" w:right="0"/>
        <w:jc w:val="both"/>
        <w:rPr>
          <w:rFonts w:hint="cs"/>
          <w:sz w:val="24"/>
          <w:rtl/>
        </w:rPr>
      </w:pPr>
    </w:p>
    <w:p>
      <w:pPr>
        <w:ind w:left="0" w:right="0"/>
        <w:jc w:val="both"/>
        <w:rPr>
          <w:rFonts w:cs="David" w:hint="cs"/>
          <w:b/>
          <w:bCs/>
          <w:sz w:val="32"/>
          <w:szCs w:val="32"/>
          <w:rtl/>
        </w:rPr>
      </w:pPr>
      <w:r>
        <w:rPr>
          <w:rFonts w:cs="David" w:hint="cs"/>
          <w:b/>
          <w:bCs/>
          <w:sz w:val="32"/>
          <w:szCs w:val="32"/>
          <w:rtl/>
        </w:rPr>
        <w:br w:type="page"/>
      </w:r>
    </w:p>
    <w:p>
      <w:pPr>
        <w:bidi w:val="0"/>
        <w:spacing w:line="240" w:lineRule="auto"/>
        <w:jc w:val="left"/>
        <w:rPr>
          <w:rFonts w:cs="FrankRuehl"/>
          <w:sz w:val="24"/>
        </w:rPr>
        <w:sectPr>
          <w:footerReference w:type="even" r:id="rId6"/>
          <w:footerReference w:type="default" r:id="rId7"/>
          <w:pgSz w:w="11906" w:h="16838"/>
          <w:pgMar w:top="567" w:right="2381" w:bottom="284" w:left="2381" w:header="567" w:footer="284" w:gutter="0"/>
          <w:pgNumType w:start="0"/>
          <w:cols w:space="720"/>
          <w:docGrid w:linePitch="360"/>
        </w:sectPr>
      </w:pPr>
    </w:p>
    <w:p>
      <w:pPr>
        <w:ind w:left="0" w:right="0"/>
        <w:jc w:val="both"/>
        <w:rPr>
          <w:rFonts w:cs="FrankRuehl" w:hint="cs"/>
          <w:sz w:val="24"/>
          <w:rtl/>
        </w:rPr>
      </w:pPr>
    </w:p>
    <w:p>
      <w:pPr>
        <w:pStyle w:val="Heading1"/>
        <w:ind w:left="0" w:right="0"/>
        <w:jc w:val="center"/>
        <w:rPr>
          <w:rFonts w:cs="David" w:hint="cs"/>
          <w:sz w:val="34"/>
          <w:rtl/>
        </w:rPr>
      </w:pPr>
      <w:bookmarkStart w:id="1" w:name="_Toc501440600"/>
      <w:r>
        <w:rPr>
          <w:rFonts w:cs="David" w:hint="cs"/>
          <w:sz w:val="34"/>
          <w:rtl/>
        </w:rPr>
        <w:t>מבוא</w:t>
      </w:r>
      <w:bookmarkEnd w:id="1"/>
    </w:p>
    <w:p>
      <w:pPr>
        <w:ind w:left="0" w:right="0"/>
        <w:jc w:val="both"/>
        <w:rPr>
          <w:rFonts w:cs="FrankRuehl" w:hint="cs"/>
          <w:sz w:val="24"/>
          <w:rtl/>
        </w:rPr>
      </w:pPr>
      <w:r>
        <w:rPr>
          <w:rFonts w:cs="FrankRuehl" w:hint="cs"/>
          <w:sz w:val="24"/>
          <w:rtl/>
        </w:rPr>
        <w:t>בשנת 1975 ייסדו ד"ר ר' וולף</w:t>
      </w:r>
      <w:r>
        <w:rPr>
          <w:rStyle w:val="FootnoteReference"/>
          <w:rFonts w:cs="FrankRuehl"/>
          <w:sz w:val="24"/>
          <w:rtl/>
        </w:rPr>
        <w:footnoteReference w:id="0"/>
      </w:r>
      <w:r>
        <w:rPr>
          <w:rFonts w:cs="FrankRuehl" w:hint="cs"/>
          <w:sz w:val="24"/>
          <w:rtl/>
        </w:rPr>
        <w:t xml:space="preserve"> ורעייתו (להלן - המייסדים) קרן למתן פרסים, מלגות ומענקים לשם קידום המדע והאמנות. ביוזמת המייסדים חוקקה הכנסת ביולי 1975 את חוק קרן וולף, התשל"ה-1975 (להלן - החוק). על פי החוק, קרן וולף (להלן - הקרן) היא תאגיד שמושבו בישראל. סעיף 6 בחוק קובע, כי "ניהול הקרן ונכסיה, קביעת הכנסותיה, ארגון הענקת פרסים ושאר ענייני הקרן, יהיו לפי האמור בתקנון שבתוספת" (להלן - התקנון).</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הקרן החלה בפעילותה בתחילת 1976, לאחר שהמייסדים העבירו לה ניירות ערך (מניות ואיגרות חוב) נושאי ריבית ודיבידנד, ואת ביתם בהרצליה. בעת ההעברה נאמד שוויים של ניירות הערך ב-7.8 מיליון דולר, ושווי הבית נאמד ב-2.2 מיליון דולר. בתחילת 1981 נפטרו ד"ר וולף ורעייתו, ובאפריל אותה שנה הועברו מעיזבונם לרשות הקרן, על פי צוואתם, ניירות ערך נוספים ששוויים המוערך היה בעת ההעברה 3.6 מיליון דולר. בשנות התשעים קיבלה הקרן תרומות נוספות בסך כולל של כ-1 מיליון דולר.</w:t>
      </w:r>
    </w:p>
    <w:p>
      <w:pPr>
        <w:ind w:left="0" w:right="0"/>
        <w:jc w:val="both"/>
        <w:rPr>
          <w:rFonts w:cs="FrankRuehl" w:hint="cs"/>
          <w:sz w:val="24"/>
          <w:rtl/>
        </w:rPr>
      </w:pPr>
    </w:p>
    <w:p>
      <w:pPr>
        <w:ind w:left="0" w:right="0"/>
        <w:jc w:val="both"/>
        <w:rPr>
          <w:rFonts w:cs="FrankRuehl" w:hint="cs"/>
          <w:sz w:val="24"/>
          <w:rtl/>
        </w:rPr>
      </w:pPr>
      <w:r>
        <w:rPr>
          <w:rFonts w:cs="FrankRuehl" w:hint="cs"/>
          <w:sz w:val="24"/>
          <w:rtl/>
        </w:rPr>
        <w:t>אלה מטרות הקרן על פי סעיף 5 לחוק:</w:t>
      </w:r>
    </w:p>
    <w:p>
      <w:pPr>
        <w:ind w:left="0" w:right="0"/>
        <w:jc w:val="both"/>
        <w:rPr>
          <w:rFonts w:cs="FrankRuehl" w:hint="cs"/>
          <w:sz w:val="24"/>
          <w:rtl/>
        </w:rPr>
      </w:pPr>
    </w:p>
    <w:p>
      <w:pPr>
        <w:ind w:left="0" w:right="0"/>
        <w:jc w:val="both"/>
        <w:rPr>
          <w:rFonts w:cs="FrankRuehl" w:hint="cs"/>
          <w:sz w:val="24"/>
          <w:rtl/>
        </w:rPr>
      </w:pPr>
      <w:r>
        <w:rPr>
          <w:rFonts w:cs="FrankRuehl" w:hint="cs"/>
          <w:sz w:val="24"/>
          <w:rtl/>
        </w:rPr>
        <w:t>"א. לקדם המדע לכל תחומיו והאמנות לכל צורותיה;</w:t>
      </w:r>
    </w:p>
    <w:p>
      <w:pPr>
        <w:ind w:left="0" w:right="0"/>
        <w:jc w:val="both"/>
        <w:rPr>
          <w:rFonts w:cs="FrankRuehl" w:hint="cs"/>
          <w:sz w:val="24"/>
          <w:rtl/>
        </w:rPr>
      </w:pPr>
    </w:p>
    <w:p>
      <w:pPr>
        <w:ind w:left="0" w:right="0"/>
        <w:jc w:val="both"/>
        <w:rPr>
          <w:rFonts w:cs="FrankRuehl" w:hint="cs"/>
          <w:sz w:val="24"/>
          <w:rtl/>
        </w:rPr>
      </w:pPr>
      <w:r>
        <w:rPr>
          <w:rFonts w:cs="FrankRuehl" w:hint="cs"/>
          <w:sz w:val="24"/>
          <w:rtl/>
        </w:rPr>
        <w:t>ב. להעניק פרסים לאנשי מדע ואמנים נודעים בעד הישגיהם למען האנושות ולמען יחסי ידידות בין העמים, בלי הבדל אזרחות, גזע, צבע, דת, מין או השקפה פוליטית;</w:t>
      </w:r>
    </w:p>
    <w:p>
      <w:pPr>
        <w:ind w:left="0" w:right="0"/>
        <w:jc w:val="both"/>
        <w:rPr>
          <w:rFonts w:cs="FrankRuehl" w:hint="cs"/>
          <w:sz w:val="24"/>
          <w:rtl/>
        </w:rPr>
      </w:pPr>
    </w:p>
    <w:p>
      <w:pPr>
        <w:ind w:left="0" w:right="0"/>
        <w:jc w:val="both"/>
        <w:rPr>
          <w:rFonts w:cs="FrankRuehl" w:hint="cs"/>
          <w:sz w:val="24"/>
          <w:rtl/>
        </w:rPr>
      </w:pPr>
      <w:r>
        <w:rPr>
          <w:rFonts w:cs="FrankRuehl" w:hint="cs"/>
          <w:sz w:val="24"/>
          <w:rtl/>
        </w:rPr>
        <w:t>ג. לתת מלגות לסטודנטים, מענקים לאנשי מדע העוסקים במחקר, והלוואות ... למוסדות להשכלה גבוהה...".</w:t>
      </w:r>
    </w:p>
    <w:p>
      <w:pPr>
        <w:ind w:left="0" w:right="0"/>
        <w:jc w:val="both"/>
        <w:rPr>
          <w:rFonts w:cs="FrankRuehl" w:hint="cs"/>
          <w:sz w:val="24"/>
          <w:rtl/>
        </w:rPr>
      </w:pPr>
    </w:p>
    <w:p>
      <w:pPr>
        <w:ind w:left="0" w:right="0"/>
        <w:jc w:val="both"/>
        <w:rPr>
          <w:rFonts w:cs="FrankRuehl" w:hint="cs"/>
          <w:sz w:val="24"/>
          <w:rtl/>
        </w:rPr>
      </w:pPr>
      <w:r>
        <w:rPr>
          <w:rFonts w:cs="FrankRuehl" w:hint="cs"/>
          <w:sz w:val="24"/>
          <w:rtl/>
        </w:rPr>
        <w:t>ניירות הערך של הקרן וכן נדל"ן בארה"ב</w:t>
      </w:r>
      <w:r>
        <w:rPr>
          <w:rStyle w:val="FootnoteReference"/>
          <w:rFonts w:cs="FrankRuehl"/>
          <w:sz w:val="24"/>
          <w:rtl/>
        </w:rPr>
        <w:footnoteReference w:id="1"/>
      </w:r>
      <w:r>
        <w:rPr>
          <w:rFonts w:cs="FrankRuehl" w:hint="cs"/>
          <w:sz w:val="24"/>
          <w:rtl/>
        </w:rPr>
        <w:t xml:space="preserve"> מוחזקים בידי חברה הרשומה בפנמה ונשלטת במלואה בידי הקרן (להלן - פרלאן); כל הכנסות פרלאן מועברות לקרן, חוץ מסכומים המשולמים לפי צוואת המייסדים לבני משפחתם.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על פי התקנון, נכסי הקרן יישמרו לצמיתות במטבע זר, ולעולם לא ישמשו למתן פרסים, מלגות ומענקים, לכיסוי הוצאות או לכל מטרה אחרת. הפרסים והמלגות יינתנו אך ורק מהכנסות הקרן. אשר לייעוד ההכנסות קובע התקנון כדלהלן:</w:t>
      </w:r>
    </w:p>
    <w:p>
      <w:pPr>
        <w:ind w:left="0" w:right="0"/>
        <w:jc w:val="both"/>
        <w:rPr>
          <w:rFonts w:cs="FrankRuehl" w:hint="cs"/>
          <w:sz w:val="24"/>
          <w:rtl/>
        </w:rPr>
      </w:pPr>
      <w:r>
        <w:rPr>
          <w:rFonts w:cs="FrankRuehl" w:hint="cs"/>
          <w:sz w:val="24"/>
          <w:rtl/>
        </w:rPr>
        <w:t>"(א) מהכנסות הקרן יוקדשו מדי שנה –</w:t>
      </w:r>
    </w:p>
    <w:p>
      <w:pPr>
        <w:ind w:left="0" w:right="0"/>
        <w:jc w:val="both"/>
        <w:rPr>
          <w:rFonts w:cs="FrankRuehl" w:hint="cs"/>
          <w:sz w:val="24"/>
          <w:rtl/>
        </w:rPr>
      </w:pPr>
    </w:p>
    <w:p>
      <w:pPr>
        <w:pStyle w:val="a1"/>
        <w:ind w:left="284" w:right="284"/>
        <w:jc w:val="both"/>
        <w:rPr>
          <w:rFonts w:cs="FrankRuehl" w:hint="cs"/>
          <w:sz w:val="24"/>
          <w:rtl/>
        </w:rPr>
      </w:pPr>
      <w:r>
        <w:rPr>
          <w:rFonts w:cs="FrankRuehl" w:hint="cs"/>
          <w:sz w:val="24"/>
          <w:rtl/>
        </w:rPr>
        <w:t>(1) 60% לפחות להענקת פרסים;</w:t>
      </w:r>
    </w:p>
    <w:p>
      <w:pPr>
        <w:pStyle w:val="a1"/>
        <w:ind w:left="284" w:right="284"/>
        <w:jc w:val="both"/>
        <w:rPr>
          <w:rFonts w:cs="FrankRuehl" w:hint="cs"/>
          <w:sz w:val="24"/>
          <w:rtl/>
        </w:rPr>
      </w:pPr>
    </w:p>
    <w:p>
      <w:pPr>
        <w:pStyle w:val="a1"/>
        <w:ind w:left="284" w:right="284"/>
        <w:jc w:val="both"/>
        <w:rPr>
          <w:rFonts w:cs="FrankRuehl" w:hint="cs"/>
          <w:sz w:val="24"/>
          <w:rtl/>
        </w:rPr>
      </w:pPr>
      <w:r>
        <w:rPr>
          <w:rFonts w:cs="FrankRuehl" w:hint="cs"/>
          <w:sz w:val="24"/>
          <w:rtl/>
        </w:rPr>
        <w:t>(2) 10% לפחות להגדלת הון הקרן;</w:t>
      </w:r>
    </w:p>
    <w:p>
      <w:pPr>
        <w:pStyle w:val="a1"/>
        <w:ind w:left="284" w:right="284"/>
        <w:jc w:val="both"/>
        <w:rPr>
          <w:rFonts w:cs="FrankRuehl" w:hint="cs"/>
          <w:sz w:val="24"/>
          <w:rtl/>
        </w:rPr>
      </w:pPr>
    </w:p>
    <w:p>
      <w:pPr>
        <w:pStyle w:val="a1"/>
        <w:ind w:left="284" w:right="284"/>
        <w:jc w:val="both"/>
        <w:rPr>
          <w:rFonts w:cs="FrankRuehl" w:hint="cs"/>
          <w:sz w:val="24"/>
          <w:rtl/>
        </w:rPr>
      </w:pPr>
      <w:r>
        <w:rPr>
          <w:rFonts w:cs="FrankRuehl" w:hint="cs"/>
          <w:sz w:val="24"/>
          <w:rtl/>
        </w:rPr>
        <w:t>(3) 15% לכל היותר להוצאות המנהליות של הקרן ולהוצאות הכרוכות בבחירת הזוכים בפרסים ובשאר פעולות הקרן;</w:t>
      </w:r>
    </w:p>
    <w:p>
      <w:pPr>
        <w:pStyle w:val="a1"/>
        <w:ind w:left="284" w:right="284"/>
        <w:jc w:val="both"/>
        <w:rPr>
          <w:rFonts w:cs="FrankRuehl" w:hint="cs"/>
          <w:sz w:val="24"/>
          <w:rtl/>
        </w:rPr>
      </w:pPr>
    </w:p>
    <w:p>
      <w:pPr>
        <w:pStyle w:val="a1"/>
        <w:ind w:left="284" w:right="284"/>
        <w:jc w:val="both"/>
        <w:rPr>
          <w:rFonts w:cs="FrankRuehl" w:hint="cs"/>
          <w:sz w:val="24"/>
          <w:rtl/>
        </w:rPr>
      </w:pPr>
      <w:r>
        <w:rPr>
          <w:rFonts w:cs="FrankRuehl" w:hint="cs"/>
          <w:sz w:val="24"/>
          <w:rtl/>
        </w:rPr>
        <w:t>(4) עודף ההכנסות השנתיות ישמש למתן מלגות לסטודנטים, מענקים לאנשי מדע העוסקים במחקר וכן למענקים למוסדות בהתאם לרצון המייסדים;</w:t>
      </w:r>
    </w:p>
    <w:p>
      <w:pPr>
        <w:pStyle w:val="a1"/>
        <w:ind w:left="284" w:right="284"/>
        <w:jc w:val="both"/>
        <w:rPr>
          <w:rFonts w:cs="FrankRuehl" w:hint="cs"/>
          <w:sz w:val="24"/>
          <w:rtl/>
        </w:rPr>
      </w:pPr>
      <w:r>
        <w:rPr>
          <w:rFonts w:hint="cs"/>
          <w:rtl/>
        </w:rPr>
        <w:br w:type="page"/>
      </w:r>
    </w:p>
    <w:p>
      <w:pPr>
        <w:pStyle w:val="a1"/>
        <w:ind w:left="284" w:right="284"/>
        <w:jc w:val="both"/>
        <w:rPr>
          <w:rFonts w:cs="FrankRuehl" w:hint="cs"/>
          <w:sz w:val="24"/>
          <w:rtl/>
        </w:rPr>
      </w:pPr>
      <w:r>
        <w:rPr>
          <w:rFonts w:cs="FrankRuehl" w:hint="cs"/>
          <w:sz w:val="24"/>
          <w:rtl/>
        </w:rPr>
        <w:t>(ב) כל עוד המייסדים או אחד מהם בחיים, רשאים הם לקבל עד כדי 25% מהכנסות הקרן"</w:t>
      </w:r>
      <w:r>
        <w:rPr>
          <w:rStyle w:val="FootnoteReference"/>
          <w:rFonts w:cs="FrankRuehl"/>
          <w:sz w:val="24"/>
          <w:rtl/>
        </w:rPr>
        <w:footnoteReference w:id="2"/>
      </w:r>
      <w:r>
        <w:rPr>
          <w:rFonts w:cs="FrankRuehl" w:hint="cs"/>
          <w:sz w:val="24"/>
          <w:rtl/>
        </w:rPr>
        <w:t>.</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החוק פוטר את הקרן ממסים ומתשלומי חובה אחרים למדינה ולרשות מקומית וכן מהמגבלות של הפיקוח על מט"ח; תרומות לקרן מותרות לניכוי מהכנסה החייבת במס. הפטורים ממס וממגבלות הפיקוח על מט"ח חלים גם על מקבלי הפרסים, המלגות והמענקים. על פי אישור שר  האוצר מ-1974, מס ההכנסה המנוכה ממשכורתו של המנהל הכללי של הקרן מוחזר לקרן כתרומת המדינה לפעולותיה.</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מאז 1978 חילקה הקרן מדי שנה בשנה (חוץ מאשר בשנים 1981 ו-1994) חמישה פרסים של 100,000 דולר כל אחד, למדענים בתחומי המתמטיקה, החקלאות, הפיסיקה, הרפואה, והכימיה. ב-1981 החליטו נאמני הקרן, להעניק בכל שנה גם פרס בתחום האמנות (מוסיקה, ציור, ארכיטקטורה או פיסול) או להקצות את אחד מחמשת הפרסים האמורים לתחום האמנות. חתני הפרסים נבחרים בידי ועדות בנות שלושה עד חמישה חברים שמתמנות מדי שנה בשנה לכל תחום. טקס חלוקת הפרסים מתקיים במשכן הכנסת בירושלים, והזוכים מקבלים את הפרסים מידי נשיא המדינה. </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הקרן מחלקת בכל שנה גם מלגות לסטודנטים ומענקי מחקר. מאז הקמתה ועד תום 1997 חילקה הקרן פרסים בסך כולל של 9.7 מיליון דולר ומלגות ומענקים בסך כולל של 3.4 מיליון דולר.</w:t>
      </w:r>
    </w:p>
    <w:p>
      <w:pPr>
        <w:ind w:left="0" w:right="0"/>
        <w:jc w:val="both"/>
        <w:rPr>
          <w:rFonts w:cs="FrankRuehl" w:hint="cs"/>
          <w:sz w:val="24"/>
          <w:rtl/>
        </w:rPr>
      </w:pPr>
    </w:p>
    <w:p>
      <w:pPr>
        <w:pStyle w:val="Heading3"/>
        <w:ind w:left="0" w:right="0"/>
        <w:jc w:val="left"/>
        <w:rPr>
          <w:rFonts w:cs="David" w:hint="cs"/>
          <w:sz w:val="27"/>
          <w:rtl/>
        </w:rPr>
      </w:pPr>
      <w:r>
        <w:rPr>
          <w:rFonts w:cs="David" w:hint="cs"/>
          <w:sz w:val="27"/>
          <w:rtl/>
        </w:rPr>
        <w:t>מוסדות הקרן</w:t>
      </w:r>
    </w:p>
    <w:p>
      <w:pPr>
        <w:ind w:left="0" w:right="0"/>
        <w:jc w:val="both"/>
        <w:rPr>
          <w:rFonts w:cs="FrankRuehl" w:hint="cs"/>
          <w:sz w:val="24"/>
          <w:rtl/>
        </w:rPr>
      </w:pPr>
      <w:r>
        <w:rPr>
          <w:rFonts w:cs="FrankRuehl" w:hint="cs"/>
          <w:sz w:val="24"/>
          <w:rtl/>
        </w:rPr>
        <w:t>א. בראש הקרן עמדו המייסדים, והם שימשו נאמני הקרן. על פי התקנון הם היו רשאים למנות נאמנים נוספים או נאמנים אחרים במקומם</w:t>
      </w:r>
      <w:r>
        <w:rPr>
          <w:rStyle w:val="FootnoteReference"/>
          <w:rFonts w:cs="FrankRuehl"/>
          <w:sz w:val="24"/>
          <w:rtl/>
        </w:rPr>
        <w:footnoteReference w:id="3"/>
      </w:r>
      <w:r>
        <w:rPr>
          <w:rFonts w:cs="FrankRuehl" w:hint="cs"/>
          <w:sz w:val="24"/>
          <w:rtl/>
        </w:rPr>
        <w:t>; אם לא מונו נאמנים , רשאי נשיא המדינה למנותם לפי הצעת שר החינוך , התרבות והספורט (להלן - שר החינוך). הנאמנים מנהלים את ענייני הקרן ואלה תפקידיהם העיקריים: השגחה על נכסי הקרן וקביעת הרכבם; קבלת החלטות על השקעות חדשות; אישור התקציב והדוחות הכספיים; קביעת סכומי הפרסים בכל שנה.</w:t>
      </w:r>
    </w:p>
    <w:p>
      <w:pPr>
        <w:ind w:left="0" w:right="0"/>
        <w:jc w:val="both"/>
        <w:rPr>
          <w:rFonts w:cs="FrankRuehl" w:hint="cs"/>
          <w:sz w:val="24"/>
          <w:rtl/>
        </w:rPr>
      </w:pPr>
    </w:p>
    <w:p>
      <w:pPr>
        <w:ind w:left="0" w:right="0"/>
        <w:jc w:val="both"/>
        <w:rPr>
          <w:rFonts w:cs="FrankRuehl" w:hint="cs"/>
          <w:sz w:val="24"/>
          <w:rtl/>
        </w:rPr>
      </w:pPr>
      <w:r>
        <w:rPr>
          <w:rFonts w:cs="FrankRuehl" w:hint="cs"/>
          <w:sz w:val="24"/>
          <w:rtl/>
        </w:rPr>
        <w:t>נאמני הקרן מתכנסים אחת לשנה, סמוך למועד טקס החלוקה של הפרסים. בעת הביקורת היו לקרן חמישה נאמנים; אחד מהם, יושב ראש הנאמנים, מתגורר בישראל.</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ב. בהתאם לתקנון יש למנות לקרן מועצה, ואלה תפקידיה העיקריים: לפקח על כיבוד התקנון, למנות את חברי ועדות הפרסים, למנות נציגים שייצגו את הקרן בכל ענייניה, לאשר פרסומים של הקרן ולקבוע אמות מידה למתן מלגות ומענקים. התקנון קובע שבמועצת הקרן (להלן - המועצה) יכהנו לא יותר מ-15 חברים, ושר החינוך יהיה היו"ר שלה. חברי המועצה הראשונים מונו בידי המייסדים; לאחר שנפטרו המייסדים מונו חברי המועצה בידי נשיא המדינה, לפי הצעת שר החינוך. </w:t>
      </w:r>
    </w:p>
    <w:p>
      <w:pPr>
        <w:ind w:left="0" w:right="0"/>
        <w:jc w:val="both"/>
        <w:rPr>
          <w:rFonts w:cs="FrankRuehl" w:hint="cs"/>
          <w:sz w:val="24"/>
          <w:rtl/>
        </w:rPr>
      </w:pPr>
    </w:p>
    <w:p>
      <w:pPr>
        <w:ind w:left="0" w:right="0"/>
        <w:jc w:val="both"/>
        <w:rPr>
          <w:rFonts w:cs="FrankRuehl" w:hint="cs"/>
          <w:sz w:val="24"/>
          <w:rtl/>
        </w:rPr>
      </w:pPr>
      <w:r>
        <w:rPr>
          <w:rFonts w:cs="FrankRuehl" w:hint="cs"/>
          <w:sz w:val="24"/>
          <w:rtl/>
        </w:rPr>
        <w:t>על פי החלטות המועצה תכהן כל מועצה ארבע שנים; אם בתום תקופה זו לא תמונה לקרן מועצה חדשה, תמשיך המועצה המכהנת לשמש בהרכב הקיים עד למינוי מועצה חדשה.</w:t>
        <w:br w:type="page"/>
      </w:r>
    </w:p>
    <w:p>
      <w:pPr>
        <w:ind w:left="0" w:right="0"/>
        <w:jc w:val="both"/>
        <w:rPr>
          <w:rFonts w:cs="FrankRuehl" w:hint="cs"/>
          <w:sz w:val="24"/>
          <w:rtl/>
        </w:rPr>
      </w:pPr>
      <w:r>
        <w:rPr>
          <w:rFonts w:cs="FrankRuehl" w:hint="cs"/>
          <w:sz w:val="24"/>
          <w:rtl/>
        </w:rPr>
        <w:t>התקנון קובע, שעל המועצה להתכנס לפחות אחת לשנה. המניין החוקי בישיבותיה הוא שלושה: יושב ראש המועצה או ממלא מקומו</w:t>
      </w:r>
      <w:r>
        <w:rPr>
          <w:rStyle w:val="FootnoteReference"/>
          <w:rFonts w:cs="FrankRuehl"/>
          <w:sz w:val="24"/>
          <w:rtl/>
        </w:rPr>
        <w:footnoteReference w:id="4"/>
      </w:r>
      <w:r>
        <w:rPr>
          <w:rFonts w:cs="FrankRuehl" w:hint="cs"/>
          <w:sz w:val="24"/>
          <w:rtl/>
        </w:rPr>
        <w:t xml:space="preserve"> ועוד שני חברים. ב-5.11.97 מינה שר החינוך במקום המועצה שכיהנה מ-1991, מועצה חדשה, ובה שמונה פרופסורים ממוסדות להשכלה גבוהה, שופט בית המשפט העליון בדימוס, עובד בכיר באחת האוניברסיטאות, שני אנשי ציבור, עובד מדינה בכיר ואדריכל. מקצת חברי המועצה החדשה כיהנו גם במועצה הקודמת.</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המועצה בוחרת, בדרך כלל מבין חבריה, ארבע ועדות: ועדת מלגות ומענקי מחקר; ועדת פרסומים וטקסים; ועדת חוק, תקנון וכללים; וועדה למינוי ועדות פרסים, המתפצלת לשתי ועדות משנה: ועדה לפרסים בתחום המדע וועדה לפרסים בתחום האמנות. על פי התקנון, הנאמנים, חברי המועצה וחברי הוועדות, לרבות ועדות הפרסים, אינם מקבלים שכר בעבור עבודתם אלא החזר הוצאות בלבד.</w:t>
      </w:r>
    </w:p>
    <w:p>
      <w:pPr>
        <w:ind w:left="0" w:right="0"/>
        <w:jc w:val="both"/>
        <w:rPr>
          <w:rFonts w:cs="FrankRuehl" w:hint="cs"/>
          <w:sz w:val="24"/>
          <w:rtl/>
        </w:rPr>
      </w:pPr>
    </w:p>
    <w:p>
      <w:pPr>
        <w:ind w:left="0" w:right="0"/>
        <w:jc w:val="both"/>
        <w:rPr>
          <w:rFonts w:cs="FrankRuehl" w:hint="cs"/>
          <w:sz w:val="24"/>
          <w:rtl/>
        </w:rPr>
      </w:pPr>
      <w:r>
        <w:rPr>
          <w:rFonts w:cs="FrankRuehl" w:hint="cs"/>
          <w:sz w:val="24"/>
          <w:rtl/>
        </w:rPr>
        <w:t>ג. הקרן מעסיקה מנהל כללי ושני עובדים מינהליים (אחד מהם במשרה חלקית). המנהל הכללי הנוכחי מונה בידי המייסדים. בתקנון נקבע שלאחר מותם יהיה ניתן להחליף את המנהל הכללי, רק אם ייבצר ממנו למלא את תפקידו או אם עשה מעשה נגד הקרן המהווה עבירה פלילית. על פי התקנון, אם חדל המנהל הכללי לכהן בתפקידו והמייסדים או הנאמנים לא מינו אחר תחתיו, על נשיא המדינה למנות אדם אחר לתפקיד לפי הצעת שר החינוך. זכות החתימה בשם הקרן ניתנה במשותף למנהל הכללי ולאחד מבין הנאמנים</w:t>
      </w:r>
      <w:r>
        <w:rPr>
          <w:rStyle w:val="FootnoteReference"/>
          <w:rFonts w:cs="FrankRuehl"/>
          <w:sz w:val="24"/>
          <w:rtl/>
        </w:rPr>
        <w:footnoteReference w:id="5"/>
      </w:r>
      <w:r>
        <w:rPr>
          <w:rFonts w:cs="FrankRuehl" w:hint="cs"/>
          <w:sz w:val="24"/>
          <w:rtl/>
        </w:rPr>
        <w:t xml:space="preserve">. </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המנהל הכללי אחראי לניהול כל ענייני הקרן - הפעלת הגופים לבחירת הזוכים בפרסים, הנהלת החשבונות, הכנת התקציב והדוחות הכספיים, מינוי עובדים וקביעת שכרם, קיום הקשר עם הבנקים שאצלם מופקדים ניירות הערך, וכן ניהול מערכת המחשוב, שבה רשומים, בין היתר, הנתונים על כל מי שהומלץ לתת להם פרסים וכן הנתונים הקשורים בחלוקת המלגות ומענקי המחקר. </w:t>
      </w:r>
    </w:p>
    <w:p>
      <w:pPr>
        <w:ind w:left="0" w:right="0"/>
        <w:jc w:val="both"/>
        <w:rPr>
          <w:rFonts w:cs="FrankRuehl" w:hint="cs"/>
          <w:sz w:val="24"/>
          <w:rtl/>
        </w:rPr>
      </w:pPr>
    </w:p>
    <w:p>
      <w:pPr>
        <w:pStyle w:val="a0"/>
        <w:ind w:left="0" w:right="0"/>
        <w:jc w:val="both"/>
        <w:rPr>
          <w:rFonts w:cs="David" w:hint="cs"/>
          <w:sz w:val="23"/>
          <w:rtl/>
        </w:rPr>
      </w:pPr>
      <w:r>
        <w:rPr>
          <w:rFonts w:cs="David" w:hint="cs"/>
          <w:sz w:val="23"/>
          <w:rtl/>
        </w:rPr>
        <w:t>המועצה לא מינתה ועדה לנושאים מינהליים וכספיים ולהשקעות; בפועל כל סמכויות הניהול של הקרן מרוכזות בידי המנהל הכללי. הפיקוח על פעולותיו מצטמצם בחתימה של אחד מבין הנאמנים על מסמכים מטעם הקרן. משרד מבקר המדינה העיר לקרן שריכוז כל סמכויות הניהול בידי אדם אחד אינו רצוי, ושעליה לתת את הדעת על הפגיעה שעלולה להיגרם לתפקודה אם המנהל הכללי שלה ייעדר מעבודתו זמן ממושך. עוד העיר משרד מבקר המדינה לקרן, שהמבנה הארגוני הנוכחי שלה אינו מבטיח פיקוח ובקרה נאותים. בעקבות הביקורת מינתה מועצת הקרן באפריל 1997 ועדת ביקורת בת שלושה חברים. הוועדה התכנסה לראשונה במארס 1998.</w:t>
      </w:r>
    </w:p>
    <w:p>
      <w:pPr>
        <w:ind w:left="0" w:right="0"/>
        <w:jc w:val="both"/>
        <w:rPr>
          <w:rFonts w:cs="FrankRuehl" w:hint="cs"/>
          <w:sz w:val="24"/>
          <w:rtl/>
        </w:rPr>
      </w:pPr>
    </w:p>
    <w:p>
      <w:pPr>
        <w:pStyle w:val="Heading1"/>
        <w:ind w:left="0" w:right="0"/>
        <w:jc w:val="center"/>
        <w:rPr>
          <w:rFonts w:cs="David" w:hint="cs"/>
          <w:sz w:val="34"/>
          <w:rtl/>
        </w:rPr>
      </w:pPr>
      <w:r>
        <w:rPr>
          <w:b w:val="0"/>
          <w:bCs w:val="0"/>
          <w:rtl/>
        </w:rPr>
        <w:br w:type="page"/>
      </w:r>
      <w:bookmarkStart w:id="2" w:name="_Toc501440601"/>
      <w:r>
        <w:rPr>
          <w:rFonts w:cs="David" w:hint="cs"/>
          <w:sz w:val="34"/>
          <w:rtl/>
        </w:rPr>
        <w:t>פרסים, מענקים ומלגות</w:t>
      </w:r>
      <w:bookmarkEnd w:id="2"/>
    </w:p>
    <w:p>
      <w:pPr>
        <w:pStyle w:val="Heading3"/>
        <w:ind w:left="0" w:right="0"/>
        <w:jc w:val="left"/>
        <w:rPr>
          <w:rFonts w:cs="David" w:hint="cs"/>
          <w:sz w:val="27"/>
          <w:rtl/>
        </w:rPr>
      </w:pPr>
      <w:r>
        <w:rPr>
          <w:rFonts w:cs="David" w:hint="cs"/>
          <w:sz w:val="27"/>
          <w:rtl/>
        </w:rPr>
        <w:t>פרסי קרן וולף</w:t>
      </w:r>
    </w:p>
    <w:p>
      <w:pPr>
        <w:ind w:left="0" w:right="0"/>
        <w:jc w:val="both"/>
        <w:rPr>
          <w:rFonts w:cs="FrankRuehl" w:hint="cs"/>
          <w:sz w:val="24"/>
          <w:rtl/>
        </w:rPr>
      </w:pPr>
      <w:r>
        <w:rPr>
          <w:rFonts w:cs="FrankRuehl" w:hint="cs"/>
          <w:sz w:val="24"/>
          <w:rtl/>
        </w:rPr>
        <w:t>בתחילת כל שנה אזרחית פונה הקרן למוסדות ולאנשי מדע בארץ ובחו"ל, ובכלל זה למקבלי הפרסים בעבר, ומבקשת מהם להציע מועמדים הראויים לפרסים. בשנת 1996 פנתה הקרן בעניין  זה ל-404 אישים ומוסדות. ההצעות מתקבלות בדרך כלל עד תום חודש אוגוסט ומועברות לחברי ועדות הפרסים; עם סיום עבודת הוועדות מפרסמת הקרן את שמות מקבלי הפרסים. טקס חלוקת הפרסים מתקיים באביב שלאחר מכן.</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בוועדת המשנה למינוי ועדות הפרסים במדעים מכהנים חמישה חברים, ובוועדת המשנה למינוי ועדת פרסים באמנות - שלושה. מרבית החברים בוועדות המשנה מכהנים בתפקידיהם יותר מעשר שנים. בוועדות הפרסים עצמן מכהנים אישים מארצות שונות. על פי החלטת המועצה, בכל ועדת פרסים יהיה חבר אחד מישראל. </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הקרן החלה בחלוקת פרסים בשנת 1978, כשנתיים לאחר הקמתה. במשך אחת עשרה שנים חילקה הקרן בכל שנה חמישה פרסים בסך 100,000 דולר כל אחד, ובמשך שבע שנים היא חילקה בכל שנה שישה פרסים כאלה; בשנים 1981 ו-1994 לא חילקה הקרן פרסים. בסך הכל חילקה הקרן עד 1997 פרסים בסך כולל של 9.7 מיליון דולר</w:t>
      </w:r>
      <w:r>
        <w:rPr>
          <w:rStyle w:val="FootnoteReference"/>
          <w:rFonts w:cs="FrankRuehl"/>
          <w:sz w:val="24"/>
          <w:rtl/>
        </w:rPr>
        <w:footnoteReference w:id="6"/>
      </w:r>
      <w:r>
        <w:rPr>
          <w:rFonts w:cs="FrankRuehl" w:hint="cs"/>
          <w:sz w:val="24"/>
          <w:rtl/>
        </w:rPr>
        <w:t>. על פי החלטת הנאמנים מ-1981 פרס אחד בכל שנה מיועד לאחד מתחומי האמנות האלה: מוסיקה, ארכיטקטורה, ציור או פיסול.</w:t>
      </w:r>
    </w:p>
    <w:p>
      <w:pPr>
        <w:ind w:left="0" w:right="0"/>
        <w:jc w:val="both"/>
        <w:rPr>
          <w:rFonts w:cs="FrankRuehl" w:hint="cs"/>
          <w:sz w:val="24"/>
          <w:rtl/>
        </w:rPr>
      </w:pPr>
    </w:p>
    <w:p>
      <w:pPr>
        <w:ind w:left="0" w:right="0"/>
        <w:jc w:val="both"/>
        <w:rPr>
          <w:rFonts w:cs="FrankRuehl" w:hint="cs"/>
          <w:sz w:val="24"/>
          <w:rtl/>
        </w:rPr>
      </w:pPr>
      <w:r>
        <w:rPr>
          <w:rFonts w:cs="FrankRuehl" w:hint="cs"/>
          <w:sz w:val="24"/>
          <w:rtl/>
        </w:rPr>
        <w:t>תקנון הקרן מאפשר לחלק כל פרס לשניים או לשלושה מועמדים; להלן התפלגות הפרסים לפי התחומים שבהם ניתנו:</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480"/>
        <w:gridCol w:w="480"/>
        <w:gridCol w:w="480"/>
      </w:tblGrid>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מספר מקבלי הפרסים</w:t>
            </w:r>
          </w:p>
        </w:tc>
        <w:tc>
          <w:tcPr>
            <w:tcW w:w="0" w:type="auto"/>
          </w:tcPr>
          <w:p>
            <w:pPr>
              <w:ind w:left="0" w:right="0"/>
              <w:jc w:val="center"/>
              <w:rPr>
                <w:rFonts w:cs="FrankRuehl"/>
                <w:b/>
                <w:bCs/>
                <w:sz w:val="24"/>
                <w:u w:val="single"/>
              </w:rPr>
            </w:pPr>
            <w:r>
              <w:rPr>
                <w:rFonts w:cs="FrankRuehl" w:hint="cs"/>
                <w:b/>
                <w:bCs/>
                <w:sz w:val="24"/>
                <w:u w:val="single"/>
                <w:rtl/>
              </w:rPr>
              <w:t>מספר הפרסים</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33</w:t>
            </w:r>
          </w:p>
        </w:tc>
        <w:tc>
          <w:tcPr>
            <w:tcW w:w="0" w:type="auto"/>
          </w:tcPr>
          <w:p>
            <w:pPr>
              <w:ind w:left="0" w:right="0"/>
              <w:jc w:val="both"/>
              <w:rPr>
                <w:rFonts w:cs="FrankRuehl"/>
                <w:sz w:val="24"/>
              </w:rPr>
            </w:pPr>
            <w:r>
              <w:rPr>
                <w:rFonts w:cs="FrankRuehl" w:hint="cs"/>
                <w:sz w:val="24"/>
                <w:rtl/>
              </w:rPr>
              <w:t>17</w:t>
            </w:r>
          </w:p>
        </w:tc>
        <w:tc>
          <w:tcPr>
            <w:tcW w:w="0" w:type="auto"/>
          </w:tcPr>
          <w:p>
            <w:pPr>
              <w:ind w:left="0" w:right="0"/>
              <w:jc w:val="both"/>
              <w:rPr>
                <w:rFonts w:cs="FrankRuehl"/>
                <w:sz w:val="24"/>
              </w:rPr>
            </w:pPr>
            <w:r>
              <w:rPr>
                <w:rFonts w:cs="FrankRuehl" w:hint="cs"/>
                <w:sz w:val="24"/>
                <w:rtl/>
              </w:rPr>
              <w:t>מתמטיקה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27</w:t>
            </w:r>
          </w:p>
        </w:tc>
        <w:tc>
          <w:tcPr>
            <w:tcW w:w="0" w:type="auto"/>
          </w:tcPr>
          <w:p>
            <w:pPr>
              <w:ind w:left="0" w:right="0"/>
              <w:jc w:val="both"/>
              <w:rPr>
                <w:rFonts w:cs="FrankRuehl"/>
                <w:sz w:val="24"/>
              </w:rPr>
            </w:pPr>
            <w:r>
              <w:rPr>
                <w:rFonts w:cs="FrankRuehl" w:hint="cs"/>
                <w:sz w:val="24"/>
                <w:rtl/>
              </w:rPr>
              <w:t>17</w:t>
            </w:r>
          </w:p>
        </w:tc>
        <w:tc>
          <w:tcPr>
            <w:tcW w:w="0" w:type="auto"/>
          </w:tcPr>
          <w:p>
            <w:pPr>
              <w:ind w:left="0" w:right="0"/>
              <w:jc w:val="both"/>
              <w:rPr>
                <w:rFonts w:cs="FrankRuehl"/>
                <w:sz w:val="24"/>
              </w:rPr>
            </w:pPr>
            <w:r>
              <w:rPr>
                <w:rFonts w:cs="FrankRuehl" w:hint="cs"/>
                <w:sz w:val="24"/>
                <w:rtl/>
              </w:rPr>
              <w:t>חקלאות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32</w:t>
            </w:r>
          </w:p>
        </w:tc>
        <w:tc>
          <w:tcPr>
            <w:tcW w:w="0" w:type="auto"/>
          </w:tcPr>
          <w:p>
            <w:pPr>
              <w:ind w:left="0" w:right="0"/>
              <w:jc w:val="both"/>
              <w:rPr>
                <w:rFonts w:cs="FrankRuehl"/>
                <w:sz w:val="24"/>
              </w:rPr>
            </w:pPr>
            <w:r>
              <w:rPr>
                <w:rFonts w:cs="FrankRuehl" w:hint="cs"/>
                <w:sz w:val="24"/>
                <w:rtl/>
              </w:rPr>
              <w:t>16</w:t>
            </w:r>
          </w:p>
        </w:tc>
        <w:tc>
          <w:tcPr>
            <w:tcW w:w="0" w:type="auto"/>
          </w:tcPr>
          <w:p>
            <w:pPr>
              <w:ind w:left="0" w:right="0"/>
              <w:jc w:val="both"/>
              <w:rPr>
                <w:rFonts w:cs="FrankRuehl"/>
                <w:sz w:val="24"/>
              </w:rPr>
            </w:pPr>
            <w:r>
              <w:rPr>
                <w:rFonts w:cs="FrankRuehl" w:hint="cs"/>
                <w:sz w:val="24"/>
                <w:rtl/>
              </w:rPr>
              <w:t>פיסיקה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29</w:t>
            </w:r>
          </w:p>
        </w:tc>
        <w:tc>
          <w:tcPr>
            <w:tcW w:w="0" w:type="auto"/>
          </w:tcPr>
          <w:p>
            <w:pPr>
              <w:ind w:left="0" w:right="0"/>
              <w:jc w:val="both"/>
              <w:rPr>
                <w:rFonts w:cs="FrankRuehl"/>
                <w:sz w:val="24"/>
              </w:rPr>
            </w:pPr>
            <w:r>
              <w:rPr>
                <w:rFonts w:cs="FrankRuehl" w:hint="cs"/>
                <w:sz w:val="24"/>
                <w:rtl/>
              </w:rPr>
              <w:t>16</w:t>
            </w:r>
          </w:p>
        </w:tc>
        <w:tc>
          <w:tcPr>
            <w:tcW w:w="0" w:type="auto"/>
          </w:tcPr>
          <w:p>
            <w:pPr>
              <w:ind w:left="0" w:right="0"/>
              <w:jc w:val="both"/>
              <w:rPr>
                <w:rFonts w:cs="FrankRuehl"/>
                <w:sz w:val="24"/>
              </w:rPr>
            </w:pPr>
            <w:r>
              <w:rPr>
                <w:rFonts w:cs="FrankRuehl" w:hint="cs"/>
                <w:sz w:val="24"/>
                <w:rtl/>
              </w:rPr>
              <w:t>רפואה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26</w:t>
            </w:r>
          </w:p>
        </w:tc>
        <w:tc>
          <w:tcPr>
            <w:tcW w:w="0" w:type="auto"/>
          </w:tcPr>
          <w:p>
            <w:pPr>
              <w:ind w:left="0" w:right="0"/>
              <w:jc w:val="both"/>
              <w:rPr>
                <w:rFonts w:cs="FrankRuehl"/>
                <w:sz w:val="24"/>
              </w:rPr>
            </w:pPr>
            <w:r>
              <w:rPr>
                <w:rFonts w:cs="FrankRuehl" w:hint="cs"/>
                <w:sz w:val="24"/>
                <w:rtl/>
              </w:rPr>
              <w:t>16</w:t>
            </w:r>
          </w:p>
        </w:tc>
        <w:tc>
          <w:tcPr>
            <w:tcW w:w="0" w:type="auto"/>
          </w:tcPr>
          <w:p>
            <w:pPr>
              <w:ind w:left="0" w:right="0"/>
              <w:jc w:val="both"/>
              <w:rPr>
                <w:rFonts w:cs="FrankRuehl"/>
                <w:sz w:val="24"/>
              </w:rPr>
            </w:pPr>
            <w:r>
              <w:rPr>
                <w:rFonts w:cs="FrankRuehl" w:hint="cs"/>
                <w:sz w:val="24"/>
                <w:rtl/>
              </w:rPr>
              <w:t>כימיה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9</w:t>
            </w:r>
          </w:p>
        </w:tc>
        <w:tc>
          <w:tcPr>
            <w:tcW w:w="0" w:type="auto"/>
          </w:tcPr>
          <w:p>
            <w:pPr>
              <w:ind w:left="0" w:right="0"/>
              <w:jc w:val="both"/>
              <w:rPr>
                <w:rFonts w:cs="FrankRuehl"/>
                <w:sz w:val="24"/>
              </w:rPr>
            </w:pPr>
            <w:r>
              <w:rPr>
                <w:rFonts w:cs="FrankRuehl" w:hint="cs"/>
                <w:sz w:val="24"/>
                <w:rtl/>
              </w:rPr>
              <w:t>4</w:t>
            </w:r>
          </w:p>
        </w:tc>
        <w:tc>
          <w:tcPr>
            <w:tcW w:w="0" w:type="auto"/>
          </w:tcPr>
          <w:p>
            <w:pPr>
              <w:ind w:left="0" w:right="0"/>
              <w:jc w:val="both"/>
              <w:rPr>
                <w:rFonts w:cs="FrankRuehl"/>
                <w:sz w:val="24"/>
              </w:rPr>
            </w:pPr>
            <w:r>
              <w:rPr>
                <w:rFonts w:cs="FrankRuehl" w:hint="cs"/>
                <w:sz w:val="24"/>
                <w:rtl/>
              </w:rPr>
              <w:t>מוסיקה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w:t>
            </w:r>
          </w:p>
        </w:tc>
        <w:tc>
          <w:tcPr>
            <w:tcW w:w="0" w:type="auto"/>
          </w:tcPr>
          <w:p>
            <w:pPr>
              <w:ind w:left="0" w:right="0"/>
              <w:jc w:val="both"/>
              <w:rPr>
                <w:rFonts w:cs="FrankRuehl"/>
                <w:sz w:val="24"/>
              </w:rPr>
            </w:pPr>
            <w:r>
              <w:rPr>
                <w:rFonts w:cs="FrankRuehl" w:hint="cs"/>
                <w:sz w:val="24"/>
                <w:rtl/>
              </w:rPr>
              <w:t>4</w:t>
            </w:r>
          </w:p>
        </w:tc>
        <w:tc>
          <w:tcPr>
            <w:tcW w:w="0" w:type="auto"/>
          </w:tcPr>
          <w:p>
            <w:pPr>
              <w:ind w:left="0" w:right="0"/>
              <w:jc w:val="both"/>
              <w:rPr>
                <w:rFonts w:cs="FrankRuehl"/>
                <w:sz w:val="24"/>
              </w:rPr>
            </w:pPr>
            <w:r>
              <w:rPr>
                <w:rFonts w:cs="FrankRuehl" w:hint="cs"/>
                <w:sz w:val="24"/>
                <w:rtl/>
              </w:rPr>
              <w:t>ארכיטקטורה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5</w:t>
            </w:r>
          </w:p>
        </w:tc>
        <w:tc>
          <w:tcPr>
            <w:tcW w:w="0" w:type="auto"/>
          </w:tcPr>
          <w:p>
            <w:pPr>
              <w:ind w:left="0" w:right="0"/>
              <w:jc w:val="both"/>
              <w:rPr>
                <w:rFonts w:cs="FrankRuehl"/>
                <w:sz w:val="24"/>
              </w:rPr>
            </w:pPr>
            <w:r>
              <w:rPr>
                <w:rFonts w:cs="FrankRuehl" w:hint="cs"/>
                <w:sz w:val="24"/>
                <w:rtl/>
              </w:rPr>
              <w:t>4</w:t>
            </w:r>
          </w:p>
        </w:tc>
        <w:tc>
          <w:tcPr>
            <w:tcW w:w="0" w:type="auto"/>
          </w:tcPr>
          <w:p>
            <w:pPr>
              <w:ind w:left="0" w:right="0"/>
              <w:jc w:val="both"/>
              <w:rPr>
                <w:rFonts w:cs="FrankRuehl"/>
                <w:sz w:val="24"/>
              </w:rPr>
            </w:pPr>
            <w:r>
              <w:rPr>
                <w:rFonts w:cs="FrankRuehl" w:hint="cs"/>
                <w:sz w:val="24"/>
                <w:rtl/>
              </w:rPr>
              <w:t>ציור</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w:t>
            </w:r>
          </w:p>
        </w:tc>
        <w:tc>
          <w:tcPr>
            <w:tcW w:w="0" w:type="auto"/>
          </w:tcPr>
          <w:p>
            <w:pPr>
              <w:ind w:left="0" w:right="0"/>
              <w:jc w:val="both"/>
              <w:rPr>
                <w:rFonts w:cs="FrankRuehl"/>
                <w:sz w:val="24"/>
              </w:rPr>
            </w:pPr>
            <w:r>
              <w:rPr>
                <w:rFonts w:cs="FrankRuehl" w:hint="cs"/>
                <w:sz w:val="24"/>
                <w:rtl/>
              </w:rPr>
              <w:t>3</w:t>
            </w:r>
          </w:p>
        </w:tc>
        <w:tc>
          <w:tcPr>
            <w:tcW w:w="0" w:type="auto"/>
          </w:tcPr>
          <w:p>
            <w:pPr>
              <w:ind w:left="0" w:right="0"/>
              <w:jc w:val="both"/>
              <w:rPr>
                <w:rFonts w:cs="FrankRuehl"/>
                <w:sz w:val="24"/>
              </w:rPr>
            </w:pPr>
            <w:r>
              <w:rPr>
                <w:rFonts w:cs="FrankRuehl" w:hint="cs"/>
                <w:sz w:val="24"/>
                <w:rtl/>
              </w:rPr>
              <w:t>פיסול</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172</w:t>
            </w:r>
          </w:p>
        </w:tc>
        <w:tc>
          <w:tcPr>
            <w:tcW w:w="0" w:type="auto"/>
          </w:tcPr>
          <w:p>
            <w:pPr>
              <w:ind w:left="0" w:right="0"/>
              <w:jc w:val="both"/>
              <w:rPr>
                <w:rFonts w:cs="FrankRuehl"/>
                <w:b/>
                <w:bCs/>
                <w:sz w:val="24"/>
                <w:u w:val="single"/>
              </w:rPr>
            </w:pPr>
            <w:r>
              <w:rPr>
                <w:rFonts w:cs="FrankRuehl" w:hint="cs"/>
                <w:b/>
                <w:bCs/>
                <w:sz w:val="24"/>
                <w:u w:val="single"/>
                <w:rtl/>
              </w:rPr>
              <w:t>97</w:t>
            </w:r>
          </w:p>
        </w:tc>
        <w:tc>
          <w:tcPr>
            <w:tcW w:w="0" w:type="auto"/>
          </w:tcPr>
          <w:p>
            <w:pPr>
              <w:ind w:left="0" w:right="0"/>
              <w:jc w:val="both"/>
              <w:rPr>
                <w:rFonts w:cs="FrankRuehl"/>
                <w:b/>
                <w:bCs/>
                <w:sz w:val="24"/>
                <w:u w:val="single"/>
              </w:rPr>
            </w:pPr>
          </w:p>
        </w:tc>
      </w:tr>
    </w:tbl>
    <w:p>
      <w:pPr>
        <w:ind w:left="0" w:right="0"/>
        <w:jc w:val="both"/>
        <w:rPr>
          <w:rFonts w:cs="FrankRuehl" w:hint="cs"/>
          <w:sz w:val="24"/>
          <w:rtl/>
        </w:rPr>
      </w:pPr>
    </w:p>
    <w:p>
      <w:pPr>
        <w:ind w:left="0" w:right="0"/>
        <w:jc w:val="both"/>
        <w:rPr>
          <w:rFonts w:cs="FrankRuehl" w:hint="cs"/>
          <w:sz w:val="24"/>
          <w:rtl/>
        </w:rPr>
      </w:pPr>
      <w:r>
        <w:rPr>
          <w:rFonts w:cs="FrankRuehl" w:hint="cs"/>
          <w:sz w:val="24"/>
          <w:rtl/>
        </w:rPr>
        <w:br w:type="page"/>
      </w:r>
    </w:p>
    <w:p>
      <w:pPr>
        <w:ind w:left="0" w:right="0"/>
        <w:jc w:val="both"/>
        <w:rPr>
          <w:rFonts w:cs="FrankRuehl" w:hint="cs"/>
          <w:sz w:val="24"/>
          <w:rtl/>
        </w:rPr>
      </w:pPr>
      <w:r>
        <w:rPr>
          <w:rFonts w:cs="FrankRuehl" w:hint="cs"/>
          <w:sz w:val="24"/>
          <w:rtl/>
        </w:rPr>
        <w:t>לפי נתוני הקרן, מאז נוסדה ועד שנת 1996 הומלץ להעניק פרסים ל-67 מדענים ישראליים; על  41 מהם המליצו אישים ומוסדות ישראליים ועל 26 המליצו אישים ומוסדות ברחבי תבל. עד תום 1997 זכו שבעה מדענים ואמנים ישראליים בפרסי קרן וולף - שניים בתחום הרפואה, אחד במתמטיקה, שניים בכימיה ושניים במוסיקה</w:t>
      </w:r>
      <w:r>
        <w:rPr>
          <w:rStyle w:val="FootnoteReference"/>
          <w:rFonts w:cs="FrankRuehl"/>
          <w:sz w:val="24"/>
          <w:rtl/>
        </w:rPr>
        <w:footnoteReference w:id="7"/>
      </w:r>
      <w:r>
        <w:rPr>
          <w:rFonts w:cs="FrankRuehl" w:hint="cs"/>
          <w:sz w:val="24"/>
          <w:rtl/>
        </w:rPr>
        <w:t>.</w:t>
      </w:r>
    </w:p>
    <w:p>
      <w:pPr>
        <w:ind w:left="0" w:right="0"/>
        <w:jc w:val="both"/>
        <w:rPr>
          <w:rFonts w:cs="FrankRuehl" w:hint="cs"/>
          <w:sz w:val="24"/>
          <w:rtl/>
        </w:rPr>
      </w:pPr>
    </w:p>
    <w:p>
      <w:pPr>
        <w:pStyle w:val="Heading3"/>
        <w:ind w:left="0" w:right="0"/>
        <w:jc w:val="left"/>
        <w:rPr>
          <w:rFonts w:cs="David" w:hint="cs"/>
          <w:sz w:val="27"/>
          <w:rtl/>
        </w:rPr>
      </w:pPr>
      <w:r>
        <w:rPr>
          <w:rFonts w:cs="David" w:hint="cs"/>
          <w:sz w:val="27"/>
          <w:rtl/>
        </w:rPr>
        <w:t>מלגות לימודים ומענקי מחקר</w:t>
      </w:r>
    </w:p>
    <w:p>
      <w:pPr>
        <w:ind w:left="0" w:right="0"/>
        <w:jc w:val="both"/>
        <w:rPr>
          <w:rFonts w:cs="FrankRuehl" w:hint="cs"/>
          <w:sz w:val="24"/>
          <w:rtl/>
        </w:rPr>
      </w:pPr>
      <w:r>
        <w:rPr>
          <w:rFonts w:cs="FrankRuehl" w:hint="cs"/>
          <w:sz w:val="24"/>
          <w:rtl/>
        </w:rPr>
        <w:t>א.מתחילת פעילותה ועד סוף 1997 נתנה הקרן 3,973 מלגות לסטודנטים במוסדות להשכלה גבוהה בארץ, בסך כולל של כ-2.4 מיליון דולר, מרביתן ללומדים לקראת תואר ראשון. כמו כן נתנה הקרן 69 מענקים, בסך כולל של כ-0.6 מיליון דולר, לעבודות מחקר של בעלי תואר דוקטור; 20 מענקי מחקר נוספים, בסך כולל של כ-0.4 מיליון דולר, ניתנו למדענים שהאקדמיה הישראלית למדעים המליצה עליהם.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הקרן קובעת את מספר המלגות לכל אחד מהמוסדות להשכלה גבוהה, לפי נתונים על מספר הסטודנטים בכל מוסד, שהיא מקבלת מהוועדה לתכנון ולתקצוב של המועצה להשכלה גבוהה. לפי ההנחיות שהקרן מעבירה מדי שנה בשנה למוסדות להשכלה גבוהה, עליהם להמליץ על סטודנטים על פי הצטיינות, רב-גוניות ונזקקות ולהגיש לה את שמותיהם. מספר המומלצים לקבלת מלגה ללימודי תואר שלישי צריך להיות כפול ממספר המלגות שהוקצו ללומדים לתואר זה; ועדת המלגות ומענקי המחקר בוחרת מהם את הזוכים.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בשנים 1993 ו-1994 היתה המלגה לתואר ראשון 500 דולר, המלגה לתואר שני 800 דולר והמלגה לתואר שלישי 1,500 דולר. משנת הלימודים 1995/96 סכומי המלגות נקובים בשקלים חדשים. בשנת הלימודים 1997/98 היו סכומי המלגות 2,000 ש"ח לתואר ראשון, 3,000 ש"ח לתואר שני ו-5,500 ש"ח לתואר שלישי.</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על פי ההנחיות למוסדות להשכלה גבוהה, שאישרה ב-1986 ועדת המלגות ומענקי המחקר של הקרן, מתבקשים בכל שנה המוסדות הגדולים, שבהם מלמדים את מגוון המקצועות, ששני שלישים מהמועמדים שהם ממליצים לתת להם מלגות ומענקים יהיו סטודנטים למדעי הטבע והחיים, למדעים מדויקים, להנדסה ולרפואה ושליש מהם סטודנטים למדעי הרוח והחברה ולאמנויות. ואולם דוח שהכינה הקרן מלמד שרק כמחצית המלגות שהיא חילקה עד תום שנת 1996 בכל המוסדות להשכלה גבוהה ניתנו לסטודנטים הלומדים מדעי הטבע והחיים, מדעים מדויקים, הנדסה ורפואה. </w:t>
      </w:r>
    </w:p>
    <w:p>
      <w:pPr>
        <w:ind w:left="0" w:right="0"/>
        <w:jc w:val="both"/>
        <w:rPr>
          <w:rFonts w:cs="FrankRuehl" w:hint="cs"/>
          <w:sz w:val="24"/>
          <w:rtl/>
        </w:rPr>
      </w:pPr>
    </w:p>
    <w:p>
      <w:pPr>
        <w:ind w:left="0" w:right="0"/>
        <w:jc w:val="both"/>
        <w:rPr>
          <w:rFonts w:cs="FrankRuehl" w:hint="cs"/>
          <w:sz w:val="24"/>
          <w:rtl/>
        </w:rPr>
      </w:pPr>
      <w:r>
        <w:rPr>
          <w:rFonts w:cs="FrankRuehl" w:hint="cs"/>
          <w:sz w:val="24"/>
          <w:rtl/>
        </w:rPr>
        <w:t>ב. הקרן נהגה לאשר מדי שנה בשנה שניים עד ארבעה מענקים לחוקרים בעלי תואר דוקטור, המשולמים במשך שנתיים; סכומי המענקים נעו בין 7,000 דולר ל-20,000 דולר. התנאי למתן המענק היה, שהחוקר עושה את מחקרו בארץ ואינו נמנה עם הסגל של מוסד להשכלה גבוהה.</w:t>
      </w:r>
    </w:p>
    <w:p>
      <w:pPr>
        <w:ind w:left="0" w:right="0"/>
        <w:jc w:val="both"/>
        <w:rPr>
          <w:rFonts w:cs="FrankRuehl" w:hint="cs"/>
          <w:sz w:val="24"/>
          <w:rtl/>
        </w:rPr>
      </w:pPr>
    </w:p>
    <w:p>
      <w:pPr>
        <w:ind w:left="0" w:right="0"/>
        <w:jc w:val="both"/>
        <w:rPr>
          <w:rFonts w:cs="FrankRuehl" w:hint="cs"/>
          <w:sz w:val="24"/>
          <w:rtl/>
        </w:rPr>
      </w:pPr>
      <w:r>
        <w:rPr>
          <w:rFonts w:cs="FrankRuehl" w:hint="cs"/>
          <w:sz w:val="24"/>
          <w:rtl/>
        </w:rPr>
        <w:t>בהמלצת האקדמיה למדעים מעניקה הקרן מענקים לאנשי מדע מוכרים וידועים בארץ; בשנות הלימודים 1995/96 ו-1996/97 אושרו חמישה מענקים כאלה בסך 30,000 דולר כל אחד.</w:t>
      </w:r>
    </w:p>
    <w:p>
      <w:pPr>
        <w:ind w:left="0" w:right="0"/>
        <w:jc w:val="both"/>
        <w:rPr>
          <w:rFonts w:cs="FrankRuehl" w:hint="cs"/>
          <w:sz w:val="24"/>
          <w:rtl/>
        </w:rPr>
      </w:pPr>
    </w:p>
    <w:p>
      <w:pPr>
        <w:ind w:left="0" w:right="0"/>
        <w:jc w:val="both"/>
        <w:rPr>
          <w:rFonts w:cs="FrankRuehl" w:hint="cs"/>
          <w:sz w:val="24"/>
          <w:rtl/>
        </w:rPr>
      </w:pPr>
      <w:r>
        <w:rPr>
          <w:rFonts w:cs="FrankRuehl" w:hint="cs"/>
          <w:sz w:val="24"/>
          <w:rtl/>
        </w:rPr>
        <w:t>על פי תקנון הקרן, היה עליה להפנות לפחות 60% מהכנסותיה השנתיות לחלוקת פרסים, 15% לכל היותר להוצאות, 10% לפחות להגדלת הונה; ואת העודף למענקים ולמלגות. משרד</w:t>
        <w:br w:type="page"/>
      </w:r>
    </w:p>
    <w:p>
      <w:pPr>
        <w:ind w:left="0" w:right="0"/>
        <w:jc w:val="both"/>
        <w:rPr>
          <w:rFonts w:cs="FrankRuehl" w:hint="cs"/>
          <w:sz w:val="24"/>
          <w:rtl/>
        </w:rPr>
      </w:pPr>
      <w:r>
        <w:rPr>
          <w:rFonts w:cs="FrankRuehl" w:hint="cs"/>
          <w:sz w:val="24"/>
          <w:rtl/>
        </w:rPr>
        <w:t>מבקר המדינה העלה, שמאז 1984 רק חלק מהעודף השנתי הופנה למלגות ולמענקי מחקר, ויתרת העודף שימשה להגדלת הון הקרן. היו שנים שבהן הופנו לחלוקת פרסים פחות מ</w:t>
      </w:r>
      <w:r>
        <w:rPr>
          <w:rFonts w:cs="FrankRuehl"/>
        </w:rPr>
        <w:t>60%-</w:t>
      </w:r>
      <w:r>
        <w:rPr>
          <w:rFonts w:cs="FrankRuehl" w:hint="cs"/>
          <w:sz w:val="24"/>
          <w:rtl/>
        </w:rPr>
        <w:t xml:space="preserve"> מההכנסות, ובשתי שנים לא חולקו פרסים כלל. בתשובתה למשרד מבקר המדינה הסבירה הקרן, שהיא לא חילקה את כל ההכנסות השוטפות שהיו לה מהשקעותיה, בגלל הפסדים שנגרמו לה מירידת שערי ניירות הערך שהיא החזיקה בהן.</w:t>
      </w:r>
    </w:p>
    <w:p>
      <w:pPr>
        <w:ind w:left="0" w:right="0"/>
        <w:jc w:val="both"/>
        <w:rPr>
          <w:rFonts w:cs="FrankRuehl" w:hint="cs"/>
          <w:sz w:val="24"/>
          <w:rtl/>
        </w:rPr>
      </w:pPr>
    </w:p>
    <w:p>
      <w:pPr>
        <w:pStyle w:val="a0"/>
        <w:ind w:left="0" w:right="0"/>
        <w:jc w:val="both"/>
        <w:rPr>
          <w:rFonts w:cs="David" w:hint="cs"/>
          <w:sz w:val="23"/>
          <w:rtl/>
        </w:rPr>
      </w:pPr>
      <w:r>
        <w:rPr>
          <w:rFonts w:cs="David" w:hint="cs"/>
          <w:sz w:val="23"/>
          <w:rtl/>
        </w:rPr>
        <w:t xml:space="preserve">עוד בשנת 1984 העיר משרד מבקר המדינה לקרן שעליה לתת את הדעת על החשיבות הרבה שיש לעידוד מדענים בראשית דרכם באמצעות מלגות ומענקי מחקר ולדאוג שעודפי ההכנסות שלה ינוצלו למטרה זאת. מן הראוי היה שהקרן תקפיד לחלק את הכנסותיה על פי האמור בתקנון. </w:t>
      </w:r>
    </w:p>
    <w:p>
      <w:pPr>
        <w:ind w:left="0" w:right="0"/>
        <w:jc w:val="both"/>
        <w:rPr>
          <w:rFonts w:cs="FrankRuehl" w:hint="cs"/>
          <w:sz w:val="24"/>
          <w:rtl/>
        </w:rPr>
      </w:pPr>
    </w:p>
    <w:p>
      <w:pPr>
        <w:ind w:left="0" w:right="0"/>
        <w:jc w:val="both"/>
        <w:rPr>
          <w:rFonts w:cs="FrankRuehl" w:hint="cs"/>
          <w:sz w:val="24"/>
          <w:rtl/>
        </w:rPr>
      </w:pPr>
      <w:r>
        <w:rPr>
          <w:rFonts w:cs="FrankRuehl" w:hint="cs"/>
          <w:sz w:val="24"/>
          <w:rtl/>
        </w:rPr>
        <w:br w:type="page"/>
      </w:r>
    </w:p>
    <w:p>
      <w:pPr>
        <w:pStyle w:val="Heading1"/>
        <w:ind w:left="0" w:right="0"/>
        <w:jc w:val="center"/>
        <w:rPr>
          <w:rFonts w:cs="David" w:hint="cs"/>
          <w:sz w:val="34"/>
          <w:rtl/>
        </w:rPr>
      </w:pPr>
      <w:bookmarkStart w:id="3" w:name="_Toc501440602"/>
      <w:r>
        <w:rPr>
          <w:rFonts w:cs="David" w:hint="cs"/>
          <w:sz w:val="34"/>
          <w:rtl/>
        </w:rPr>
        <w:t>השקעות הקרן</w:t>
      </w:r>
      <w:bookmarkEnd w:id="3"/>
    </w:p>
    <w:p>
      <w:pPr>
        <w:ind w:left="0" w:right="0"/>
        <w:jc w:val="both"/>
        <w:rPr>
          <w:rFonts w:cs="FrankRuehl" w:hint="cs"/>
          <w:sz w:val="24"/>
          <w:rtl/>
        </w:rPr>
      </w:pPr>
    </w:p>
    <w:p>
      <w:pPr>
        <w:ind w:left="0" w:right="0"/>
        <w:jc w:val="both"/>
        <w:rPr>
          <w:rFonts w:cs="FrankRuehl" w:hint="cs"/>
          <w:sz w:val="24"/>
          <w:rtl/>
        </w:rPr>
      </w:pPr>
      <w:r>
        <w:rPr>
          <w:rFonts w:cs="FrankRuehl" w:hint="cs"/>
          <w:sz w:val="24"/>
          <w:rtl/>
        </w:rPr>
        <w:t>א. ביום 31.12.75 העבירו המייסדים לרשות הקרן ניירות ערך, ששוויים בעת ההעברה נאמד בכ-7.8 מיליון דולר, ואת ביתם בהרצליה, ששוויו באותו מועד הוערך על ידם בכ-2.2 מיליון דולר. ב-1983 נמכר הבית תמורת 2.2 מיליון דולר. ניירות הערך שקיבלה הקרן נמכרו או נפדו בהדרגה עד 1984, בסכום שהיה נמוך ב-2.8 מיליון דולר מהערך שנרשם בעת ההעברה לידי הקרן. התמורה שנתקבלה הושקעה בניירות ערך אחרים.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באפריל 1981 הועברו לקרן מעיזבונו של ד"ר וולף ניירות ערך נוספים, שערכם במועד ההעברה היה 3.6 מיליון דולר. ניירות ערך אלה נמכרו או נפדו עד תום שנת 1985 בהפסד של כ-100 אלף דולר, והתמורה שנתקבלה הושקעה בניירות ערך אחרים.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על פי החוק והתקנון, ההחלטות בדבר השקעת כספי הקרן נתונות בידי הנאמנים שלה, המתכנסים אחת לשנה. החלטות שוטפות לקנות או למכור ניירות ערך מקבל המנהל הכללי לאחר התייעצות עם יו"ר חבר הנאמנים הגר בישראל. על פי הנדרש בתקנון, הקרן מחזיקה את ניירות הערך, שהונפקו בארצות שונות, בבנקים בארבע ארצות ובהן ישראל, ולא יותר מ</w:t>
      </w:r>
      <w:r>
        <w:rPr>
          <w:rFonts w:cs="FrankRuehl"/>
        </w:rPr>
        <w:t>30%-</w:t>
      </w:r>
      <w:r>
        <w:rPr>
          <w:rFonts w:cs="FrankRuehl" w:hint="cs"/>
          <w:sz w:val="24"/>
          <w:rtl/>
        </w:rPr>
        <w:t xml:space="preserve"> מהם בארץ אחת. משרד מבקר המדינה העיר לקרן, שאין לה נוהל השקעות העוסק בסוגי ההשקעות, בתקרת ההשקעה בנייר ערך אחד, בהעסקת יועצים ובתנאי העסקתם, בהגדרת הסמכויות לאישור הרכישה או המכירה ועוד. </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ב. במאי 1989 שכרה הקרן את שירותיו של יועץ פיננסי בארץ (להלן - יועץ א') לשם ניהול תיק בהיקף של 5 מיליון דולר. בסוף נובמבר 1993 הסתיימה ההתקשרות עם יועץ א', וכל ניירות הערך שנרכשו בייעוצו נמכרו או נפדו עד מארס 1995. </w:t>
      </w:r>
    </w:p>
    <w:p>
      <w:pPr>
        <w:ind w:left="0" w:right="0"/>
        <w:jc w:val="both"/>
        <w:rPr>
          <w:rFonts w:cs="FrankRuehl" w:hint="cs"/>
          <w:sz w:val="24"/>
          <w:rtl/>
        </w:rPr>
      </w:pPr>
    </w:p>
    <w:p>
      <w:pPr>
        <w:ind w:left="0" w:right="0"/>
        <w:jc w:val="both"/>
        <w:rPr>
          <w:rFonts w:cs="FrankRuehl" w:hint="cs"/>
          <w:sz w:val="24"/>
          <w:rtl/>
        </w:rPr>
      </w:pPr>
      <w:r>
        <w:rPr>
          <w:rFonts w:cs="FrankRuehl" w:hint="cs"/>
          <w:sz w:val="24"/>
          <w:rtl/>
        </w:rPr>
        <w:t>ג. בשנות התשעים הראשונות היה אפשר לקבל מבנקים הלוואות במטבע חוץ בריבית של כ</w:t>
      </w:r>
      <w:r>
        <w:rPr>
          <w:rFonts w:cs="FrankRuehl"/>
        </w:rPr>
        <w:t>3.9%-</w:t>
      </w:r>
      <w:r>
        <w:rPr>
          <w:rFonts w:cs="FrankRuehl" w:hint="cs"/>
          <w:sz w:val="24"/>
          <w:rtl/>
        </w:rPr>
        <w:t xml:space="preserve"> - 4.4%, שיעורים שהיו נמוכים מהתשואה של איגרות חוב מסוימות. על רקע זה החליטו הנאמנים במאי 1993, שהקרן תקבל הלוואות משלושה בנקים לשם רכישת איגרות חוב, בתנאי שהתשואה של איגרות החוב תהיה גבוהה מהריבית המשולמת על ההלוואות. ההלוואות ניתנו עם רכישת איגרות החוב, ואיגרות החוב הופקדו בבנק המלווה כדי שישמשו ביטחונות להלוואות. </w:t>
      </w:r>
    </w:p>
    <w:p>
      <w:pPr>
        <w:ind w:left="0" w:right="0"/>
        <w:jc w:val="both"/>
        <w:rPr>
          <w:rFonts w:cs="FrankRuehl" w:hint="cs"/>
          <w:sz w:val="24"/>
          <w:rtl/>
        </w:rPr>
      </w:pPr>
    </w:p>
    <w:p>
      <w:pPr>
        <w:ind w:left="0" w:right="0"/>
        <w:jc w:val="both"/>
        <w:rPr>
          <w:rFonts w:cs="FrankRuehl" w:hint="cs"/>
          <w:sz w:val="24"/>
          <w:rtl/>
        </w:rPr>
      </w:pPr>
      <w:r>
        <w:rPr>
          <w:rFonts w:cs="FrankRuehl" w:hint="cs"/>
          <w:sz w:val="24"/>
          <w:rtl/>
        </w:rPr>
        <w:t>לקראת תום שנת 1994 גדל שיעור הריבית על ההלוואות לכ</w:t>
      </w:r>
      <w:r>
        <w:rPr>
          <w:rFonts w:cs="FrankRuehl"/>
        </w:rPr>
        <w:t>7%-</w:t>
      </w:r>
      <w:r>
        <w:rPr>
          <w:rFonts w:cs="FrankRuehl" w:hint="cs"/>
          <w:sz w:val="24"/>
          <w:rtl/>
        </w:rPr>
        <w:t>, ובמהלך שנת 1995 הוא הגיע ל</w:t>
      </w:r>
      <w:r>
        <w:rPr>
          <w:rFonts w:cs="FrankRuehl"/>
        </w:rPr>
        <w:t>7.25%-</w:t>
      </w:r>
      <w:r>
        <w:rPr>
          <w:rFonts w:cs="FrankRuehl" w:hint="cs"/>
          <w:sz w:val="24"/>
          <w:rtl/>
        </w:rPr>
        <w:t>. היות שהתשואה של ניירות הערך פחתה באותן שנים, החליטה הקרן להפסיק לקבל הלוואות לשם קניית ניירות ערך. הקרן הודיעה למשרד מבקר המדינה שיתרת ההלוואות תוחזר עד אוקטובר 1998, ושלפי שעה אין בכוונתה לקבל הלוואות חדשות.</w:t>
      </w:r>
    </w:p>
    <w:p>
      <w:pPr>
        <w:ind w:left="0" w:right="0"/>
        <w:jc w:val="both"/>
        <w:rPr>
          <w:rFonts w:cs="FrankRuehl" w:hint="cs"/>
          <w:sz w:val="24"/>
          <w:rtl/>
        </w:rPr>
      </w:pPr>
    </w:p>
    <w:p>
      <w:pPr>
        <w:ind w:left="0" w:right="0"/>
        <w:jc w:val="both"/>
        <w:rPr>
          <w:rFonts w:cs="FrankRuehl" w:hint="cs"/>
          <w:sz w:val="24"/>
          <w:rtl/>
        </w:rPr>
      </w:pPr>
      <w:r>
        <w:rPr>
          <w:rFonts w:cs="FrankRuehl" w:hint="cs"/>
          <w:sz w:val="24"/>
          <w:rtl/>
        </w:rPr>
        <w:t>ד. כדי לקבל ייעוץ בעניין רכישת ניירות ערך בכספי ההלוואות ולשם הטיפול ברכישה, שכרה הקרן במארס 1993 את שירותיו של יועץ שפעל באירופה (להלן - יועץ ב'). בהסכם עמו נקבע, בין השאר, שמותר יהיה לרכוש איגרות חוב שאינן בדירוג הגבוה ביותר, בסכום של 0.25 מיליון דולר לכל היותר. לאחר התייעצות עם יו"ר הנאמנים הודיע מנכ"ל הקרן ליועץ ב', שניתן יהיה לרכוש איגרות חוב (גם כאלה שאינן בדירוג הגבוה ביותר) בסכום של עד 1 מיליון דולר. משרד מבקר המדינה העיר לקרן שמן הראוי היה שהחלטה המגדילה במידה רבה את הסיכון של הקרן תידון ותיבדק בידי כל הנאמנים.</w:t>
      </w:r>
    </w:p>
    <w:p>
      <w:pPr>
        <w:ind w:left="0" w:right="0"/>
        <w:jc w:val="both"/>
        <w:rPr>
          <w:rFonts w:cs="FrankRuehl" w:hint="cs"/>
          <w:sz w:val="24"/>
          <w:rtl/>
        </w:rPr>
      </w:pPr>
    </w:p>
    <w:p>
      <w:pPr>
        <w:ind w:left="0" w:right="0"/>
        <w:jc w:val="both"/>
        <w:rPr>
          <w:rFonts w:cs="FrankRuehl" w:hint="cs"/>
          <w:sz w:val="24"/>
          <w:rtl/>
        </w:rPr>
      </w:pPr>
      <w:r>
        <w:rPr>
          <w:rFonts w:cs="FrankRuehl" w:hint="cs"/>
          <w:sz w:val="24"/>
          <w:rtl/>
        </w:rPr>
        <w:t>ה. הוסכם עם הבנקים, שמלבד איגרות החוב שיירכשו מכספי ההלוואות, תרכוש הקרן מכספיה איגרות חוב נוספות ותפקיד גם אותן בבנקים המלווים, כביטחון נוסף בשיעור של</w:t>
      </w:r>
    </w:p>
    <w:p>
      <w:pPr>
        <w:ind w:left="0" w:right="0"/>
        <w:jc w:val="both"/>
        <w:rPr>
          <w:rFonts w:cs="FrankRuehl" w:hint="cs"/>
          <w:sz w:val="24"/>
          <w:rtl/>
        </w:rPr>
      </w:pPr>
      <w:r>
        <w:rPr>
          <w:rFonts w:cs="FrankRuehl" w:hint="cs"/>
          <w:sz w:val="24"/>
          <w:rtl/>
        </w:rPr>
        <w:br w:type="page"/>
      </w:r>
    </w:p>
    <w:p>
      <w:pPr>
        <w:ind w:left="0" w:right="0"/>
        <w:jc w:val="both"/>
        <w:rPr>
          <w:rFonts w:cs="FrankRuehl" w:hint="cs"/>
          <w:sz w:val="24"/>
          <w:rtl/>
        </w:rPr>
      </w:pPr>
      <w:r>
        <w:rPr>
          <w:rFonts w:cs="FrankRuehl" w:hint="cs"/>
          <w:sz w:val="24"/>
          <w:rtl/>
        </w:rPr>
        <w:t>כשליש מכספי ההלוואות. להלן בטבלה יתרות ההלוואות שנתקבלו משלושת הבנקים ויתרות ניירות הערך ששימשו ביטחונות להלוואות:</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480"/>
        <w:gridCol w:w="240"/>
        <w:gridCol w:w="240"/>
        <w:gridCol w:w="480"/>
      </w:tblGrid>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שיעור ניירות הערך מההלוואות</w:t>
            </w:r>
          </w:p>
        </w:tc>
        <w:tc>
          <w:tcPr>
            <w:tcW w:w="0" w:type="auto"/>
          </w:tcPr>
          <w:p>
            <w:pPr>
              <w:ind w:left="0" w:right="0"/>
              <w:jc w:val="center"/>
              <w:rPr>
                <w:rFonts w:cs="FrankRuehl"/>
                <w:b/>
                <w:bCs/>
                <w:sz w:val="24"/>
                <w:u w:val="single"/>
              </w:rPr>
            </w:pPr>
            <w:r>
              <w:rPr>
                <w:rFonts w:cs="FrankRuehl" w:hint="cs"/>
                <w:b/>
                <w:bCs/>
                <w:sz w:val="24"/>
                <w:u w:val="single"/>
                <w:rtl/>
              </w:rPr>
              <w:t>יתרת ההלוואות</w:t>
            </w:r>
          </w:p>
        </w:tc>
        <w:tc>
          <w:tcPr>
            <w:tcW w:w="0" w:type="auto"/>
          </w:tcPr>
          <w:p>
            <w:pPr>
              <w:ind w:left="0" w:right="0"/>
              <w:jc w:val="center"/>
              <w:rPr>
                <w:rFonts w:cs="FrankRuehl"/>
                <w:b/>
                <w:bCs/>
                <w:sz w:val="24"/>
                <w:u w:val="single"/>
              </w:rPr>
            </w:pPr>
            <w:r>
              <w:rPr>
                <w:rFonts w:cs="FrankRuehl" w:hint="cs"/>
                <w:b/>
                <w:bCs/>
                <w:sz w:val="24"/>
                <w:u w:val="single"/>
                <w:rtl/>
              </w:rPr>
              <w:t>יתרת ניירות הערך</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(אחוזים)</w:t>
            </w:r>
          </w:p>
        </w:tc>
        <w:tc>
          <w:tcPr>
            <w:tcW w:w="0" w:type="auto"/>
            <w:gridSpan w:val="2"/>
          </w:tcPr>
          <w:p>
            <w:pPr>
              <w:ind w:left="0" w:right="0"/>
              <w:jc w:val="center"/>
              <w:rPr>
                <w:rFonts w:cs="FrankRuehl"/>
                <w:b/>
                <w:bCs/>
                <w:sz w:val="24"/>
                <w:u w:val="single"/>
              </w:rPr>
            </w:pPr>
            <w:r>
              <w:rPr>
                <w:rFonts w:cs="FrankRuehl" w:hint="cs"/>
                <w:b/>
                <w:bCs/>
                <w:sz w:val="24"/>
                <w:u w:val="single"/>
                <w:rtl/>
              </w:rPr>
              <w:t>(מיליוני דולרים)</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157</w:t>
            </w:r>
          </w:p>
        </w:tc>
        <w:tc>
          <w:tcPr>
            <w:tcW w:w="0" w:type="auto"/>
          </w:tcPr>
          <w:p>
            <w:pPr>
              <w:ind w:left="0" w:right="0"/>
              <w:jc w:val="both"/>
              <w:rPr>
                <w:rFonts w:cs="FrankRuehl"/>
                <w:sz w:val="24"/>
              </w:rPr>
            </w:pPr>
            <w:r>
              <w:rPr>
                <w:rFonts w:cs="FrankRuehl" w:hint="cs"/>
                <w:sz w:val="24"/>
                <w:rtl/>
              </w:rPr>
              <w:t>9.7</w:t>
            </w:r>
          </w:p>
        </w:tc>
        <w:tc>
          <w:tcPr>
            <w:tcW w:w="0" w:type="auto"/>
          </w:tcPr>
          <w:p>
            <w:pPr>
              <w:ind w:left="0" w:right="0"/>
              <w:jc w:val="both"/>
              <w:rPr>
                <w:rFonts w:cs="FrankRuehl"/>
                <w:sz w:val="24"/>
              </w:rPr>
            </w:pPr>
            <w:r>
              <w:rPr>
                <w:rFonts w:cs="FrankRuehl" w:hint="cs"/>
                <w:sz w:val="24"/>
                <w:rtl/>
              </w:rPr>
              <w:t>15.2</w:t>
            </w:r>
          </w:p>
        </w:tc>
        <w:tc>
          <w:tcPr>
            <w:tcW w:w="0" w:type="auto"/>
          </w:tcPr>
          <w:p>
            <w:pPr>
              <w:ind w:left="0" w:right="0"/>
              <w:jc w:val="both"/>
              <w:rPr>
                <w:rFonts w:cs="FrankRuehl"/>
                <w:sz w:val="24"/>
              </w:rPr>
            </w:pPr>
            <w:r>
              <w:rPr>
                <w:rFonts w:cs="FrankRuehl" w:hint="cs"/>
                <w:sz w:val="24"/>
                <w:rtl/>
              </w:rPr>
              <w:t>31.12.93</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144</w:t>
            </w:r>
          </w:p>
        </w:tc>
        <w:tc>
          <w:tcPr>
            <w:tcW w:w="0" w:type="auto"/>
          </w:tcPr>
          <w:p>
            <w:pPr>
              <w:ind w:left="0" w:right="0"/>
              <w:jc w:val="both"/>
              <w:rPr>
                <w:rFonts w:cs="FrankRuehl"/>
                <w:sz w:val="24"/>
              </w:rPr>
            </w:pPr>
            <w:r>
              <w:rPr>
                <w:rFonts w:cs="FrankRuehl" w:hint="cs"/>
                <w:sz w:val="24"/>
                <w:rtl/>
              </w:rPr>
              <w:t>10.4</w:t>
            </w:r>
          </w:p>
        </w:tc>
        <w:tc>
          <w:tcPr>
            <w:tcW w:w="0" w:type="auto"/>
          </w:tcPr>
          <w:p>
            <w:pPr>
              <w:ind w:left="0" w:right="0"/>
              <w:jc w:val="both"/>
              <w:rPr>
                <w:rFonts w:cs="FrankRuehl"/>
                <w:sz w:val="24"/>
              </w:rPr>
            </w:pPr>
            <w:r>
              <w:rPr>
                <w:rFonts w:cs="FrankRuehl" w:hint="cs"/>
                <w:sz w:val="24"/>
                <w:rtl/>
              </w:rPr>
              <w:t>15.0</w:t>
            </w:r>
          </w:p>
        </w:tc>
        <w:tc>
          <w:tcPr>
            <w:tcW w:w="0" w:type="auto"/>
          </w:tcPr>
          <w:p>
            <w:pPr>
              <w:ind w:left="0" w:right="0"/>
              <w:jc w:val="both"/>
              <w:rPr>
                <w:rFonts w:cs="FrankRuehl"/>
                <w:sz w:val="24"/>
              </w:rPr>
            </w:pPr>
            <w:r>
              <w:rPr>
                <w:rFonts w:cs="FrankRuehl" w:hint="cs"/>
                <w:sz w:val="24"/>
                <w:rtl/>
              </w:rPr>
              <w:t>31.12.94</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248</w:t>
            </w:r>
          </w:p>
        </w:tc>
        <w:tc>
          <w:tcPr>
            <w:tcW w:w="0" w:type="auto"/>
          </w:tcPr>
          <w:p>
            <w:pPr>
              <w:ind w:left="0" w:right="0"/>
              <w:jc w:val="both"/>
              <w:rPr>
                <w:rFonts w:cs="FrankRuehl"/>
                <w:sz w:val="24"/>
              </w:rPr>
            </w:pPr>
            <w:r>
              <w:rPr>
                <w:rFonts w:cs="FrankRuehl" w:hint="cs"/>
                <w:sz w:val="24"/>
                <w:rtl/>
              </w:rPr>
              <w:t>4.2</w:t>
            </w:r>
          </w:p>
        </w:tc>
        <w:tc>
          <w:tcPr>
            <w:tcW w:w="0" w:type="auto"/>
          </w:tcPr>
          <w:p>
            <w:pPr>
              <w:ind w:left="0" w:right="0"/>
              <w:jc w:val="both"/>
              <w:rPr>
                <w:rFonts w:cs="FrankRuehl"/>
                <w:sz w:val="24"/>
              </w:rPr>
            </w:pPr>
            <w:r>
              <w:rPr>
                <w:rFonts w:cs="FrankRuehl" w:hint="cs"/>
                <w:sz w:val="24"/>
                <w:rtl/>
              </w:rPr>
              <w:t>10.4</w:t>
            </w:r>
          </w:p>
        </w:tc>
        <w:tc>
          <w:tcPr>
            <w:tcW w:w="0" w:type="auto"/>
          </w:tcPr>
          <w:p>
            <w:pPr>
              <w:ind w:left="0" w:right="0"/>
              <w:jc w:val="both"/>
              <w:rPr>
                <w:rFonts w:cs="FrankRuehl"/>
                <w:sz w:val="24"/>
              </w:rPr>
            </w:pPr>
            <w:r>
              <w:rPr>
                <w:rFonts w:cs="FrankRuehl" w:hint="cs"/>
                <w:sz w:val="24"/>
                <w:rtl/>
              </w:rPr>
              <w:t>31.12.95</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311</w:t>
            </w:r>
          </w:p>
        </w:tc>
        <w:tc>
          <w:tcPr>
            <w:tcW w:w="0" w:type="auto"/>
          </w:tcPr>
          <w:p>
            <w:pPr>
              <w:ind w:left="0" w:right="0"/>
              <w:jc w:val="both"/>
              <w:rPr>
                <w:rFonts w:cs="FrankRuehl"/>
                <w:sz w:val="24"/>
              </w:rPr>
            </w:pPr>
            <w:r>
              <w:rPr>
                <w:rFonts w:cs="FrankRuehl" w:hint="cs"/>
                <w:sz w:val="24"/>
                <w:rtl/>
              </w:rPr>
              <w:t>1.8</w:t>
            </w:r>
          </w:p>
        </w:tc>
        <w:tc>
          <w:tcPr>
            <w:tcW w:w="0" w:type="auto"/>
          </w:tcPr>
          <w:p>
            <w:pPr>
              <w:ind w:left="0" w:right="0"/>
              <w:jc w:val="both"/>
              <w:rPr>
                <w:rFonts w:cs="FrankRuehl"/>
                <w:sz w:val="24"/>
              </w:rPr>
            </w:pPr>
            <w:r>
              <w:rPr>
                <w:rFonts w:cs="FrankRuehl" w:hint="cs"/>
                <w:sz w:val="24"/>
                <w:rtl/>
              </w:rPr>
              <w:t>5.6</w:t>
            </w:r>
          </w:p>
        </w:tc>
        <w:tc>
          <w:tcPr>
            <w:tcW w:w="0" w:type="auto"/>
          </w:tcPr>
          <w:p>
            <w:pPr>
              <w:ind w:left="0" w:right="0"/>
              <w:jc w:val="both"/>
              <w:rPr>
                <w:rFonts w:cs="FrankRuehl"/>
                <w:sz w:val="24"/>
              </w:rPr>
            </w:pPr>
            <w:r>
              <w:rPr>
                <w:rFonts w:cs="FrankRuehl" w:hint="cs"/>
                <w:sz w:val="24"/>
                <w:rtl/>
              </w:rPr>
              <w:t>31.12.96</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289</w:t>
            </w:r>
          </w:p>
        </w:tc>
        <w:tc>
          <w:tcPr>
            <w:tcW w:w="0" w:type="auto"/>
          </w:tcPr>
          <w:p>
            <w:pPr>
              <w:ind w:left="0" w:right="0"/>
              <w:jc w:val="both"/>
              <w:rPr>
                <w:rFonts w:cs="FrankRuehl"/>
                <w:sz w:val="24"/>
              </w:rPr>
            </w:pPr>
            <w:r>
              <w:rPr>
                <w:rFonts w:cs="FrankRuehl" w:hint="cs"/>
                <w:sz w:val="24"/>
                <w:rtl/>
              </w:rPr>
              <w:t>0.9</w:t>
            </w:r>
          </w:p>
        </w:tc>
        <w:tc>
          <w:tcPr>
            <w:tcW w:w="0" w:type="auto"/>
          </w:tcPr>
          <w:p>
            <w:pPr>
              <w:ind w:left="0" w:right="0"/>
              <w:jc w:val="both"/>
              <w:rPr>
                <w:rFonts w:cs="FrankRuehl"/>
                <w:sz w:val="24"/>
              </w:rPr>
            </w:pPr>
            <w:r>
              <w:rPr>
                <w:rFonts w:cs="FrankRuehl" w:hint="cs"/>
                <w:sz w:val="24"/>
                <w:rtl/>
              </w:rPr>
              <w:t>2.6</w:t>
            </w:r>
          </w:p>
        </w:tc>
        <w:tc>
          <w:tcPr>
            <w:tcW w:w="0" w:type="auto"/>
          </w:tcPr>
          <w:p>
            <w:pPr>
              <w:ind w:left="0" w:right="0"/>
              <w:jc w:val="both"/>
              <w:rPr>
                <w:rFonts w:cs="FrankRuehl"/>
                <w:sz w:val="24"/>
              </w:rPr>
            </w:pPr>
            <w:r>
              <w:rPr>
                <w:rFonts w:cs="FrankRuehl" w:hint="cs"/>
                <w:sz w:val="24"/>
                <w:rtl/>
              </w:rPr>
              <w:t>31.12.97</w:t>
            </w:r>
          </w:p>
        </w:tc>
      </w:tr>
    </w:tbl>
    <w:p>
      <w:pPr>
        <w:ind w:left="0" w:right="0"/>
        <w:jc w:val="both"/>
        <w:rPr>
          <w:rFonts w:cs="FrankRuehl" w:hint="cs"/>
          <w:sz w:val="24"/>
          <w:rtl/>
        </w:rPr>
      </w:pPr>
    </w:p>
    <w:p>
      <w:pPr>
        <w:ind w:left="0" w:right="0"/>
        <w:jc w:val="both"/>
        <w:rPr>
          <w:rFonts w:cs="FrankRuehl" w:hint="cs"/>
          <w:sz w:val="24"/>
          <w:rtl/>
        </w:rPr>
      </w:pPr>
      <w:r>
        <w:rPr>
          <w:rFonts w:cs="FrankRuehl" w:hint="cs"/>
          <w:sz w:val="24"/>
          <w:rtl/>
        </w:rPr>
        <w:t>מהטבלה עולה, כי יתרת ניירות הערך ששימשו ביטחונות להלוואות היתה גבוהה במידה ניכרת ממה שהוסכם עם הבנקים - 133% מיתרת ההלוואות. משרד מבקר המדינה העיר לקרן, שהיה עליה לדאוג ששיעור היתרה של ניירות ערך אלה לא יחרוג מהשיעור האמור.</w:t>
      </w:r>
    </w:p>
    <w:p>
      <w:pPr>
        <w:ind w:left="0" w:right="0"/>
        <w:jc w:val="both"/>
        <w:rPr>
          <w:rFonts w:cs="FrankRuehl" w:hint="cs"/>
          <w:sz w:val="24"/>
          <w:rtl/>
        </w:rPr>
      </w:pPr>
    </w:p>
    <w:p>
      <w:pPr>
        <w:ind w:left="0" w:right="0"/>
        <w:jc w:val="both"/>
        <w:rPr>
          <w:rFonts w:cs="FrankRuehl" w:hint="cs"/>
          <w:sz w:val="24"/>
          <w:rtl/>
        </w:rPr>
      </w:pPr>
      <w:r>
        <w:rPr>
          <w:rFonts w:cs="FrankRuehl" w:hint="cs"/>
          <w:sz w:val="24"/>
          <w:rtl/>
        </w:rPr>
        <w:t>ו. להלן נתוני הקרן על ההפסדים שנגרמו לה עד תום 1996 מהשקעות ומפעולות בניירות ערך שנעשו באמצעות יועץ א' או יועץ ב':</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480"/>
        <w:gridCol w:w="480"/>
        <w:gridCol w:w="480"/>
      </w:tblGrid>
      <w:tr>
        <w:tblPrEx>
          <w:jc w:val="center"/>
          <w:tblInd w:w="0" w:type="dxa"/>
          <w:tblCellMar>
            <w:top w:w="0" w:type="dxa"/>
            <w:left w:w="108" w:type="dxa"/>
            <w:bottom w:w="0" w:type="dxa"/>
            <w:right w:w="108" w:type="dxa"/>
          </w:tblCellMar>
          <w:tblLook w:val="0000"/>
        </w:tblPrEx>
        <w:trPr>
          <w:jc w:val="center"/>
        </w:trPr>
        <w:tc>
          <w:tcPr>
            <w:tcW w:w="0" w:type="auto"/>
            <w:gridSpan w:val="2"/>
          </w:tcPr>
          <w:p>
            <w:pPr>
              <w:ind w:left="0" w:right="0"/>
              <w:jc w:val="center"/>
              <w:rPr>
                <w:rFonts w:cs="FrankRuehl"/>
                <w:b/>
                <w:bCs/>
                <w:sz w:val="24"/>
                <w:u w:val="single"/>
              </w:rPr>
            </w:pPr>
            <w:r>
              <w:rPr>
                <w:rFonts w:cs="FrankRuehl" w:hint="cs"/>
                <w:b/>
                <w:bCs/>
                <w:sz w:val="24"/>
                <w:u w:val="single"/>
                <w:rtl/>
              </w:rPr>
              <w:t>מיליוני דולר</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0.6</w:t>
            </w:r>
          </w:p>
        </w:tc>
        <w:tc>
          <w:tcPr>
            <w:tcW w:w="0" w:type="auto"/>
          </w:tcPr>
          <w:p>
            <w:pPr>
              <w:ind w:left="0" w:right="0"/>
              <w:jc w:val="both"/>
              <w:rPr>
                <w:rFonts w:cs="FrankRuehl"/>
                <w:sz w:val="24"/>
              </w:rPr>
            </w:pPr>
          </w:p>
        </w:tc>
        <w:tc>
          <w:tcPr>
            <w:tcW w:w="0" w:type="auto"/>
          </w:tcPr>
          <w:p>
            <w:pPr>
              <w:ind w:left="0" w:right="0"/>
              <w:jc w:val="both"/>
              <w:rPr>
                <w:rFonts w:cs="FrankRuehl"/>
                <w:sz w:val="24"/>
              </w:rPr>
            </w:pPr>
            <w:r>
              <w:rPr>
                <w:rFonts w:cs="FrankRuehl" w:hint="cs"/>
                <w:sz w:val="24"/>
                <w:rtl/>
              </w:rPr>
              <w:t>1. הפסדים מניירות ערך שנרכשו ביוזמת יועץ א'</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p>
        </w:tc>
        <w:tc>
          <w:tcPr>
            <w:tcW w:w="0" w:type="auto"/>
          </w:tcPr>
          <w:p>
            <w:pPr>
              <w:ind w:left="0" w:right="0"/>
              <w:jc w:val="both"/>
              <w:rPr>
                <w:rFonts w:cs="FrankRuehl"/>
                <w:sz w:val="24"/>
              </w:rPr>
            </w:pPr>
          </w:p>
        </w:tc>
        <w:tc>
          <w:tcPr>
            <w:tcW w:w="0" w:type="auto"/>
          </w:tcPr>
          <w:p>
            <w:pPr>
              <w:ind w:left="0" w:right="0"/>
              <w:jc w:val="both"/>
              <w:rPr>
                <w:rFonts w:cs="FrankRuehl"/>
                <w:sz w:val="24"/>
              </w:rPr>
            </w:pPr>
            <w:r>
              <w:rPr>
                <w:rFonts w:cs="FrankRuehl" w:hint="cs"/>
                <w:sz w:val="24"/>
                <w:rtl/>
              </w:rPr>
              <w:t>2. הפסדים מניירות ערך שנרכשו ביוזמת יועץ ב':</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p>
        </w:tc>
        <w:tc>
          <w:tcPr>
            <w:tcW w:w="0" w:type="auto"/>
          </w:tcPr>
          <w:p>
            <w:pPr>
              <w:ind w:left="0" w:right="0"/>
              <w:jc w:val="both"/>
              <w:rPr>
                <w:rFonts w:cs="FrankRuehl"/>
                <w:sz w:val="24"/>
              </w:rPr>
            </w:pPr>
            <w:r>
              <w:rPr>
                <w:rFonts w:cs="FrankRuehl" w:hint="cs"/>
                <w:sz w:val="24"/>
                <w:rtl/>
              </w:rPr>
              <w:t>0.7</w:t>
            </w:r>
          </w:p>
        </w:tc>
        <w:tc>
          <w:tcPr>
            <w:tcW w:w="0" w:type="auto"/>
          </w:tcPr>
          <w:p>
            <w:pPr>
              <w:ind w:left="0" w:right="0"/>
              <w:jc w:val="both"/>
              <w:rPr>
                <w:rFonts w:cs="FrankRuehl"/>
                <w:sz w:val="24"/>
              </w:rPr>
            </w:pPr>
            <w:r>
              <w:rPr>
                <w:rFonts w:cs="FrankRuehl" w:hint="cs"/>
                <w:sz w:val="24"/>
                <w:rtl/>
              </w:rPr>
              <w:t>ניירות ערך שהוחזקו בבנק א'</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p>
        </w:tc>
        <w:tc>
          <w:tcPr>
            <w:tcW w:w="0" w:type="auto"/>
          </w:tcPr>
          <w:p>
            <w:pPr>
              <w:ind w:left="0" w:right="0"/>
              <w:jc w:val="both"/>
              <w:rPr>
                <w:rFonts w:cs="FrankRuehl"/>
                <w:sz w:val="24"/>
              </w:rPr>
            </w:pPr>
            <w:r>
              <w:rPr>
                <w:rFonts w:cs="FrankRuehl" w:hint="cs"/>
                <w:sz w:val="24"/>
                <w:rtl/>
              </w:rPr>
              <w:t>0.1</w:t>
            </w:r>
          </w:p>
        </w:tc>
        <w:tc>
          <w:tcPr>
            <w:tcW w:w="0" w:type="auto"/>
          </w:tcPr>
          <w:p>
            <w:pPr>
              <w:ind w:left="0" w:right="0"/>
              <w:jc w:val="both"/>
              <w:rPr>
                <w:rFonts w:cs="FrankRuehl"/>
                <w:sz w:val="24"/>
              </w:rPr>
            </w:pPr>
            <w:r>
              <w:rPr>
                <w:rFonts w:cs="FrankRuehl" w:hint="cs"/>
                <w:sz w:val="24"/>
                <w:rtl/>
              </w:rPr>
              <w:t>ניירות ערך שהוחזקו בבנק ב'</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1.1</w:t>
            </w:r>
          </w:p>
        </w:tc>
        <w:tc>
          <w:tcPr>
            <w:tcW w:w="0" w:type="auto"/>
          </w:tcPr>
          <w:p>
            <w:pPr>
              <w:ind w:left="0" w:right="0"/>
              <w:jc w:val="both"/>
              <w:rPr>
                <w:rFonts w:cs="FrankRuehl"/>
                <w:b/>
                <w:bCs/>
                <w:sz w:val="24"/>
                <w:u w:val="single"/>
              </w:rPr>
            </w:pPr>
            <w:r>
              <w:rPr>
                <w:rFonts w:cs="FrankRuehl" w:hint="cs"/>
                <w:b/>
                <w:bCs/>
                <w:sz w:val="24"/>
                <w:u w:val="single"/>
                <w:rtl/>
              </w:rPr>
              <w:t>0.3</w:t>
            </w:r>
          </w:p>
        </w:tc>
        <w:tc>
          <w:tcPr>
            <w:tcW w:w="0" w:type="auto"/>
          </w:tcPr>
          <w:p>
            <w:pPr>
              <w:ind w:left="0" w:right="0"/>
              <w:jc w:val="both"/>
              <w:rPr>
                <w:rFonts w:cs="FrankRuehl"/>
                <w:sz w:val="24"/>
              </w:rPr>
            </w:pPr>
            <w:r>
              <w:rPr>
                <w:rFonts w:cs="FrankRuehl" w:hint="cs"/>
                <w:sz w:val="24"/>
                <w:rtl/>
              </w:rPr>
              <w:t>ניירות ערך שהוחזקו בבנק ג'</w:t>
            </w:r>
          </w:p>
        </w:tc>
      </w:tr>
      <w:tr>
        <w:tblPrEx>
          <w:jc w:val="center"/>
          <w:tblInd w:w="0" w:type="dxa"/>
          <w:tblCellMar>
            <w:top w:w="0" w:type="dxa"/>
            <w:left w:w="108" w:type="dxa"/>
            <w:bottom w:w="0" w:type="dxa"/>
            <w:right w:w="108" w:type="dxa"/>
          </w:tblCellMar>
          <w:tblLook w:val="0000"/>
        </w:tblPrEx>
        <w:trPr>
          <w:jc w:val="center"/>
        </w:trPr>
        <w:tc>
          <w:tcPr>
            <w:tcW w:w="0" w:type="auto"/>
          </w:tcPr>
          <w:p>
            <w:pPr>
              <w:pStyle w:val="Heading8"/>
              <w:ind w:left="0" w:right="0"/>
              <w:jc w:val="both"/>
              <w:rPr>
                <w:rFonts w:cs="FrankRuehl"/>
              </w:rPr>
            </w:pPr>
            <w:r>
              <w:rPr>
                <w:rFonts w:cs="FrankRuehl" w:hint="cs"/>
                <w:rtl/>
              </w:rPr>
              <w:t>1.7</w:t>
            </w:r>
          </w:p>
        </w:tc>
        <w:tc>
          <w:tcPr>
            <w:tcW w:w="0" w:type="auto"/>
          </w:tcPr>
          <w:p>
            <w:pPr>
              <w:ind w:left="0" w:right="0"/>
              <w:jc w:val="both"/>
              <w:rPr>
                <w:rFonts w:cs="FrankRuehl"/>
                <w:sz w:val="24"/>
              </w:rPr>
            </w:pPr>
          </w:p>
        </w:tc>
        <w:tc>
          <w:tcPr>
            <w:tcW w:w="0" w:type="auto"/>
          </w:tcPr>
          <w:p>
            <w:pPr>
              <w:ind w:left="0" w:right="0"/>
              <w:jc w:val="both"/>
              <w:rPr>
                <w:rFonts w:cs="FrankRuehl"/>
                <w:sz w:val="24"/>
              </w:rPr>
            </w:pPr>
            <w:r>
              <w:rPr>
                <w:rFonts w:cs="FrankRuehl" w:hint="cs"/>
                <w:sz w:val="24"/>
                <w:rtl/>
              </w:rPr>
              <w:t>סך כל ההפסד</w:t>
            </w:r>
          </w:p>
        </w:tc>
      </w:tr>
    </w:tbl>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משרד מבקר המדינה העלה, שההפסד מניירות הערך שהוחזקו בבנק א' נבע ברובו מאבדן השקעה בסך 775,000 דולר בשטרי חוב של בנק בבריטניה שהתמוטט בפברואר 1995. ההפסד צוין בדוח הכספי של הקרן לשנת 1994, שנחתם ביוני 1995; ההשקעה נמחקה בשנת 1995. באותה שנה הצטרפה הקרן לקבוצה של מחזיקים בשטרי החוב של הבנק שהתמוטט  לשם הגשת תביעה משפטית. בחודש מארס 1995 סיימה הקרן את ההתקשרות עם יועץ ב'. עקב הירידה שחלה בשוויים של ניירות הערך שנרכשו באמצעותו, לא שולמה לו עמלה בעבור אותה שנה. </w:t>
      </w:r>
    </w:p>
    <w:p>
      <w:pPr>
        <w:ind w:left="0" w:right="0"/>
        <w:jc w:val="both"/>
        <w:rPr>
          <w:rFonts w:cs="FrankRuehl" w:hint="cs"/>
          <w:sz w:val="24"/>
          <w:rtl/>
        </w:rPr>
      </w:pPr>
    </w:p>
    <w:p>
      <w:pPr>
        <w:ind w:left="0" w:right="0"/>
        <w:jc w:val="both"/>
        <w:rPr>
          <w:rFonts w:cs="FrankRuehl" w:hint="cs"/>
          <w:sz w:val="24"/>
          <w:rtl/>
        </w:rPr>
      </w:pPr>
      <w:r>
        <w:rPr>
          <w:rFonts w:cs="FrankRuehl" w:hint="cs"/>
          <w:sz w:val="24"/>
          <w:rtl/>
        </w:rPr>
        <w:t>הביקורת העלתה, שההשקעות שנעשו באמצעות בנק א' (כולל ההשקעה בבנק בבריטניה) כללו השקעות בניירות ערך של מנפיק אחד בסכום של כ-0.5 מיליון דולר ויותר. רוב</w:t>
      </w:r>
    </w:p>
    <w:p>
      <w:pPr>
        <w:ind w:left="0" w:right="0"/>
        <w:jc w:val="both"/>
        <w:rPr>
          <w:rFonts w:cs="FrankRuehl" w:hint="cs"/>
          <w:sz w:val="24"/>
          <w:rtl/>
        </w:rPr>
      </w:pPr>
      <w:r>
        <w:rPr>
          <w:rFonts w:cs="FrankRuehl" w:hint="cs"/>
          <w:sz w:val="24"/>
          <w:rtl/>
        </w:rPr>
        <w:br w:type="page"/>
      </w:r>
    </w:p>
    <w:p>
      <w:pPr>
        <w:ind w:left="0" w:right="0"/>
        <w:jc w:val="both"/>
        <w:rPr>
          <w:rFonts w:cs="FrankRuehl" w:hint="cs"/>
          <w:sz w:val="24"/>
          <w:rtl/>
        </w:rPr>
      </w:pPr>
    </w:p>
    <w:p>
      <w:pPr>
        <w:ind w:left="0" w:right="0"/>
        <w:jc w:val="both"/>
        <w:rPr>
          <w:rFonts w:cs="FrankRuehl" w:hint="cs"/>
          <w:sz w:val="24"/>
          <w:rtl/>
        </w:rPr>
      </w:pPr>
      <w:r>
        <w:rPr>
          <w:rFonts w:cs="FrankRuehl" w:hint="cs"/>
          <w:sz w:val="24"/>
          <w:rtl/>
        </w:rPr>
        <w:t>ההשקעות באמצעות בנק ב' לא היו גדולות מ-0.25 מיליון דולר; חמש השקעות חרגו מסכום זה, והגדולה שבהן הגיעה ל-1 מיליון דולר. ההשקעות שנעשו באמצעות בנק ג' נעו רובן ככולן בין 0.25 מיליון דולר ל-0.5 מיליון דולר; השקעה אחת הגיעה ל-533,000 דולר.</w:t>
      </w:r>
    </w:p>
    <w:p>
      <w:pPr>
        <w:ind w:left="0" w:right="0"/>
        <w:jc w:val="both"/>
        <w:rPr>
          <w:rFonts w:cs="FrankRuehl" w:hint="cs"/>
          <w:sz w:val="24"/>
          <w:rtl/>
        </w:rPr>
      </w:pPr>
    </w:p>
    <w:p>
      <w:pPr>
        <w:pStyle w:val="a0"/>
        <w:ind w:left="0" w:right="0"/>
        <w:jc w:val="both"/>
        <w:rPr>
          <w:rFonts w:cs="David" w:hint="cs"/>
          <w:sz w:val="23"/>
          <w:rtl/>
        </w:rPr>
      </w:pPr>
      <w:r>
        <w:rPr>
          <w:rFonts w:cs="David" w:hint="cs"/>
          <w:sz w:val="23"/>
          <w:rtl/>
        </w:rPr>
        <w:t xml:space="preserve">משרד מבקר המדינה העיר לקרן, שההפסדים שנגרמו לה בשנים האחרונות נבעו במידה רבה מהשקעה גדולה מדי בנייר ערך מסוים, וכי עליה לשמור על העיקרון של ביזור ההשקעות על ידי הגבלת סכום ההשקעה בנייר ערך אחד. נוכח ההפסדים שנגרמו לקרן, מן הראוי שהנאמנים ייחדו תשומת לב רבה יותר להשקעות כספי הקרן. </w:t>
      </w:r>
    </w:p>
    <w:p>
      <w:pPr>
        <w:pStyle w:val="Heading1"/>
        <w:ind w:left="0" w:right="0"/>
        <w:jc w:val="center"/>
        <w:rPr>
          <w:rFonts w:cs="David" w:hint="cs"/>
          <w:sz w:val="34"/>
          <w:rtl/>
        </w:rPr>
      </w:pPr>
      <w:r>
        <w:rPr>
          <w:b w:val="0"/>
          <w:bCs w:val="0"/>
          <w:rtl/>
        </w:rPr>
        <w:br w:type="page"/>
      </w:r>
      <w:bookmarkStart w:id="4" w:name="_Toc501440603"/>
      <w:r>
        <w:rPr>
          <w:rFonts w:cs="David" w:hint="cs"/>
          <w:sz w:val="34"/>
          <w:rtl/>
        </w:rPr>
        <w:t>חשבונות וכספים</w:t>
      </w:r>
      <w:bookmarkEnd w:id="4"/>
    </w:p>
    <w:p>
      <w:pPr>
        <w:ind w:left="0" w:right="0"/>
        <w:jc w:val="both"/>
        <w:rPr>
          <w:rFonts w:cs="FrankRuehl" w:hint="cs"/>
          <w:sz w:val="24"/>
          <w:rtl/>
        </w:rPr>
      </w:pPr>
    </w:p>
    <w:p>
      <w:pPr>
        <w:ind w:left="0" w:right="0"/>
        <w:jc w:val="both"/>
        <w:rPr>
          <w:rFonts w:cs="FrankRuehl" w:hint="cs"/>
          <w:sz w:val="24"/>
          <w:rtl/>
        </w:rPr>
      </w:pPr>
      <w:r>
        <w:rPr>
          <w:rFonts w:cs="FrankRuehl" w:hint="cs"/>
          <w:sz w:val="24"/>
          <w:rtl/>
        </w:rPr>
        <w:t>א.להלן המאזן המאוחד של קרן וולף וחברת פרלאן לסופי השנים 1995-1997:</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320"/>
        <w:gridCol w:w="320"/>
        <w:gridCol w:w="320"/>
        <w:gridCol w:w="480"/>
      </w:tblGrid>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31.12.95</w:t>
            </w:r>
          </w:p>
        </w:tc>
        <w:tc>
          <w:tcPr>
            <w:tcW w:w="0" w:type="auto"/>
          </w:tcPr>
          <w:p>
            <w:pPr>
              <w:ind w:left="0" w:right="0"/>
              <w:jc w:val="center"/>
              <w:rPr>
                <w:rFonts w:cs="FrankRuehl"/>
                <w:b/>
                <w:bCs/>
                <w:sz w:val="24"/>
                <w:u w:val="single"/>
              </w:rPr>
            </w:pPr>
            <w:r>
              <w:rPr>
                <w:rFonts w:cs="FrankRuehl" w:hint="cs"/>
                <w:b/>
                <w:bCs/>
                <w:sz w:val="24"/>
                <w:u w:val="single"/>
                <w:rtl/>
              </w:rPr>
              <w:t>31.12.96</w:t>
            </w:r>
          </w:p>
        </w:tc>
        <w:tc>
          <w:tcPr>
            <w:tcW w:w="0" w:type="auto"/>
          </w:tcPr>
          <w:p>
            <w:pPr>
              <w:ind w:left="0" w:right="0"/>
              <w:jc w:val="center"/>
              <w:rPr>
                <w:rFonts w:cs="FrankRuehl"/>
                <w:b/>
                <w:bCs/>
                <w:sz w:val="24"/>
                <w:u w:val="single"/>
              </w:rPr>
            </w:pPr>
            <w:r>
              <w:rPr>
                <w:rFonts w:cs="FrankRuehl" w:hint="cs"/>
                <w:b/>
                <w:bCs/>
                <w:sz w:val="24"/>
                <w:u w:val="single"/>
                <w:rtl/>
              </w:rPr>
              <w:t>31.12.97</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gridSpan w:val="3"/>
          </w:tcPr>
          <w:p>
            <w:pPr>
              <w:ind w:left="0" w:right="0"/>
              <w:jc w:val="center"/>
              <w:rPr>
                <w:rFonts w:cs="FrankRuehl"/>
                <w:b/>
                <w:bCs/>
                <w:sz w:val="24"/>
                <w:u w:val="single"/>
              </w:rPr>
            </w:pPr>
            <w:r>
              <w:rPr>
                <w:rFonts w:cs="FrankRuehl" w:hint="cs"/>
                <w:b/>
                <w:bCs/>
                <w:sz w:val="24"/>
                <w:u w:val="single"/>
                <w:rtl/>
              </w:rPr>
              <w:t>(אלפי דולרים)</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15,602</w:t>
            </w:r>
          </w:p>
        </w:tc>
        <w:tc>
          <w:tcPr>
            <w:tcW w:w="0" w:type="auto"/>
          </w:tcPr>
          <w:p>
            <w:pPr>
              <w:ind w:left="0" w:right="0"/>
              <w:jc w:val="both"/>
              <w:rPr>
                <w:rFonts w:cs="FrankRuehl"/>
                <w:sz w:val="24"/>
              </w:rPr>
            </w:pPr>
            <w:r>
              <w:rPr>
                <w:rFonts w:cs="FrankRuehl" w:hint="cs"/>
                <w:sz w:val="24"/>
                <w:rtl/>
              </w:rPr>
              <w:t>13,919</w:t>
            </w:r>
          </w:p>
        </w:tc>
        <w:tc>
          <w:tcPr>
            <w:tcW w:w="0" w:type="auto"/>
          </w:tcPr>
          <w:p>
            <w:pPr>
              <w:ind w:left="0" w:right="0"/>
              <w:jc w:val="both"/>
              <w:rPr>
                <w:rFonts w:cs="FrankRuehl"/>
                <w:sz w:val="24"/>
              </w:rPr>
            </w:pPr>
            <w:r>
              <w:rPr>
                <w:rFonts w:cs="FrankRuehl" w:hint="cs"/>
                <w:sz w:val="24"/>
                <w:rtl/>
              </w:rPr>
              <w:t>12,976</w:t>
            </w:r>
          </w:p>
        </w:tc>
        <w:tc>
          <w:tcPr>
            <w:tcW w:w="0" w:type="auto"/>
          </w:tcPr>
          <w:p>
            <w:pPr>
              <w:ind w:left="0" w:right="0"/>
              <w:jc w:val="both"/>
              <w:rPr>
                <w:rFonts w:cs="FrankRuehl"/>
                <w:sz w:val="24"/>
              </w:rPr>
            </w:pPr>
            <w:r>
              <w:rPr>
                <w:rFonts w:cs="FrankRuehl" w:hint="cs"/>
                <w:sz w:val="24"/>
                <w:rtl/>
              </w:rPr>
              <w:t>אג"ח, מניות ופיקדונות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800</w:t>
            </w:r>
          </w:p>
        </w:tc>
        <w:tc>
          <w:tcPr>
            <w:tcW w:w="0" w:type="auto"/>
          </w:tcPr>
          <w:p>
            <w:pPr>
              <w:ind w:left="0" w:right="0"/>
              <w:jc w:val="both"/>
              <w:rPr>
                <w:rFonts w:cs="FrankRuehl"/>
                <w:sz w:val="24"/>
              </w:rPr>
            </w:pPr>
            <w:r>
              <w:rPr>
                <w:rFonts w:cs="FrankRuehl" w:hint="cs"/>
                <w:sz w:val="24"/>
                <w:rtl/>
              </w:rPr>
              <w:t>800</w:t>
            </w:r>
          </w:p>
        </w:tc>
        <w:tc>
          <w:tcPr>
            <w:tcW w:w="0" w:type="auto"/>
          </w:tcPr>
          <w:p>
            <w:pPr>
              <w:ind w:left="0" w:right="0"/>
              <w:jc w:val="both"/>
              <w:rPr>
                <w:rFonts w:cs="FrankRuehl"/>
                <w:sz w:val="24"/>
              </w:rPr>
            </w:pPr>
            <w:r>
              <w:rPr>
                <w:rFonts w:cs="FrankRuehl" w:hint="cs"/>
                <w:sz w:val="24"/>
                <w:rtl/>
              </w:rPr>
              <w:t>1,080</w:t>
            </w:r>
          </w:p>
        </w:tc>
        <w:tc>
          <w:tcPr>
            <w:tcW w:w="0" w:type="auto"/>
          </w:tcPr>
          <w:p>
            <w:pPr>
              <w:ind w:left="0" w:right="0"/>
              <w:jc w:val="both"/>
              <w:rPr>
                <w:rFonts w:cs="FrankRuehl"/>
                <w:sz w:val="24"/>
              </w:rPr>
            </w:pPr>
            <w:r>
              <w:rPr>
                <w:rFonts w:cs="FrankRuehl" w:hint="cs"/>
                <w:sz w:val="24"/>
                <w:rtl/>
              </w:rPr>
              <w:t>מקרקעין בארה"ב</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710</w:t>
            </w:r>
          </w:p>
        </w:tc>
        <w:tc>
          <w:tcPr>
            <w:tcW w:w="0" w:type="auto"/>
          </w:tcPr>
          <w:p>
            <w:pPr>
              <w:ind w:left="0" w:right="0"/>
              <w:jc w:val="both"/>
              <w:rPr>
                <w:rFonts w:cs="FrankRuehl"/>
                <w:sz w:val="24"/>
              </w:rPr>
            </w:pPr>
            <w:r>
              <w:rPr>
                <w:rFonts w:cs="FrankRuehl" w:hint="cs"/>
                <w:sz w:val="24"/>
                <w:rtl/>
              </w:rPr>
              <w:t>710</w:t>
            </w:r>
          </w:p>
        </w:tc>
        <w:tc>
          <w:tcPr>
            <w:tcW w:w="0" w:type="auto"/>
          </w:tcPr>
          <w:p>
            <w:pPr>
              <w:ind w:left="0" w:right="0"/>
              <w:jc w:val="both"/>
              <w:rPr>
                <w:rFonts w:cs="FrankRuehl"/>
                <w:sz w:val="24"/>
              </w:rPr>
            </w:pPr>
            <w:r>
              <w:rPr>
                <w:rFonts w:cs="FrankRuehl" w:hint="cs"/>
                <w:sz w:val="24"/>
                <w:rtl/>
              </w:rPr>
              <w:t>1,220</w:t>
            </w:r>
          </w:p>
        </w:tc>
        <w:tc>
          <w:tcPr>
            <w:tcW w:w="0" w:type="auto"/>
          </w:tcPr>
          <w:p>
            <w:pPr>
              <w:ind w:left="0" w:right="0"/>
              <w:jc w:val="both"/>
              <w:rPr>
                <w:rFonts w:cs="FrankRuehl"/>
                <w:sz w:val="24"/>
              </w:rPr>
            </w:pPr>
            <w:r>
              <w:rPr>
                <w:rFonts w:cs="FrankRuehl" w:hint="cs"/>
                <w:sz w:val="24"/>
                <w:rtl/>
              </w:rPr>
              <w:t>מקרקעין בישראל</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15</w:t>
            </w:r>
          </w:p>
        </w:tc>
        <w:tc>
          <w:tcPr>
            <w:tcW w:w="0" w:type="auto"/>
          </w:tcPr>
          <w:p>
            <w:pPr>
              <w:ind w:left="0" w:right="0"/>
              <w:jc w:val="both"/>
              <w:rPr>
                <w:rFonts w:cs="FrankRuehl"/>
                <w:sz w:val="24"/>
              </w:rPr>
            </w:pPr>
            <w:r>
              <w:rPr>
                <w:rFonts w:cs="FrankRuehl" w:hint="cs"/>
                <w:sz w:val="24"/>
                <w:rtl/>
              </w:rPr>
              <w:t>10</w:t>
            </w:r>
          </w:p>
        </w:tc>
        <w:tc>
          <w:tcPr>
            <w:tcW w:w="0" w:type="auto"/>
          </w:tcPr>
          <w:p>
            <w:pPr>
              <w:ind w:left="0" w:right="0"/>
              <w:jc w:val="both"/>
              <w:rPr>
                <w:rFonts w:cs="FrankRuehl"/>
                <w:sz w:val="24"/>
              </w:rPr>
            </w:pPr>
            <w:r>
              <w:rPr>
                <w:rFonts w:cs="FrankRuehl" w:hint="cs"/>
                <w:sz w:val="24"/>
                <w:rtl/>
              </w:rPr>
              <w:t>34</w:t>
            </w:r>
          </w:p>
        </w:tc>
        <w:tc>
          <w:tcPr>
            <w:tcW w:w="0" w:type="auto"/>
          </w:tcPr>
          <w:p>
            <w:pPr>
              <w:ind w:left="0" w:right="0"/>
              <w:jc w:val="both"/>
              <w:rPr>
                <w:rFonts w:cs="FrankRuehl"/>
                <w:sz w:val="24"/>
              </w:rPr>
            </w:pPr>
            <w:r>
              <w:rPr>
                <w:rFonts w:cs="FrankRuehl" w:hint="cs"/>
                <w:sz w:val="24"/>
                <w:rtl/>
              </w:rPr>
              <w:t>ציוד ומכונות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99</w:t>
            </w:r>
          </w:p>
        </w:tc>
        <w:tc>
          <w:tcPr>
            <w:tcW w:w="0" w:type="auto"/>
          </w:tcPr>
          <w:p>
            <w:pPr>
              <w:ind w:left="0" w:right="0"/>
              <w:jc w:val="both"/>
              <w:rPr>
                <w:rFonts w:cs="FrankRuehl"/>
                <w:sz w:val="24"/>
              </w:rPr>
            </w:pPr>
            <w:r>
              <w:rPr>
                <w:rFonts w:cs="FrankRuehl" w:hint="cs"/>
                <w:sz w:val="24"/>
                <w:rtl/>
              </w:rPr>
              <w:t>58</w:t>
            </w:r>
          </w:p>
        </w:tc>
        <w:tc>
          <w:tcPr>
            <w:tcW w:w="0" w:type="auto"/>
          </w:tcPr>
          <w:p>
            <w:pPr>
              <w:ind w:left="0" w:right="0"/>
              <w:jc w:val="both"/>
              <w:rPr>
                <w:rFonts w:cs="FrankRuehl"/>
                <w:sz w:val="24"/>
              </w:rPr>
            </w:pPr>
            <w:r>
              <w:rPr>
                <w:rFonts w:cs="FrankRuehl" w:hint="cs"/>
                <w:sz w:val="24"/>
                <w:rtl/>
              </w:rPr>
              <w:t>62</w:t>
            </w:r>
          </w:p>
        </w:tc>
        <w:tc>
          <w:tcPr>
            <w:tcW w:w="0" w:type="auto"/>
          </w:tcPr>
          <w:p>
            <w:pPr>
              <w:ind w:left="0" w:right="0"/>
              <w:jc w:val="both"/>
              <w:rPr>
                <w:rFonts w:cs="FrankRuehl"/>
                <w:sz w:val="24"/>
              </w:rPr>
            </w:pPr>
            <w:r>
              <w:rPr>
                <w:rFonts w:cs="FrankRuehl" w:hint="cs"/>
                <w:sz w:val="24"/>
                <w:rtl/>
              </w:rPr>
              <w:t>מזומנים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384</w:t>
            </w:r>
          </w:p>
        </w:tc>
        <w:tc>
          <w:tcPr>
            <w:tcW w:w="0" w:type="auto"/>
          </w:tcPr>
          <w:p>
            <w:pPr>
              <w:ind w:left="0" w:right="0"/>
              <w:jc w:val="both"/>
              <w:rPr>
                <w:rFonts w:cs="FrankRuehl"/>
                <w:sz w:val="24"/>
              </w:rPr>
            </w:pPr>
            <w:r>
              <w:rPr>
                <w:rFonts w:cs="FrankRuehl" w:hint="cs"/>
                <w:sz w:val="24"/>
                <w:rtl/>
              </w:rPr>
              <w:t>35</w:t>
            </w:r>
            <w:r>
              <w:rPr>
                <w:rFonts w:cs="FrankRuehl" w:hint="cs"/>
                <w:sz w:val="24"/>
                <w:rtl/>
              </w:rPr>
              <w:t>9</w:t>
            </w:r>
          </w:p>
        </w:tc>
        <w:tc>
          <w:tcPr>
            <w:tcW w:w="0" w:type="auto"/>
          </w:tcPr>
          <w:p>
            <w:pPr>
              <w:ind w:left="0" w:right="0"/>
              <w:jc w:val="both"/>
              <w:rPr>
                <w:rFonts w:cs="FrankRuehl"/>
                <w:sz w:val="24"/>
              </w:rPr>
            </w:pPr>
            <w:r>
              <w:rPr>
                <w:rFonts w:cs="FrankRuehl" w:hint="cs"/>
                <w:sz w:val="24"/>
                <w:rtl/>
              </w:rPr>
              <w:t>342</w:t>
            </w:r>
          </w:p>
        </w:tc>
        <w:tc>
          <w:tcPr>
            <w:tcW w:w="0" w:type="auto"/>
          </w:tcPr>
          <w:p>
            <w:pPr>
              <w:ind w:left="0" w:right="0"/>
              <w:jc w:val="both"/>
              <w:rPr>
                <w:rFonts w:cs="FrankRuehl"/>
                <w:sz w:val="24"/>
              </w:rPr>
            </w:pPr>
            <w:r>
              <w:rPr>
                <w:rFonts w:cs="FrankRuehl" w:hint="cs"/>
                <w:sz w:val="24"/>
                <w:rtl/>
              </w:rPr>
              <w:t>הכנסות לקבל</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4</w:t>
            </w:r>
          </w:p>
        </w:tc>
        <w:tc>
          <w:tcPr>
            <w:tcW w:w="0" w:type="auto"/>
          </w:tcPr>
          <w:p>
            <w:pPr>
              <w:ind w:left="0" w:right="0"/>
              <w:jc w:val="both"/>
              <w:rPr>
                <w:rFonts w:cs="FrankRuehl"/>
                <w:sz w:val="24"/>
              </w:rPr>
            </w:pPr>
            <w:r>
              <w:rPr>
                <w:rFonts w:cs="FrankRuehl" w:hint="cs"/>
                <w:sz w:val="24"/>
                <w:rtl/>
              </w:rPr>
              <w:t>6</w:t>
            </w:r>
          </w:p>
        </w:tc>
        <w:tc>
          <w:tcPr>
            <w:tcW w:w="0" w:type="auto"/>
          </w:tcPr>
          <w:p>
            <w:pPr>
              <w:ind w:left="0" w:right="0"/>
              <w:jc w:val="both"/>
              <w:rPr>
                <w:rFonts w:cs="FrankRuehl"/>
                <w:sz w:val="24"/>
              </w:rPr>
            </w:pPr>
            <w:r>
              <w:rPr>
                <w:rFonts w:cs="FrankRuehl" w:hint="cs"/>
                <w:sz w:val="24"/>
                <w:rtl/>
              </w:rPr>
              <w:t>13</w:t>
            </w:r>
          </w:p>
        </w:tc>
        <w:tc>
          <w:tcPr>
            <w:tcW w:w="0" w:type="auto"/>
          </w:tcPr>
          <w:p>
            <w:pPr>
              <w:ind w:left="0" w:right="0"/>
              <w:jc w:val="both"/>
              <w:rPr>
                <w:rFonts w:cs="FrankRuehl"/>
                <w:sz w:val="24"/>
              </w:rPr>
            </w:pPr>
            <w:r>
              <w:rPr>
                <w:rFonts w:cs="FrankRuehl" w:hint="cs"/>
                <w:sz w:val="24"/>
                <w:rtl/>
              </w:rPr>
              <w:t>יתרות חובה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17,614</w:t>
            </w:r>
          </w:p>
        </w:tc>
        <w:tc>
          <w:tcPr>
            <w:tcW w:w="0" w:type="auto"/>
          </w:tcPr>
          <w:p>
            <w:pPr>
              <w:ind w:left="0" w:right="0"/>
              <w:jc w:val="both"/>
              <w:rPr>
                <w:rFonts w:cs="FrankRuehl"/>
                <w:b/>
                <w:bCs/>
                <w:sz w:val="24"/>
                <w:u w:val="single"/>
              </w:rPr>
            </w:pPr>
            <w:r>
              <w:rPr>
                <w:rFonts w:cs="FrankRuehl" w:hint="cs"/>
                <w:b/>
                <w:bCs/>
                <w:sz w:val="24"/>
                <w:u w:val="single"/>
                <w:rtl/>
              </w:rPr>
              <w:t>15,862</w:t>
            </w:r>
          </w:p>
        </w:tc>
        <w:tc>
          <w:tcPr>
            <w:tcW w:w="0" w:type="auto"/>
          </w:tcPr>
          <w:p>
            <w:pPr>
              <w:ind w:left="0" w:right="0"/>
              <w:jc w:val="both"/>
              <w:rPr>
                <w:rFonts w:cs="FrankRuehl"/>
                <w:b/>
                <w:bCs/>
                <w:sz w:val="24"/>
                <w:u w:val="single"/>
              </w:rPr>
            </w:pPr>
            <w:r>
              <w:rPr>
                <w:rFonts w:cs="FrankRuehl" w:hint="cs"/>
                <w:b/>
                <w:bCs/>
                <w:sz w:val="24"/>
                <w:u w:val="single"/>
                <w:rtl/>
              </w:rPr>
              <w:t>15,727</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265</w:t>
            </w:r>
          </w:p>
        </w:tc>
        <w:tc>
          <w:tcPr>
            <w:tcW w:w="0" w:type="auto"/>
          </w:tcPr>
          <w:p>
            <w:pPr>
              <w:ind w:left="0" w:right="0"/>
              <w:jc w:val="both"/>
              <w:rPr>
                <w:rFonts w:cs="FrankRuehl"/>
                <w:sz w:val="24"/>
              </w:rPr>
            </w:pPr>
            <w:r>
              <w:rPr>
                <w:rFonts w:cs="FrankRuehl" w:hint="cs"/>
                <w:sz w:val="24"/>
                <w:rtl/>
              </w:rPr>
              <w:t>261</w:t>
            </w:r>
          </w:p>
        </w:tc>
        <w:tc>
          <w:tcPr>
            <w:tcW w:w="0" w:type="auto"/>
          </w:tcPr>
          <w:p>
            <w:pPr>
              <w:ind w:left="0" w:right="0"/>
              <w:jc w:val="both"/>
              <w:rPr>
                <w:rFonts w:cs="FrankRuehl"/>
                <w:sz w:val="24"/>
              </w:rPr>
            </w:pPr>
            <w:r>
              <w:rPr>
                <w:rFonts w:cs="FrankRuehl" w:hint="cs"/>
                <w:sz w:val="24"/>
                <w:rtl/>
              </w:rPr>
              <w:t>214</w:t>
            </w:r>
          </w:p>
        </w:tc>
        <w:tc>
          <w:tcPr>
            <w:tcW w:w="0" w:type="auto"/>
          </w:tcPr>
          <w:p>
            <w:pPr>
              <w:ind w:left="0" w:right="0"/>
              <w:jc w:val="both"/>
              <w:rPr>
                <w:rFonts w:cs="FrankRuehl"/>
                <w:sz w:val="24"/>
              </w:rPr>
            </w:pPr>
            <w:r>
              <w:rPr>
                <w:rFonts w:cs="FrankRuehl" w:hint="cs"/>
                <w:sz w:val="24"/>
                <w:rtl/>
              </w:rPr>
              <w:t>הוצאות לשלם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4,166</w:t>
            </w:r>
          </w:p>
        </w:tc>
        <w:tc>
          <w:tcPr>
            <w:tcW w:w="0" w:type="auto"/>
          </w:tcPr>
          <w:p>
            <w:pPr>
              <w:ind w:left="0" w:right="0"/>
              <w:jc w:val="both"/>
              <w:rPr>
                <w:rFonts w:cs="FrankRuehl"/>
                <w:sz w:val="24"/>
              </w:rPr>
            </w:pPr>
            <w:r>
              <w:rPr>
                <w:rFonts w:cs="FrankRuehl" w:hint="cs"/>
                <w:sz w:val="24"/>
                <w:rtl/>
              </w:rPr>
              <w:t>1,825</w:t>
            </w:r>
          </w:p>
        </w:tc>
        <w:tc>
          <w:tcPr>
            <w:tcW w:w="0" w:type="auto"/>
          </w:tcPr>
          <w:p>
            <w:pPr>
              <w:ind w:left="0" w:right="0"/>
              <w:jc w:val="both"/>
              <w:rPr>
                <w:rFonts w:cs="FrankRuehl"/>
                <w:sz w:val="24"/>
              </w:rPr>
            </w:pPr>
            <w:r>
              <w:rPr>
                <w:rFonts w:cs="FrankRuehl" w:hint="cs"/>
                <w:sz w:val="24"/>
                <w:rtl/>
              </w:rPr>
              <w:t>850</w:t>
            </w:r>
          </w:p>
        </w:tc>
        <w:tc>
          <w:tcPr>
            <w:tcW w:w="0" w:type="auto"/>
          </w:tcPr>
          <w:p>
            <w:pPr>
              <w:ind w:left="0" w:right="0"/>
              <w:jc w:val="both"/>
              <w:rPr>
                <w:rFonts w:cs="FrankRuehl"/>
                <w:sz w:val="24"/>
              </w:rPr>
            </w:pPr>
            <w:r>
              <w:rPr>
                <w:rFonts w:cs="FrankRuehl" w:hint="cs"/>
                <w:sz w:val="24"/>
                <w:rtl/>
              </w:rPr>
              <w:t>הלוואות מבנקים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r>
              <w:rPr>
                <w:rFonts w:cs="FrankRuehl" w:hint="cs"/>
                <w:b/>
                <w:bCs/>
                <w:sz w:val="24"/>
                <w:rtl/>
              </w:rPr>
              <w:t>הון הקרן</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13,974</w:t>
            </w:r>
          </w:p>
        </w:tc>
        <w:tc>
          <w:tcPr>
            <w:tcW w:w="0" w:type="auto"/>
          </w:tcPr>
          <w:p>
            <w:pPr>
              <w:ind w:left="0" w:right="0"/>
              <w:jc w:val="both"/>
              <w:rPr>
                <w:rFonts w:cs="FrankRuehl"/>
                <w:sz w:val="24"/>
              </w:rPr>
            </w:pPr>
            <w:r>
              <w:rPr>
                <w:rFonts w:cs="FrankRuehl" w:hint="cs"/>
                <w:sz w:val="24"/>
                <w:rtl/>
              </w:rPr>
              <w:t>14,024</w:t>
            </w:r>
          </w:p>
        </w:tc>
        <w:tc>
          <w:tcPr>
            <w:tcW w:w="0" w:type="auto"/>
          </w:tcPr>
          <w:p>
            <w:pPr>
              <w:ind w:left="0" w:right="0"/>
              <w:jc w:val="both"/>
              <w:rPr>
                <w:rFonts w:cs="FrankRuehl"/>
                <w:sz w:val="24"/>
              </w:rPr>
            </w:pPr>
            <w:r>
              <w:rPr>
                <w:rFonts w:cs="FrankRuehl" w:hint="cs"/>
                <w:sz w:val="24"/>
                <w:rtl/>
              </w:rPr>
              <w:t>14,567</w:t>
            </w:r>
          </w:p>
        </w:tc>
        <w:tc>
          <w:tcPr>
            <w:tcW w:w="0" w:type="auto"/>
          </w:tcPr>
          <w:p>
            <w:pPr>
              <w:ind w:left="0" w:right="0"/>
              <w:jc w:val="both"/>
              <w:rPr>
                <w:rFonts w:cs="FrankRuehl"/>
                <w:sz w:val="24"/>
              </w:rPr>
            </w:pPr>
            <w:r>
              <w:rPr>
                <w:rFonts w:cs="FrankRuehl" w:hint="cs"/>
                <w:sz w:val="24"/>
                <w:rtl/>
              </w:rPr>
              <w:t>תרומת המייסדים ואחרים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114</w:t>
            </w:r>
          </w:p>
        </w:tc>
        <w:tc>
          <w:tcPr>
            <w:tcW w:w="0" w:type="auto"/>
          </w:tcPr>
          <w:p>
            <w:pPr>
              <w:ind w:left="0" w:right="0"/>
              <w:jc w:val="both"/>
              <w:rPr>
                <w:rFonts w:cs="FrankRuehl"/>
                <w:sz w:val="24"/>
              </w:rPr>
            </w:pPr>
            <w:r>
              <w:rPr>
                <w:rFonts w:cs="FrankRuehl" w:hint="cs"/>
                <w:sz w:val="24"/>
                <w:rtl/>
              </w:rPr>
              <w:t>114</w:t>
            </w:r>
          </w:p>
        </w:tc>
        <w:tc>
          <w:tcPr>
            <w:tcW w:w="0" w:type="auto"/>
          </w:tcPr>
          <w:p>
            <w:pPr>
              <w:ind w:left="0" w:right="0"/>
              <w:jc w:val="both"/>
              <w:rPr>
                <w:rFonts w:cs="FrankRuehl"/>
                <w:sz w:val="24"/>
              </w:rPr>
            </w:pPr>
            <w:r>
              <w:rPr>
                <w:rFonts w:cs="FrankRuehl" w:hint="cs"/>
                <w:sz w:val="24"/>
                <w:rtl/>
              </w:rPr>
              <w:t>295</w:t>
            </w:r>
          </w:p>
        </w:tc>
        <w:tc>
          <w:tcPr>
            <w:tcW w:w="0" w:type="auto"/>
          </w:tcPr>
          <w:p>
            <w:pPr>
              <w:ind w:left="0" w:right="0"/>
              <w:jc w:val="both"/>
              <w:rPr>
                <w:rFonts w:cs="FrankRuehl"/>
                <w:sz w:val="24"/>
              </w:rPr>
            </w:pPr>
            <w:r>
              <w:rPr>
                <w:rFonts w:cs="FrankRuehl" w:hint="cs"/>
                <w:sz w:val="24"/>
                <w:rtl/>
              </w:rPr>
              <w:t>קרן מיוחדת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1,954</w:t>
            </w:r>
          </w:p>
        </w:tc>
        <w:tc>
          <w:tcPr>
            <w:tcW w:w="0" w:type="auto"/>
          </w:tcPr>
          <w:p>
            <w:pPr>
              <w:ind w:left="0" w:right="0"/>
              <w:jc w:val="both"/>
              <w:rPr>
                <w:rFonts w:cs="FrankRuehl"/>
                <w:sz w:val="24"/>
              </w:rPr>
            </w:pPr>
            <w:r>
              <w:rPr>
                <w:rFonts w:cs="FrankRuehl" w:hint="cs"/>
                <w:sz w:val="24"/>
                <w:rtl/>
              </w:rPr>
              <w:t>2,045</w:t>
            </w:r>
          </w:p>
        </w:tc>
        <w:tc>
          <w:tcPr>
            <w:tcW w:w="0" w:type="auto"/>
          </w:tcPr>
          <w:p>
            <w:pPr>
              <w:ind w:left="0" w:right="0"/>
              <w:jc w:val="both"/>
              <w:rPr>
                <w:rFonts w:cs="FrankRuehl"/>
                <w:sz w:val="24"/>
              </w:rPr>
            </w:pPr>
            <w:r>
              <w:rPr>
                <w:rFonts w:cs="FrankRuehl" w:hint="cs"/>
                <w:sz w:val="24"/>
                <w:rtl/>
              </w:rPr>
              <w:t>2,141</w:t>
            </w:r>
          </w:p>
        </w:tc>
        <w:tc>
          <w:tcPr>
            <w:tcW w:w="0" w:type="auto"/>
          </w:tcPr>
          <w:p>
            <w:pPr>
              <w:ind w:left="0" w:right="0"/>
              <w:jc w:val="both"/>
              <w:rPr>
                <w:rFonts w:cs="FrankRuehl"/>
                <w:sz w:val="24"/>
              </w:rPr>
            </w:pPr>
            <w:r>
              <w:rPr>
                <w:rFonts w:cs="FrankRuehl" w:hint="cs"/>
                <w:sz w:val="24"/>
                <w:rtl/>
              </w:rPr>
              <w:t>קרן הון</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(2,859)</w:t>
            </w:r>
          </w:p>
        </w:tc>
        <w:tc>
          <w:tcPr>
            <w:tcW w:w="0" w:type="auto"/>
          </w:tcPr>
          <w:p>
            <w:pPr>
              <w:ind w:left="0" w:right="0"/>
              <w:jc w:val="both"/>
              <w:rPr>
                <w:rFonts w:cs="FrankRuehl"/>
                <w:sz w:val="24"/>
              </w:rPr>
            </w:pPr>
            <w:r>
              <w:rPr>
                <w:rFonts w:cs="FrankRuehl" w:hint="cs"/>
                <w:sz w:val="24"/>
                <w:rtl/>
              </w:rPr>
              <w:t>(2,407)</w:t>
            </w:r>
          </w:p>
        </w:tc>
        <w:tc>
          <w:tcPr>
            <w:tcW w:w="0" w:type="auto"/>
          </w:tcPr>
          <w:p>
            <w:pPr>
              <w:ind w:left="0" w:right="0"/>
              <w:jc w:val="both"/>
              <w:rPr>
                <w:rFonts w:cs="FrankRuehl"/>
                <w:sz w:val="24"/>
              </w:rPr>
            </w:pPr>
            <w:r>
              <w:rPr>
                <w:rFonts w:cs="FrankRuehl" w:hint="cs"/>
                <w:sz w:val="24"/>
                <w:rtl/>
              </w:rPr>
              <w:t>(2,340)</w:t>
            </w:r>
          </w:p>
        </w:tc>
        <w:tc>
          <w:tcPr>
            <w:tcW w:w="0" w:type="auto"/>
          </w:tcPr>
          <w:p>
            <w:pPr>
              <w:ind w:left="0" w:right="0"/>
              <w:jc w:val="both"/>
              <w:rPr>
                <w:rFonts w:cs="FrankRuehl"/>
                <w:sz w:val="24"/>
              </w:rPr>
            </w:pPr>
            <w:r>
              <w:rPr>
                <w:rFonts w:cs="FrankRuehl" w:hint="cs"/>
                <w:sz w:val="24"/>
                <w:rtl/>
              </w:rPr>
              <w:t>בניכוי גירעון מצטבר</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13,183</w:t>
            </w:r>
          </w:p>
        </w:tc>
        <w:tc>
          <w:tcPr>
            <w:tcW w:w="0" w:type="auto"/>
          </w:tcPr>
          <w:p>
            <w:pPr>
              <w:ind w:left="0" w:right="0"/>
              <w:jc w:val="both"/>
              <w:rPr>
                <w:rFonts w:cs="FrankRuehl"/>
                <w:b/>
                <w:bCs/>
                <w:sz w:val="24"/>
                <w:u w:val="single"/>
              </w:rPr>
            </w:pPr>
            <w:r>
              <w:rPr>
                <w:rFonts w:cs="FrankRuehl" w:hint="cs"/>
                <w:b/>
                <w:bCs/>
                <w:sz w:val="24"/>
                <w:u w:val="single"/>
                <w:rtl/>
              </w:rPr>
              <w:t>13,776</w:t>
            </w:r>
          </w:p>
        </w:tc>
        <w:tc>
          <w:tcPr>
            <w:tcW w:w="0" w:type="auto"/>
          </w:tcPr>
          <w:p>
            <w:pPr>
              <w:ind w:left="0" w:right="0"/>
              <w:jc w:val="both"/>
              <w:rPr>
                <w:rFonts w:cs="FrankRuehl"/>
                <w:b/>
                <w:bCs/>
                <w:sz w:val="24"/>
                <w:u w:val="single"/>
              </w:rPr>
            </w:pPr>
            <w:r>
              <w:rPr>
                <w:rFonts w:cs="FrankRuehl" w:hint="cs"/>
                <w:b/>
                <w:bCs/>
                <w:sz w:val="24"/>
                <w:u w:val="single"/>
                <w:rtl/>
              </w:rPr>
              <w:t>14,663</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17,614</w:t>
            </w:r>
          </w:p>
        </w:tc>
        <w:tc>
          <w:tcPr>
            <w:tcW w:w="0" w:type="auto"/>
          </w:tcPr>
          <w:p>
            <w:pPr>
              <w:ind w:left="0" w:right="0"/>
              <w:jc w:val="both"/>
              <w:rPr>
                <w:rFonts w:cs="FrankRuehl"/>
                <w:b/>
                <w:bCs/>
                <w:sz w:val="24"/>
                <w:u w:val="single"/>
              </w:rPr>
            </w:pPr>
            <w:r>
              <w:rPr>
                <w:rFonts w:cs="FrankRuehl" w:hint="cs"/>
                <w:b/>
                <w:bCs/>
                <w:sz w:val="24"/>
                <w:u w:val="single"/>
                <w:rtl/>
              </w:rPr>
              <w:t>15,862</w:t>
            </w:r>
          </w:p>
        </w:tc>
        <w:tc>
          <w:tcPr>
            <w:tcW w:w="0" w:type="auto"/>
          </w:tcPr>
          <w:p>
            <w:pPr>
              <w:ind w:left="0" w:right="0"/>
              <w:jc w:val="both"/>
              <w:rPr>
                <w:rFonts w:cs="FrankRuehl"/>
                <w:b/>
                <w:bCs/>
                <w:sz w:val="24"/>
                <w:u w:val="single"/>
              </w:rPr>
            </w:pPr>
            <w:r>
              <w:rPr>
                <w:rFonts w:cs="FrankRuehl" w:hint="cs"/>
                <w:b/>
                <w:bCs/>
                <w:sz w:val="24"/>
                <w:u w:val="single"/>
                <w:rtl/>
              </w:rPr>
              <w:t>15,727</w:t>
            </w:r>
          </w:p>
        </w:tc>
        <w:tc>
          <w:tcPr>
            <w:tcW w:w="0" w:type="auto"/>
          </w:tcPr>
          <w:p>
            <w:pPr>
              <w:ind w:left="0" w:right="0"/>
              <w:jc w:val="both"/>
              <w:rPr>
                <w:rFonts w:cs="FrankRuehl"/>
                <w:b/>
                <w:bCs/>
                <w:sz w:val="24"/>
                <w:u w:val="single"/>
              </w:rPr>
            </w:pPr>
          </w:p>
        </w:tc>
      </w:tr>
    </w:tbl>
    <w:p>
      <w:pPr>
        <w:ind w:left="0" w:right="0"/>
        <w:jc w:val="both"/>
        <w:rPr>
          <w:rFonts w:cs="FrankRuehl" w:hint="cs"/>
          <w:sz w:val="24"/>
          <w:rtl/>
        </w:rPr>
      </w:pPr>
    </w:p>
    <w:p>
      <w:pPr>
        <w:ind w:left="0" w:right="0"/>
        <w:jc w:val="both"/>
        <w:rPr>
          <w:rFonts w:cs="FrankRuehl" w:hint="cs"/>
          <w:sz w:val="24"/>
          <w:rtl/>
        </w:rPr>
      </w:pPr>
    </w:p>
    <w:p>
      <w:pPr>
        <w:ind w:left="0" w:right="0"/>
        <w:jc w:val="both"/>
        <w:rPr>
          <w:rFonts w:cs="FrankRuehl" w:hint="cs"/>
          <w:sz w:val="24"/>
          <w:rtl/>
        </w:rPr>
      </w:pPr>
      <w:r>
        <w:rPr>
          <w:rFonts w:cs="FrankRuehl" w:hint="cs"/>
          <w:sz w:val="24"/>
          <w:rtl/>
        </w:rPr>
        <w:t>ההון כולל, כאמור, תרומות שנתקבלו מתורמים אחרים בסך של 1,006,000 דולר. הקרן המיוחדת כוללת תרומת אמן גרמני, שתרם את הפרס שקיבל מהקרן בשנת 1990, ותרומה מיוחדת, שנתקבלה מתורמת מברזיל בשנת 1997, לשם הקמת קרנות שמרווחיהן יינתנו מלגות לאמנים צעירים ולסטודנטים. לקרן ההון מועברים בכל שנה, על פי התקנון, 10% מההכנסות.</w:t>
      </w:r>
    </w:p>
    <w:p>
      <w:pPr>
        <w:ind w:left="0" w:right="0"/>
        <w:jc w:val="both"/>
        <w:rPr>
          <w:rFonts w:cs="FrankRuehl" w:hint="cs"/>
          <w:sz w:val="24"/>
          <w:rtl/>
        </w:rPr>
      </w:pPr>
    </w:p>
    <w:p>
      <w:pPr>
        <w:ind w:left="0" w:right="0"/>
        <w:jc w:val="both"/>
        <w:rPr>
          <w:rFonts w:cs="FrankRuehl" w:hint="cs"/>
          <w:sz w:val="24"/>
          <w:rtl/>
        </w:rPr>
      </w:pPr>
      <w:r>
        <w:rPr>
          <w:rFonts w:cs="FrankRuehl" w:hint="cs"/>
          <w:sz w:val="24"/>
          <w:rtl/>
        </w:rPr>
        <w:t>במאזנה לסוף שנת 1997 הפחיתה הקרן את העודפים שלא חולקו מההפסדים מניירות ערך, שהגיעו לסך 5.4 מיליון דולר, והציגה את ההפרש - 2.3 מיליון דולר – כגירעון מצטבר.</w:t>
      </w:r>
    </w:p>
    <w:p>
      <w:pPr>
        <w:ind w:left="0" w:right="0"/>
        <w:jc w:val="both"/>
        <w:rPr>
          <w:rFonts w:cs="FrankRuehl" w:hint="cs"/>
          <w:sz w:val="24"/>
          <w:rtl/>
        </w:rPr>
      </w:pPr>
      <w:r>
        <w:rPr>
          <w:rFonts w:cs="FrankRuehl" w:hint="cs"/>
          <w:sz w:val="24"/>
          <w:rtl/>
        </w:rPr>
        <w:br w:type="page"/>
      </w:r>
    </w:p>
    <w:p>
      <w:pPr>
        <w:ind w:left="0" w:right="0"/>
        <w:jc w:val="both"/>
        <w:rPr>
          <w:rFonts w:cs="FrankRuehl" w:hint="cs"/>
          <w:sz w:val="24"/>
          <w:rtl/>
        </w:rPr>
      </w:pPr>
      <w:r>
        <w:rPr>
          <w:rFonts w:cs="David" w:hint="cs"/>
          <w:b/>
          <w:bCs/>
          <w:spacing w:val="40"/>
          <w:sz w:val="22"/>
          <w:szCs w:val="22"/>
          <w:rtl/>
        </w:rPr>
        <w:t>השקעות בנכסים פיננסיים</w:t>
      </w:r>
      <w:r>
        <w:rPr>
          <w:rFonts w:cs="FrankRuehl" w:hint="cs"/>
          <w:sz w:val="24"/>
          <w:rtl/>
        </w:rPr>
        <w:t xml:space="preserve"> - להלן פירוט השקעותיה של הקרן בנכסים פיננסיים לסופי השנים 1995-1997:</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320"/>
        <w:gridCol w:w="320"/>
        <w:gridCol w:w="320"/>
        <w:gridCol w:w="480"/>
      </w:tblGrid>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31.12.95</w:t>
            </w:r>
          </w:p>
        </w:tc>
        <w:tc>
          <w:tcPr>
            <w:tcW w:w="0" w:type="auto"/>
          </w:tcPr>
          <w:p>
            <w:pPr>
              <w:ind w:left="0" w:right="0"/>
              <w:jc w:val="center"/>
              <w:rPr>
                <w:rFonts w:cs="FrankRuehl"/>
                <w:b/>
                <w:bCs/>
                <w:sz w:val="24"/>
                <w:u w:val="single"/>
              </w:rPr>
            </w:pPr>
            <w:r>
              <w:rPr>
                <w:rFonts w:cs="FrankRuehl" w:hint="cs"/>
                <w:b/>
                <w:bCs/>
                <w:sz w:val="24"/>
                <w:u w:val="single"/>
                <w:rtl/>
              </w:rPr>
              <w:t>31.12.96</w:t>
            </w:r>
          </w:p>
        </w:tc>
        <w:tc>
          <w:tcPr>
            <w:tcW w:w="0" w:type="auto"/>
          </w:tcPr>
          <w:p>
            <w:pPr>
              <w:ind w:left="0" w:right="0"/>
              <w:jc w:val="center"/>
              <w:rPr>
                <w:rFonts w:cs="FrankRuehl"/>
                <w:b/>
                <w:bCs/>
                <w:sz w:val="24"/>
                <w:u w:val="single"/>
              </w:rPr>
            </w:pPr>
            <w:r>
              <w:rPr>
                <w:rFonts w:cs="FrankRuehl" w:hint="cs"/>
                <w:b/>
                <w:bCs/>
                <w:sz w:val="24"/>
                <w:u w:val="single"/>
                <w:rtl/>
              </w:rPr>
              <w:t>31.12.97</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gridSpan w:val="3"/>
          </w:tcPr>
          <w:p>
            <w:pPr>
              <w:ind w:left="0" w:right="0"/>
              <w:jc w:val="center"/>
              <w:rPr>
                <w:rFonts w:cs="FrankRuehl"/>
                <w:b/>
                <w:bCs/>
                <w:sz w:val="24"/>
                <w:u w:val="single"/>
              </w:rPr>
            </w:pPr>
            <w:r>
              <w:rPr>
                <w:rFonts w:cs="FrankRuehl" w:hint="cs"/>
                <w:b/>
                <w:bCs/>
                <w:sz w:val="24"/>
                <w:u w:val="single"/>
                <w:rtl/>
              </w:rPr>
              <w:t>(אלפידולרים)</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15,200</w:t>
            </w:r>
          </w:p>
        </w:tc>
        <w:tc>
          <w:tcPr>
            <w:tcW w:w="0" w:type="auto"/>
          </w:tcPr>
          <w:p>
            <w:pPr>
              <w:ind w:left="0" w:right="0"/>
              <w:jc w:val="both"/>
              <w:rPr>
                <w:rFonts w:cs="FrankRuehl"/>
                <w:sz w:val="24"/>
              </w:rPr>
            </w:pPr>
            <w:r>
              <w:rPr>
                <w:rFonts w:cs="FrankRuehl" w:hint="cs"/>
                <w:sz w:val="24"/>
                <w:rtl/>
              </w:rPr>
              <w:t>13,621</w:t>
            </w:r>
          </w:p>
        </w:tc>
        <w:tc>
          <w:tcPr>
            <w:tcW w:w="0" w:type="auto"/>
          </w:tcPr>
          <w:p>
            <w:pPr>
              <w:ind w:left="0" w:right="0"/>
              <w:jc w:val="both"/>
              <w:rPr>
                <w:rFonts w:cs="FrankRuehl"/>
                <w:sz w:val="24"/>
              </w:rPr>
            </w:pPr>
            <w:r>
              <w:rPr>
                <w:rFonts w:cs="FrankRuehl" w:hint="cs"/>
                <w:sz w:val="24"/>
                <w:rtl/>
              </w:rPr>
              <w:t>12,545</w:t>
            </w:r>
          </w:p>
        </w:tc>
        <w:tc>
          <w:tcPr>
            <w:tcW w:w="0" w:type="auto"/>
          </w:tcPr>
          <w:p>
            <w:pPr>
              <w:ind w:left="0" w:right="0"/>
              <w:jc w:val="both"/>
              <w:rPr>
                <w:rFonts w:cs="FrankRuehl"/>
                <w:sz w:val="24"/>
              </w:rPr>
            </w:pPr>
            <w:r>
              <w:rPr>
                <w:rFonts w:cs="FrankRuehl" w:hint="cs"/>
                <w:sz w:val="24"/>
                <w:rtl/>
              </w:rPr>
              <w:t>איגרות חוב</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172</w:t>
            </w:r>
          </w:p>
        </w:tc>
        <w:tc>
          <w:tcPr>
            <w:tcW w:w="0" w:type="auto"/>
          </w:tcPr>
          <w:p>
            <w:pPr>
              <w:ind w:left="0" w:right="0"/>
              <w:jc w:val="both"/>
              <w:rPr>
                <w:rFonts w:cs="FrankRuehl"/>
                <w:sz w:val="24"/>
              </w:rPr>
            </w:pPr>
            <w:r>
              <w:rPr>
                <w:rFonts w:cs="FrankRuehl" w:hint="cs"/>
                <w:sz w:val="24"/>
                <w:rtl/>
              </w:rPr>
              <w:t>171</w:t>
            </w:r>
          </w:p>
        </w:tc>
        <w:tc>
          <w:tcPr>
            <w:tcW w:w="0" w:type="auto"/>
          </w:tcPr>
          <w:p>
            <w:pPr>
              <w:ind w:left="0" w:right="0"/>
              <w:jc w:val="both"/>
              <w:rPr>
                <w:rFonts w:cs="FrankRuehl"/>
                <w:sz w:val="24"/>
              </w:rPr>
            </w:pPr>
            <w:r>
              <w:rPr>
                <w:rFonts w:cs="FrankRuehl" w:hint="cs"/>
                <w:sz w:val="24"/>
                <w:rtl/>
              </w:rPr>
              <w:t>183</w:t>
            </w:r>
          </w:p>
        </w:tc>
        <w:tc>
          <w:tcPr>
            <w:tcW w:w="0" w:type="auto"/>
          </w:tcPr>
          <w:p>
            <w:pPr>
              <w:ind w:left="0" w:right="0"/>
              <w:jc w:val="both"/>
              <w:rPr>
                <w:rFonts w:cs="FrankRuehl"/>
                <w:sz w:val="24"/>
              </w:rPr>
            </w:pPr>
            <w:r>
              <w:rPr>
                <w:rFonts w:cs="FrankRuehl" w:hint="cs"/>
                <w:sz w:val="24"/>
                <w:rtl/>
              </w:rPr>
              <w:t>מניות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230</w:t>
            </w:r>
          </w:p>
        </w:tc>
        <w:tc>
          <w:tcPr>
            <w:tcW w:w="0" w:type="auto"/>
          </w:tcPr>
          <w:p>
            <w:pPr>
              <w:ind w:left="0" w:right="0"/>
              <w:jc w:val="both"/>
              <w:rPr>
                <w:rFonts w:cs="FrankRuehl"/>
                <w:sz w:val="24"/>
              </w:rPr>
            </w:pPr>
            <w:r>
              <w:rPr>
                <w:rFonts w:cs="FrankRuehl" w:hint="cs"/>
                <w:sz w:val="24"/>
                <w:rtl/>
              </w:rPr>
              <w:t>127</w:t>
            </w:r>
          </w:p>
        </w:tc>
        <w:tc>
          <w:tcPr>
            <w:tcW w:w="0" w:type="auto"/>
          </w:tcPr>
          <w:p>
            <w:pPr>
              <w:ind w:left="0" w:right="0"/>
              <w:jc w:val="both"/>
              <w:rPr>
                <w:rFonts w:cs="FrankRuehl"/>
                <w:sz w:val="24"/>
              </w:rPr>
            </w:pPr>
            <w:r>
              <w:rPr>
                <w:rFonts w:cs="FrankRuehl" w:hint="cs"/>
                <w:sz w:val="24"/>
                <w:rtl/>
              </w:rPr>
              <w:t>248</w:t>
            </w:r>
          </w:p>
        </w:tc>
        <w:tc>
          <w:tcPr>
            <w:tcW w:w="0" w:type="auto"/>
          </w:tcPr>
          <w:p>
            <w:pPr>
              <w:ind w:left="0" w:right="0"/>
              <w:jc w:val="both"/>
              <w:rPr>
                <w:rFonts w:cs="FrankRuehl"/>
                <w:sz w:val="24"/>
              </w:rPr>
            </w:pPr>
            <w:r>
              <w:rPr>
                <w:rFonts w:cs="FrankRuehl" w:hint="cs"/>
                <w:sz w:val="24"/>
                <w:rtl/>
              </w:rPr>
              <w:t>פיקדונות בבנקים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15,602</w:t>
            </w:r>
          </w:p>
        </w:tc>
        <w:tc>
          <w:tcPr>
            <w:tcW w:w="0" w:type="auto"/>
          </w:tcPr>
          <w:p>
            <w:pPr>
              <w:ind w:left="0" w:right="0"/>
              <w:jc w:val="both"/>
              <w:rPr>
                <w:rFonts w:cs="FrankRuehl"/>
                <w:b/>
                <w:bCs/>
                <w:sz w:val="24"/>
                <w:u w:val="single"/>
              </w:rPr>
            </w:pPr>
            <w:r>
              <w:rPr>
                <w:rFonts w:cs="FrankRuehl" w:hint="cs"/>
                <w:b/>
                <w:bCs/>
                <w:sz w:val="24"/>
                <w:u w:val="single"/>
                <w:rtl/>
              </w:rPr>
              <w:t>13,919</w:t>
            </w:r>
          </w:p>
        </w:tc>
        <w:tc>
          <w:tcPr>
            <w:tcW w:w="0" w:type="auto"/>
          </w:tcPr>
          <w:p>
            <w:pPr>
              <w:ind w:left="0" w:right="0"/>
              <w:jc w:val="both"/>
              <w:rPr>
                <w:rFonts w:cs="FrankRuehl"/>
                <w:b/>
                <w:bCs/>
                <w:sz w:val="24"/>
                <w:u w:val="single"/>
              </w:rPr>
            </w:pPr>
            <w:r>
              <w:rPr>
                <w:rFonts w:cs="FrankRuehl" w:hint="cs"/>
                <w:b/>
                <w:bCs/>
                <w:sz w:val="24"/>
                <w:u w:val="single"/>
                <w:rtl/>
              </w:rPr>
              <w:t>12,976</w:t>
            </w:r>
          </w:p>
        </w:tc>
        <w:tc>
          <w:tcPr>
            <w:tcW w:w="0" w:type="auto"/>
          </w:tcPr>
          <w:p>
            <w:pPr>
              <w:ind w:left="0" w:right="0"/>
              <w:jc w:val="both"/>
              <w:rPr>
                <w:rFonts w:cs="FrankRuehl"/>
                <w:b/>
                <w:bCs/>
                <w:sz w:val="24"/>
                <w:u w:val="single"/>
              </w:rPr>
            </w:pPr>
          </w:p>
        </w:tc>
      </w:tr>
    </w:tbl>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בדוחותיה הכספיים הקרן מציגה את ניירות הערך (רובם ככולם איגרות חוב) לפי שעריהם בתום שנת הכספים, על פי מידע שהיא מקבלת מהבנקים שבהם הם מופקדים. </w:t>
      </w:r>
    </w:p>
    <w:p>
      <w:pPr>
        <w:ind w:left="0" w:right="0"/>
        <w:jc w:val="both"/>
        <w:rPr>
          <w:rFonts w:cs="FrankRuehl" w:hint="cs"/>
          <w:sz w:val="24"/>
          <w:rtl/>
        </w:rPr>
      </w:pPr>
    </w:p>
    <w:p>
      <w:pPr>
        <w:ind w:left="0" w:right="0"/>
        <w:jc w:val="both"/>
        <w:rPr>
          <w:rFonts w:cs="FrankRuehl" w:hint="cs"/>
          <w:sz w:val="24"/>
          <w:rtl/>
        </w:rPr>
      </w:pPr>
      <w:r>
        <w:rPr>
          <w:rFonts w:cs="David" w:hint="cs"/>
          <w:b/>
          <w:bCs/>
          <w:spacing w:val="40"/>
          <w:sz w:val="22"/>
          <w:szCs w:val="22"/>
          <w:rtl/>
        </w:rPr>
        <w:t>השקעות בנדל"ן</w:t>
      </w:r>
      <w:r>
        <w:rPr>
          <w:rStyle w:val="FootnoteReference"/>
          <w:rFonts w:cs="FrankRuehl"/>
          <w:sz w:val="24"/>
          <w:rtl/>
        </w:rPr>
        <w:footnoteReference w:id="8"/>
      </w:r>
      <w:r>
        <w:rPr>
          <w:rFonts w:cs="FrankRuehl" w:hint="cs"/>
          <w:sz w:val="24"/>
          <w:rtl/>
        </w:rPr>
        <w:t xml:space="preserve"> - (1) בשנת 1980 רכשה הקרן דירה בארה"ב. כרבע ממחיר הרכישה שולם בידי אחד מבני משפחתם של המייסדים. הדירה נרשמה על שם הקרן, ובספרי הקרן לא נרשמה מלוא עלותה של הדירה אלא העלות שבה נשאה הקרן. לבן המשפחה שהשתתף ברכישת הדירה ניתנה הזכות להתגורר בה. בשנת 1998 הוא עזב את הדירה, והקרן החליטה למכור אותה.</w:t>
      </w:r>
    </w:p>
    <w:p>
      <w:pPr>
        <w:ind w:left="0" w:right="0"/>
        <w:jc w:val="both"/>
        <w:rPr>
          <w:rFonts w:cs="FrankRuehl" w:hint="cs"/>
          <w:sz w:val="24"/>
          <w:rtl/>
        </w:rPr>
      </w:pPr>
    </w:p>
    <w:p>
      <w:pPr>
        <w:ind w:left="0" w:right="0"/>
        <w:jc w:val="both"/>
        <w:rPr>
          <w:rFonts w:cs="FrankRuehl" w:hint="cs"/>
          <w:sz w:val="24"/>
          <w:rtl/>
        </w:rPr>
      </w:pPr>
      <w:r>
        <w:rPr>
          <w:rFonts w:cs="FrankRuehl" w:hint="cs"/>
          <w:sz w:val="24"/>
          <w:rtl/>
        </w:rPr>
        <w:t>(2) בשנים 1993, 1994 ו-1997 רכשה פרלאן בסכום כולל של 1,030,000 דולר, חלקים בשותפויות המחזיקות בארה"ב דירות המיועדות להשכרה; להשקעה אחת בסך 145,000 דולר לא נמצא אישור הנאמנים.</w:t>
      </w:r>
    </w:p>
    <w:p>
      <w:pPr>
        <w:ind w:left="0" w:right="0"/>
        <w:jc w:val="both"/>
        <w:rPr>
          <w:rFonts w:cs="FrankRuehl" w:hint="cs"/>
          <w:sz w:val="24"/>
          <w:rtl/>
        </w:rPr>
      </w:pPr>
    </w:p>
    <w:p>
      <w:pPr>
        <w:ind w:left="0" w:right="0"/>
        <w:jc w:val="both"/>
        <w:rPr>
          <w:rFonts w:cs="FrankRuehl" w:hint="cs"/>
          <w:sz w:val="24"/>
          <w:rtl/>
        </w:rPr>
      </w:pPr>
      <w:r>
        <w:rPr>
          <w:rFonts w:cs="FrankRuehl" w:hint="cs"/>
          <w:sz w:val="24"/>
          <w:rtl/>
        </w:rPr>
        <w:t xml:space="preserve">(3) על פי החלטת הנאמנים מ-19.5.90 רכשה הקרן בכ-710,000 דולר נכס ברמת גן, המיועד להשכרה. בשנת 1997 קיבלה הקרן כתרומה מבנה להשכרה בהרצליה בשווי של כ-510,000 דולר. התרומה ניתנה בתנאי שהקרן תשלם לתורמים בכל שנה - כל עוד הם בחיים - סך של 42,000 דולר. בחלק מהמבנה בהרצליה שוכנים משרדי הקרן. ההכנסות השנתיות של הקרן מהשכרת השטחים האחרים של המבנה נאמדות ב-24,000 דולר. </w:t>
      </w:r>
    </w:p>
    <w:p>
      <w:pPr>
        <w:ind w:left="0" w:right="0"/>
        <w:jc w:val="both"/>
        <w:rPr>
          <w:rFonts w:cs="FrankRuehl" w:hint="cs"/>
          <w:sz w:val="24"/>
          <w:rtl/>
        </w:rPr>
      </w:pPr>
    </w:p>
    <w:p>
      <w:pPr>
        <w:ind w:left="0" w:right="0"/>
        <w:jc w:val="both"/>
        <w:rPr>
          <w:rFonts w:cs="FrankRuehl" w:hint="cs"/>
          <w:sz w:val="24"/>
          <w:rtl/>
        </w:rPr>
      </w:pPr>
      <w:r>
        <w:rPr>
          <w:rFonts w:cs="FrankRuehl" w:hint="cs"/>
          <w:sz w:val="24"/>
          <w:rtl/>
        </w:rPr>
        <w:t>(4) בשנת 1996 הגיעו הכנסות הקרן מההשקעה בשותפויות בארה"ב לכ-109,300 דולר (תשואה של 14.6%) ובשנת 1997 לכ-100,600 דולר (תשואה של 12.3%); הנכס להשכרה ברמת גן הניב בשנת 54,100 1996 דולר (תשואה של 7.6%) ובשנת 1997 כ-63,900 דולר (תשואה של 9%).</w:t>
        <w:br w:type="page"/>
      </w:r>
    </w:p>
    <w:p>
      <w:pPr>
        <w:ind w:left="0" w:right="0"/>
        <w:jc w:val="both"/>
        <w:rPr>
          <w:rFonts w:cs="FrankRuehl" w:hint="cs"/>
          <w:sz w:val="24"/>
          <w:rtl/>
        </w:rPr>
      </w:pPr>
      <w:r>
        <w:rPr>
          <w:rFonts w:cs="FrankRuehl" w:hint="cs"/>
          <w:sz w:val="24"/>
          <w:rtl/>
        </w:rPr>
        <w:t>ב. להלן הדוחות התוצאתיים המאוחדים של קרן וולף וחברת פרלאן לשנים 1995-1997:</w:t>
      </w:r>
    </w:p>
    <w:p>
      <w:pPr>
        <w:ind w:left="0" w:right="0"/>
        <w:jc w:val="both"/>
        <w:rPr>
          <w:rFonts w:cs="FrankRuehl" w:hint="cs"/>
          <w:sz w:val="24"/>
          <w:rtl/>
        </w:rPr>
      </w:pPr>
    </w:p>
    <w:tbl>
      <w:tblPr>
        <w:jc w:val="center"/>
        <w:tblInd w:w="0" w:type="dxa"/>
        <w:tblCellMar>
          <w:top w:w="0" w:type="dxa"/>
          <w:left w:w="108" w:type="dxa"/>
          <w:bottom w:w="0" w:type="dxa"/>
          <w:right w:w="108" w:type="dxa"/>
        </w:tblCellMar>
        <w:tblLook w:val="0000"/>
      </w:tblPr>
      <w:tblGrid>
        <w:gridCol w:w="320"/>
        <w:gridCol w:w="320"/>
        <w:gridCol w:w="320"/>
        <w:gridCol w:w="480"/>
      </w:tblGrid>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center"/>
              <w:rPr>
                <w:rFonts w:cs="FrankRuehl"/>
                <w:b/>
                <w:bCs/>
                <w:sz w:val="24"/>
                <w:u w:val="single"/>
              </w:rPr>
            </w:pPr>
            <w:r>
              <w:rPr>
                <w:rFonts w:cs="FrankRuehl" w:hint="cs"/>
                <w:b/>
                <w:bCs/>
                <w:sz w:val="24"/>
                <w:u w:val="single"/>
                <w:rtl/>
              </w:rPr>
              <w:t>1995</w:t>
            </w:r>
          </w:p>
        </w:tc>
        <w:tc>
          <w:tcPr>
            <w:tcW w:w="0" w:type="auto"/>
          </w:tcPr>
          <w:p>
            <w:pPr>
              <w:ind w:left="0" w:right="0"/>
              <w:jc w:val="center"/>
              <w:rPr>
                <w:rFonts w:cs="FrankRuehl"/>
                <w:b/>
                <w:bCs/>
                <w:sz w:val="24"/>
                <w:u w:val="single"/>
              </w:rPr>
            </w:pPr>
            <w:r>
              <w:rPr>
                <w:rFonts w:cs="FrankRuehl" w:hint="cs"/>
                <w:b/>
                <w:bCs/>
                <w:sz w:val="24"/>
                <w:u w:val="single"/>
                <w:rtl/>
              </w:rPr>
              <w:t>1996</w:t>
            </w:r>
          </w:p>
        </w:tc>
        <w:tc>
          <w:tcPr>
            <w:tcW w:w="0" w:type="auto"/>
          </w:tcPr>
          <w:p>
            <w:pPr>
              <w:ind w:left="0" w:right="0"/>
              <w:jc w:val="center"/>
              <w:rPr>
                <w:rFonts w:cs="FrankRuehl"/>
                <w:b/>
                <w:bCs/>
                <w:sz w:val="24"/>
                <w:u w:val="single"/>
              </w:rPr>
            </w:pPr>
            <w:r>
              <w:rPr>
                <w:rFonts w:cs="FrankRuehl" w:hint="cs"/>
                <w:b/>
                <w:bCs/>
                <w:sz w:val="24"/>
                <w:u w:val="single"/>
                <w:rtl/>
              </w:rPr>
              <w:t>1997</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gridSpan w:val="3"/>
          </w:tcPr>
          <w:p>
            <w:pPr>
              <w:ind w:left="0" w:right="0"/>
              <w:jc w:val="center"/>
              <w:rPr>
                <w:rFonts w:cs="FrankRuehl"/>
                <w:b/>
                <w:bCs/>
                <w:sz w:val="24"/>
                <w:u w:val="single"/>
              </w:rPr>
            </w:pPr>
            <w:r>
              <w:rPr>
                <w:rFonts w:cs="FrankRuehl" w:hint="cs"/>
                <w:b/>
                <w:bCs/>
                <w:sz w:val="24"/>
                <w:u w:val="single"/>
                <w:rtl/>
              </w:rPr>
              <w:t>(אלפי דולרים)</w:t>
            </w:r>
          </w:p>
        </w:tc>
        <w:tc>
          <w:tcPr>
            <w:tcW w:w="0" w:type="auto"/>
          </w:tcPr>
          <w:p>
            <w:pPr>
              <w:ind w:left="0" w:right="0"/>
              <w:jc w:val="center"/>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r>
              <w:rPr>
                <w:rFonts w:cs="FrankRuehl" w:hint="cs"/>
                <w:b/>
                <w:bCs/>
                <w:sz w:val="24"/>
                <w:rtl/>
              </w:rPr>
              <w:t>הכנסות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1,020</w:t>
            </w:r>
          </w:p>
        </w:tc>
        <w:tc>
          <w:tcPr>
            <w:tcW w:w="0" w:type="auto"/>
          </w:tcPr>
          <w:p>
            <w:pPr>
              <w:ind w:left="0" w:right="0"/>
              <w:jc w:val="both"/>
              <w:rPr>
                <w:rFonts w:cs="FrankRuehl"/>
                <w:sz w:val="24"/>
              </w:rPr>
            </w:pPr>
            <w:r>
              <w:rPr>
                <w:rFonts w:cs="FrankRuehl" w:hint="cs"/>
                <w:sz w:val="24"/>
                <w:rtl/>
              </w:rPr>
              <w:t>939</w:t>
            </w:r>
          </w:p>
        </w:tc>
        <w:tc>
          <w:tcPr>
            <w:tcW w:w="0" w:type="auto"/>
          </w:tcPr>
          <w:p>
            <w:pPr>
              <w:ind w:left="0" w:right="0"/>
              <w:jc w:val="both"/>
              <w:rPr>
                <w:rFonts w:cs="FrankRuehl"/>
                <w:sz w:val="24"/>
              </w:rPr>
            </w:pPr>
            <w:r>
              <w:rPr>
                <w:rFonts w:cs="FrankRuehl" w:hint="cs"/>
                <w:sz w:val="24"/>
                <w:rtl/>
              </w:rPr>
              <w:t>904</w:t>
            </w:r>
          </w:p>
        </w:tc>
        <w:tc>
          <w:tcPr>
            <w:tcW w:w="0" w:type="auto"/>
          </w:tcPr>
          <w:p>
            <w:pPr>
              <w:ind w:left="0" w:right="0"/>
              <w:jc w:val="both"/>
              <w:rPr>
                <w:rFonts w:cs="FrankRuehl"/>
                <w:sz w:val="24"/>
              </w:rPr>
            </w:pPr>
            <w:r>
              <w:rPr>
                <w:rFonts w:cs="FrankRuehl" w:hint="cs"/>
                <w:sz w:val="24"/>
                <w:rtl/>
              </w:rPr>
              <w:t>מניירות ערך</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83</w:t>
            </w:r>
          </w:p>
        </w:tc>
        <w:tc>
          <w:tcPr>
            <w:tcW w:w="0" w:type="auto"/>
          </w:tcPr>
          <w:p>
            <w:pPr>
              <w:ind w:left="0" w:right="0"/>
              <w:jc w:val="both"/>
              <w:rPr>
                <w:rFonts w:cs="FrankRuehl"/>
                <w:sz w:val="24"/>
              </w:rPr>
            </w:pPr>
            <w:r>
              <w:rPr>
                <w:rFonts w:cs="FrankRuehl" w:hint="cs"/>
                <w:sz w:val="24"/>
                <w:rtl/>
              </w:rPr>
              <w:t>107</w:t>
            </w:r>
          </w:p>
        </w:tc>
        <w:tc>
          <w:tcPr>
            <w:tcW w:w="0" w:type="auto"/>
          </w:tcPr>
          <w:p>
            <w:pPr>
              <w:ind w:left="0" w:right="0"/>
              <w:jc w:val="both"/>
              <w:rPr>
                <w:rFonts w:cs="FrankRuehl"/>
                <w:sz w:val="24"/>
              </w:rPr>
            </w:pPr>
            <w:r>
              <w:rPr>
                <w:rFonts w:cs="FrankRuehl" w:hint="cs"/>
                <w:sz w:val="24"/>
                <w:rtl/>
              </w:rPr>
              <w:t>165</w:t>
            </w:r>
          </w:p>
        </w:tc>
        <w:tc>
          <w:tcPr>
            <w:tcW w:w="0" w:type="auto"/>
          </w:tcPr>
          <w:p>
            <w:pPr>
              <w:ind w:left="0" w:right="0"/>
              <w:jc w:val="both"/>
              <w:rPr>
                <w:rFonts w:cs="FrankRuehl"/>
                <w:sz w:val="24"/>
              </w:rPr>
            </w:pPr>
            <w:r>
              <w:rPr>
                <w:rFonts w:cs="FrankRuehl" w:hint="cs"/>
                <w:sz w:val="24"/>
                <w:rtl/>
              </w:rPr>
              <w:t>מהשקעות במקרקעין</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3</w:t>
            </w:r>
          </w:p>
        </w:tc>
        <w:tc>
          <w:tcPr>
            <w:tcW w:w="0" w:type="auto"/>
          </w:tcPr>
          <w:p>
            <w:pPr>
              <w:ind w:left="0" w:right="0"/>
              <w:jc w:val="both"/>
              <w:rPr>
                <w:rFonts w:cs="FrankRuehl"/>
                <w:sz w:val="24"/>
              </w:rPr>
            </w:pPr>
            <w:r>
              <w:rPr>
                <w:rFonts w:cs="FrankRuehl" w:hint="cs"/>
                <w:sz w:val="24"/>
                <w:rtl/>
              </w:rPr>
              <w:t>7</w:t>
            </w:r>
          </w:p>
        </w:tc>
        <w:tc>
          <w:tcPr>
            <w:tcW w:w="0" w:type="auto"/>
          </w:tcPr>
          <w:p>
            <w:pPr>
              <w:ind w:left="0" w:right="0"/>
              <w:jc w:val="both"/>
              <w:rPr>
                <w:rFonts w:cs="FrankRuehl"/>
                <w:sz w:val="24"/>
              </w:rPr>
            </w:pPr>
            <w:r>
              <w:rPr>
                <w:rFonts w:cs="FrankRuehl" w:hint="cs"/>
                <w:sz w:val="24"/>
                <w:rtl/>
              </w:rPr>
              <w:t>5</w:t>
            </w:r>
          </w:p>
        </w:tc>
        <w:tc>
          <w:tcPr>
            <w:tcW w:w="0" w:type="auto"/>
          </w:tcPr>
          <w:p>
            <w:pPr>
              <w:ind w:left="0" w:right="0"/>
              <w:jc w:val="both"/>
              <w:rPr>
                <w:rFonts w:cs="FrankRuehl"/>
                <w:sz w:val="24"/>
              </w:rPr>
            </w:pPr>
            <w:r>
              <w:rPr>
                <w:rFonts w:cs="FrankRuehl" w:hint="cs"/>
                <w:sz w:val="24"/>
                <w:rtl/>
              </w:rPr>
              <w:t>אחרות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(130)</w:t>
            </w:r>
          </w:p>
        </w:tc>
        <w:tc>
          <w:tcPr>
            <w:tcW w:w="0" w:type="auto"/>
          </w:tcPr>
          <w:p>
            <w:pPr>
              <w:ind w:left="0" w:right="0"/>
              <w:jc w:val="both"/>
              <w:rPr>
                <w:rFonts w:cs="FrankRuehl"/>
                <w:sz w:val="24"/>
              </w:rPr>
            </w:pPr>
            <w:r>
              <w:rPr>
                <w:rFonts w:cs="FrankRuehl" w:hint="cs"/>
                <w:sz w:val="24"/>
                <w:rtl/>
              </w:rPr>
              <w:t>(146)</w:t>
            </w:r>
          </w:p>
        </w:tc>
        <w:tc>
          <w:tcPr>
            <w:tcW w:w="0" w:type="auto"/>
          </w:tcPr>
          <w:p>
            <w:pPr>
              <w:ind w:left="0" w:right="0"/>
              <w:jc w:val="both"/>
              <w:rPr>
                <w:rFonts w:cs="FrankRuehl"/>
                <w:sz w:val="24"/>
              </w:rPr>
            </w:pPr>
            <w:r>
              <w:rPr>
                <w:rFonts w:cs="FrankRuehl" w:hint="cs"/>
                <w:sz w:val="24"/>
                <w:rtl/>
              </w:rPr>
              <w:t>(119)</w:t>
            </w:r>
          </w:p>
        </w:tc>
        <w:tc>
          <w:tcPr>
            <w:tcW w:w="0" w:type="auto"/>
          </w:tcPr>
          <w:p>
            <w:pPr>
              <w:ind w:left="0" w:right="0"/>
              <w:jc w:val="both"/>
              <w:rPr>
                <w:rFonts w:cs="FrankRuehl"/>
                <w:sz w:val="24"/>
              </w:rPr>
            </w:pPr>
            <w:r>
              <w:rPr>
                <w:rFonts w:cs="FrankRuehl" w:hint="cs"/>
                <w:sz w:val="24"/>
                <w:rtl/>
              </w:rPr>
              <w:t>בניכוי תשלומים למשפחה*</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976</w:t>
            </w:r>
          </w:p>
        </w:tc>
        <w:tc>
          <w:tcPr>
            <w:tcW w:w="0" w:type="auto"/>
          </w:tcPr>
          <w:p>
            <w:pPr>
              <w:ind w:left="0" w:right="0"/>
              <w:jc w:val="both"/>
              <w:rPr>
                <w:rFonts w:cs="FrankRuehl"/>
                <w:b/>
                <w:bCs/>
                <w:sz w:val="24"/>
                <w:u w:val="single"/>
              </w:rPr>
            </w:pPr>
            <w:r>
              <w:rPr>
                <w:rFonts w:cs="FrankRuehl" w:hint="cs"/>
                <w:b/>
                <w:bCs/>
                <w:sz w:val="24"/>
                <w:u w:val="single"/>
                <w:rtl/>
              </w:rPr>
              <w:t>907</w:t>
            </w:r>
          </w:p>
        </w:tc>
        <w:tc>
          <w:tcPr>
            <w:tcW w:w="0" w:type="auto"/>
          </w:tcPr>
          <w:p>
            <w:pPr>
              <w:ind w:left="0" w:right="0"/>
              <w:jc w:val="both"/>
              <w:rPr>
                <w:rFonts w:cs="FrankRuehl"/>
                <w:b/>
                <w:bCs/>
                <w:sz w:val="24"/>
                <w:u w:val="single"/>
              </w:rPr>
            </w:pPr>
            <w:r>
              <w:rPr>
                <w:rFonts w:cs="FrankRuehl" w:hint="cs"/>
                <w:b/>
                <w:bCs/>
                <w:sz w:val="24"/>
                <w:u w:val="single"/>
                <w:rtl/>
              </w:rPr>
              <w:t>955</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r>
              <w:rPr>
                <w:rFonts w:cs="FrankRuehl" w:hint="cs"/>
                <w:b/>
                <w:bCs/>
                <w:sz w:val="24"/>
                <w:rtl/>
              </w:rPr>
              <w:t>הוצאות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89</w:t>
            </w:r>
          </w:p>
        </w:tc>
        <w:tc>
          <w:tcPr>
            <w:tcW w:w="0" w:type="auto"/>
          </w:tcPr>
          <w:p>
            <w:pPr>
              <w:ind w:left="0" w:right="0"/>
              <w:jc w:val="both"/>
              <w:rPr>
                <w:rFonts w:cs="FrankRuehl"/>
                <w:sz w:val="24"/>
              </w:rPr>
            </w:pPr>
            <w:r>
              <w:rPr>
                <w:rFonts w:cs="FrankRuehl" w:hint="cs"/>
                <w:sz w:val="24"/>
                <w:rtl/>
              </w:rPr>
              <w:t>100</w:t>
            </w:r>
          </w:p>
        </w:tc>
        <w:tc>
          <w:tcPr>
            <w:tcW w:w="0" w:type="auto"/>
          </w:tcPr>
          <w:p>
            <w:pPr>
              <w:ind w:left="0" w:right="0"/>
              <w:jc w:val="both"/>
              <w:rPr>
                <w:rFonts w:cs="FrankRuehl"/>
                <w:sz w:val="24"/>
              </w:rPr>
            </w:pPr>
            <w:r>
              <w:rPr>
                <w:rFonts w:cs="FrankRuehl" w:hint="cs"/>
                <w:sz w:val="24"/>
                <w:rtl/>
              </w:rPr>
              <w:t>97</w:t>
            </w:r>
          </w:p>
        </w:tc>
        <w:tc>
          <w:tcPr>
            <w:tcW w:w="0" w:type="auto"/>
          </w:tcPr>
          <w:p>
            <w:pPr>
              <w:ind w:left="0" w:right="0"/>
              <w:jc w:val="both"/>
              <w:rPr>
                <w:rFonts w:cs="FrankRuehl"/>
                <w:sz w:val="24"/>
              </w:rPr>
            </w:pPr>
            <w:r>
              <w:rPr>
                <w:rFonts w:cs="FrankRuehl" w:hint="cs"/>
                <w:sz w:val="24"/>
                <w:rtl/>
              </w:rPr>
              <w:t>שכר ונלוות**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20</w:t>
            </w:r>
          </w:p>
        </w:tc>
        <w:tc>
          <w:tcPr>
            <w:tcW w:w="0" w:type="auto"/>
          </w:tcPr>
          <w:p>
            <w:pPr>
              <w:ind w:left="0" w:right="0"/>
              <w:jc w:val="both"/>
              <w:rPr>
                <w:rFonts w:cs="FrankRuehl"/>
                <w:sz w:val="24"/>
              </w:rPr>
            </w:pPr>
            <w:r>
              <w:rPr>
                <w:rFonts w:cs="FrankRuehl" w:hint="cs"/>
                <w:sz w:val="24"/>
                <w:rtl/>
              </w:rPr>
              <w:t>20</w:t>
            </w:r>
          </w:p>
        </w:tc>
        <w:tc>
          <w:tcPr>
            <w:tcW w:w="0" w:type="auto"/>
          </w:tcPr>
          <w:p>
            <w:pPr>
              <w:ind w:left="0" w:right="0"/>
              <w:jc w:val="both"/>
              <w:rPr>
                <w:rFonts w:cs="FrankRuehl"/>
                <w:sz w:val="24"/>
              </w:rPr>
            </w:pPr>
            <w:r>
              <w:rPr>
                <w:rFonts w:cs="FrankRuehl" w:hint="cs"/>
                <w:sz w:val="24"/>
                <w:rtl/>
              </w:rPr>
              <w:t>16</w:t>
            </w:r>
          </w:p>
        </w:tc>
        <w:tc>
          <w:tcPr>
            <w:tcW w:w="0" w:type="auto"/>
          </w:tcPr>
          <w:p>
            <w:pPr>
              <w:ind w:left="0" w:right="0"/>
              <w:jc w:val="both"/>
              <w:rPr>
                <w:rFonts w:cs="FrankRuehl"/>
                <w:sz w:val="24"/>
              </w:rPr>
            </w:pPr>
            <w:r>
              <w:rPr>
                <w:rFonts w:cs="FrankRuehl" w:hint="cs"/>
                <w:sz w:val="24"/>
                <w:rtl/>
              </w:rPr>
              <w:t>ועדות פרסים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w:t>
            </w:r>
          </w:p>
        </w:tc>
        <w:tc>
          <w:tcPr>
            <w:tcW w:w="0" w:type="auto"/>
          </w:tcPr>
          <w:p>
            <w:pPr>
              <w:ind w:left="0" w:right="0"/>
              <w:jc w:val="both"/>
              <w:rPr>
                <w:rFonts w:cs="FrankRuehl"/>
                <w:sz w:val="24"/>
              </w:rPr>
            </w:pPr>
            <w:r>
              <w:rPr>
                <w:rFonts w:cs="FrankRuehl" w:hint="cs"/>
                <w:sz w:val="24"/>
                <w:rtl/>
              </w:rPr>
              <w:t>14</w:t>
            </w:r>
          </w:p>
        </w:tc>
        <w:tc>
          <w:tcPr>
            <w:tcW w:w="0" w:type="auto"/>
          </w:tcPr>
          <w:p>
            <w:pPr>
              <w:ind w:left="0" w:right="0"/>
              <w:jc w:val="both"/>
              <w:rPr>
                <w:rFonts w:cs="FrankRuehl"/>
                <w:sz w:val="24"/>
              </w:rPr>
            </w:pPr>
            <w:r>
              <w:rPr>
                <w:rFonts w:cs="FrankRuehl" w:hint="cs"/>
                <w:sz w:val="24"/>
                <w:rtl/>
              </w:rPr>
              <w:t>11</w:t>
            </w:r>
          </w:p>
        </w:tc>
        <w:tc>
          <w:tcPr>
            <w:tcW w:w="0" w:type="auto"/>
          </w:tcPr>
          <w:p>
            <w:pPr>
              <w:ind w:left="0" w:right="0"/>
              <w:jc w:val="both"/>
              <w:rPr>
                <w:rFonts w:cs="FrankRuehl"/>
                <w:sz w:val="24"/>
              </w:rPr>
            </w:pPr>
            <w:r>
              <w:rPr>
                <w:rFonts w:cs="FrankRuehl" w:hint="cs"/>
                <w:sz w:val="24"/>
                <w:rtl/>
              </w:rPr>
              <w:t>יחסי ציבור</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19</w:t>
            </w:r>
          </w:p>
        </w:tc>
        <w:tc>
          <w:tcPr>
            <w:tcW w:w="0" w:type="auto"/>
          </w:tcPr>
          <w:p>
            <w:pPr>
              <w:ind w:left="0" w:right="0"/>
              <w:jc w:val="both"/>
              <w:rPr>
                <w:rFonts w:cs="FrankRuehl"/>
                <w:sz w:val="24"/>
              </w:rPr>
            </w:pPr>
            <w:r>
              <w:rPr>
                <w:rFonts w:cs="FrankRuehl" w:hint="cs"/>
                <w:sz w:val="24"/>
                <w:rtl/>
              </w:rPr>
              <w:t>20</w:t>
            </w:r>
          </w:p>
        </w:tc>
        <w:tc>
          <w:tcPr>
            <w:tcW w:w="0" w:type="auto"/>
          </w:tcPr>
          <w:p>
            <w:pPr>
              <w:ind w:left="0" w:right="0"/>
              <w:jc w:val="both"/>
              <w:rPr>
                <w:rFonts w:cs="FrankRuehl"/>
                <w:sz w:val="24"/>
              </w:rPr>
            </w:pPr>
            <w:r>
              <w:rPr>
                <w:rFonts w:cs="FrankRuehl" w:hint="cs"/>
                <w:sz w:val="24"/>
                <w:rtl/>
              </w:rPr>
              <w:t>20</w:t>
            </w:r>
          </w:p>
        </w:tc>
        <w:tc>
          <w:tcPr>
            <w:tcW w:w="0" w:type="auto"/>
          </w:tcPr>
          <w:p>
            <w:pPr>
              <w:ind w:left="0" w:right="0"/>
              <w:jc w:val="both"/>
              <w:rPr>
                <w:rFonts w:cs="FrankRuehl"/>
                <w:sz w:val="24"/>
              </w:rPr>
            </w:pPr>
            <w:r>
              <w:rPr>
                <w:rFonts w:cs="FrankRuehl" w:hint="cs"/>
                <w:sz w:val="24"/>
                <w:rtl/>
              </w:rPr>
              <w:t>משרדיות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11</w:t>
            </w:r>
          </w:p>
        </w:tc>
        <w:tc>
          <w:tcPr>
            <w:tcW w:w="0" w:type="auto"/>
          </w:tcPr>
          <w:p>
            <w:pPr>
              <w:ind w:left="0" w:right="0"/>
              <w:jc w:val="both"/>
              <w:rPr>
                <w:rFonts w:cs="FrankRuehl"/>
                <w:sz w:val="24"/>
              </w:rPr>
            </w:pPr>
            <w:r>
              <w:rPr>
                <w:rFonts w:cs="FrankRuehl" w:hint="cs"/>
                <w:sz w:val="24"/>
                <w:rtl/>
              </w:rPr>
              <w:t>11</w:t>
            </w:r>
          </w:p>
        </w:tc>
        <w:tc>
          <w:tcPr>
            <w:tcW w:w="0" w:type="auto"/>
          </w:tcPr>
          <w:p>
            <w:pPr>
              <w:ind w:left="0" w:right="0"/>
              <w:jc w:val="both"/>
              <w:rPr>
                <w:rFonts w:cs="FrankRuehl"/>
                <w:sz w:val="24"/>
              </w:rPr>
            </w:pPr>
            <w:r>
              <w:rPr>
                <w:rFonts w:cs="FrankRuehl" w:hint="cs"/>
                <w:sz w:val="24"/>
                <w:rtl/>
              </w:rPr>
              <w:t>11</w:t>
            </w:r>
          </w:p>
        </w:tc>
        <w:tc>
          <w:tcPr>
            <w:tcW w:w="0" w:type="auto"/>
          </w:tcPr>
          <w:p>
            <w:pPr>
              <w:ind w:left="0" w:right="0"/>
              <w:jc w:val="both"/>
              <w:rPr>
                <w:rFonts w:cs="FrankRuehl"/>
                <w:sz w:val="24"/>
              </w:rPr>
            </w:pPr>
            <w:r>
              <w:rPr>
                <w:rFonts w:cs="FrankRuehl" w:hint="cs"/>
                <w:sz w:val="24"/>
                <w:rtl/>
              </w:rPr>
              <w:t>שכירת משרדים***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12</w:t>
            </w:r>
          </w:p>
        </w:tc>
        <w:tc>
          <w:tcPr>
            <w:tcW w:w="0" w:type="auto"/>
          </w:tcPr>
          <w:p>
            <w:pPr>
              <w:ind w:left="0" w:right="0"/>
              <w:jc w:val="both"/>
              <w:rPr>
                <w:rFonts w:cs="FrankRuehl"/>
                <w:sz w:val="24"/>
              </w:rPr>
            </w:pPr>
            <w:r>
              <w:rPr>
                <w:rFonts w:cs="FrankRuehl" w:hint="cs"/>
                <w:sz w:val="24"/>
                <w:rtl/>
              </w:rPr>
              <w:t>16</w:t>
            </w:r>
          </w:p>
        </w:tc>
        <w:tc>
          <w:tcPr>
            <w:tcW w:w="0" w:type="auto"/>
          </w:tcPr>
          <w:p>
            <w:pPr>
              <w:ind w:left="0" w:right="0"/>
              <w:jc w:val="both"/>
              <w:rPr>
                <w:rFonts w:cs="FrankRuehl"/>
                <w:sz w:val="24"/>
              </w:rPr>
            </w:pPr>
            <w:r>
              <w:rPr>
                <w:rFonts w:cs="FrankRuehl" w:hint="cs"/>
                <w:sz w:val="24"/>
                <w:rtl/>
              </w:rPr>
              <w:t>11</w:t>
            </w:r>
          </w:p>
        </w:tc>
        <w:tc>
          <w:tcPr>
            <w:tcW w:w="0" w:type="auto"/>
          </w:tcPr>
          <w:p>
            <w:pPr>
              <w:ind w:left="0" w:right="0"/>
              <w:jc w:val="both"/>
              <w:rPr>
                <w:rFonts w:cs="FrankRuehl"/>
                <w:sz w:val="24"/>
              </w:rPr>
            </w:pPr>
            <w:r>
              <w:rPr>
                <w:rFonts w:cs="FrankRuehl" w:hint="cs"/>
                <w:sz w:val="24"/>
                <w:rtl/>
              </w:rPr>
              <w:t>אחרות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152</w:t>
            </w:r>
          </w:p>
        </w:tc>
        <w:tc>
          <w:tcPr>
            <w:tcW w:w="0" w:type="auto"/>
          </w:tcPr>
          <w:p>
            <w:pPr>
              <w:ind w:left="0" w:right="0"/>
              <w:jc w:val="both"/>
              <w:rPr>
                <w:rFonts w:cs="FrankRuehl"/>
                <w:b/>
                <w:bCs/>
                <w:sz w:val="24"/>
                <w:u w:val="single"/>
              </w:rPr>
            </w:pPr>
            <w:r>
              <w:rPr>
                <w:rFonts w:cs="FrankRuehl" w:hint="cs"/>
                <w:b/>
                <w:bCs/>
                <w:sz w:val="24"/>
                <w:u w:val="single"/>
                <w:rtl/>
              </w:rPr>
              <w:t>181</w:t>
            </w:r>
          </w:p>
        </w:tc>
        <w:tc>
          <w:tcPr>
            <w:tcW w:w="0" w:type="auto"/>
          </w:tcPr>
          <w:p>
            <w:pPr>
              <w:ind w:left="0" w:right="0"/>
              <w:jc w:val="both"/>
              <w:rPr>
                <w:rFonts w:cs="FrankRuehl"/>
                <w:b/>
                <w:bCs/>
                <w:sz w:val="24"/>
                <w:u w:val="single"/>
              </w:rPr>
            </w:pPr>
            <w:r>
              <w:rPr>
                <w:rFonts w:cs="FrankRuehl" w:hint="cs"/>
                <w:b/>
                <w:bCs/>
                <w:sz w:val="24"/>
                <w:u w:val="single"/>
                <w:rtl/>
              </w:rPr>
              <w:t>166</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824</w:t>
            </w:r>
          </w:p>
        </w:tc>
        <w:tc>
          <w:tcPr>
            <w:tcW w:w="0" w:type="auto"/>
          </w:tcPr>
          <w:p>
            <w:pPr>
              <w:ind w:left="0" w:right="0"/>
              <w:jc w:val="both"/>
              <w:rPr>
                <w:rFonts w:cs="FrankRuehl"/>
                <w:sz w:val="24"/>
              </w:rPr>
            </w:pPr>
            <w:r>
              <w:rPr>
                <w:rFonts w:cs="FrankRuehl" w:hint="cs"/>
                <w:sz w:val="24"/>
                <w:rtl/>
              </w:rPr>
              <w:t>726</w:t>
            </w:r>
          </w:p>
        </w:tc>
        <w:tc>
          <w:tcPr>
            <w:tcW w:w="0" w:type="auto"/>
          </w:tcPr>
          <w:p>
            <w:pPr>
              <w:ind w:left="0" w:right="0"/>
              <w:jc w:val="both"/>
              <w:rPr>
                <w:rFonts w:cs="FrankRuehl"/>
                <w:sz w:val="24"/>
              </w:rPr>
            </w:pPr>
            <w:r>
              <w:rPr>
                <w:rFonts w:cs="FrankRuehl" w:hint="cs"/>
                <w:sz w:val="24"/>
                <w:rtl/>
              </w:rPr>
              <w:t>789</w:t>
            </w:r>
          </w:p>
        </w:tc>
        <w:tc>
          <w:tcPr>
            <w:tcW w:w="0" w:type="auto"/>
          </w:tcPr>
          <w:p>
            <w:pPr>
              <w:ind w:left="0" w:right="0"/>
              <w:jc w:val="both"/>
              <w:rPr>
                <w:rFonts w:cs="FrankRuehl"/>
                <w:sz w:val="24"/>
              </w:rPr>
            </w:pPr>
            <w:r>
              <w:rPr>
                <w:rFonts w:cs="FrankRuehl" w:hint="cs"/>
                <w:sz w:val="24"/>
                <w:rtl/>
              </w:rPr>
              <w:t>עודף הכנסות על הוצאות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r>
              <w:rPr>
                <w:rFonts w:cs="FrankRuehl" w:hint="cs"/>
                <w:b/>
                <w:bCs/>
                <w:sz w:val="24"/>
                <w:rtl/>
              </w:rPr>
              <w:t>פעולות לעידוד המדע והאמנות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656</w:t>
            </w:r>
          </w:p>
        </w:tc>
        <w:tc>
          <w:tcPr>
            <w:tcW w:w="0" w:type="auto"/>
          </w:tcPr>
          <w:p>
            <w:pPr>
              <w:ind w:left="0" w:right="0"/>
              <w:jc w:val="both"/>
              <w:rPr>
                <w:rFonts w:cs="FrankRuehl"/>
                <w:sz w:val="24"/>
              </w:rPr>
            </w:pPr>
            <w:r>
              <w:rPr>
                <w:rFonts w:cs="FrankRuehl" w:hint="cs"/>
                <w:sz w:val="24"/>
                <w:rtl/>
              </w:rPr>
              <w:t>540</w:t>
            </w:r>
          </w:p>
        </w:tc>
        <w:tc>
          <w:tcPr>
            <w:tcW w:w="0" w:type="auto"/>
          </w:tcPr>
          <w:p>
            <w:pPr>
              <w:ind w:left="0" w:right="0"/>
              <w:jc w:val="both"/>
              <w:rPr>
                <w:rFonts w:cs="FrankRuehl"/>
                <w:sz w:val="24"/>
              </w:rPr>
            </w:pPr>
            <w:r>
              <w:rPr>
                <w:rFonts w:cs="FrankRuehl" w:hint="cs"/>
                <w:sz w:val="24"/>
                <w:rtl/>
              </w:rPr>
              <w:t>546</w:t>
            </w:r>
          </w:p>
        </w:tc>
        <w:tc>
          <w:tcPr>
            <w:tcW w:w="0" w:type="auto"/>
          </w:tcPr>
          <w:p>
            <w:pPr>
              <w:ind w:left="0" w:right="0"/>
              <w:jc w:val="both"/>
              <w:rPr>
                <w:rFonts w:cs="FrankRuehl"/>
                <w:sz w:val="24"/>
              </w:rPr>
            </w:pPr>
            <w:r>
              <w:rPr>
                <w:rFonts w:cs="FrankRuehl" w:hint="cs"/>
                <w:sz w:val="24"/>
                <w:rtl/>
              </w:rPr>
              <w:t>פרסים</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145</w:t>
            </w:r>
          </w:p>
        </w:tc>
        <w:tc>
          <w:tcPr>
            <w:tcW w:w="0" w:type="auto"/>
          </w:tcPr>
          <w:p>
            <w:pPr>
              <w:ind w:left="0" w:right="0"/>
              <w:jc w:val="both"/>
              <w:rPr>
                <w:rFonts w:cs="FrankRuehl"/>
                <w:sz w:val="24"/>
              </w:rPr>
            </w:pPr>
            <w:r>
              <w:rPr>
                <w:rFonts w:cs="FrankRuehl" w:hint="cs"/>
                <w:sz w:val="24"/>
                <w:rtl/>
              </w:rPr>
              <w:t>133</w:t>
            </w:r>
          </w:p>
        </w:tc>
        <w:tc>
          <w:tcPr>
            <w:tcW w:w="0" w:type="auto"/>
          </w:tcPr>
          <w:p>
            <w:pPr>
              <w:ind w:left="0" w:right="0"/>
              <w:jc w:val="both"/>
              <w:rPr>
                <w:rFonts w:cs="FrankRuehl"/>
                <w:sz w:val="24"/>
              </w:rPr>
            </w:pPr>
            <w:r>
              <w:rPr>
                <w:rFonts w:cs="FrankRuehl" w:hint="cs"/>
                <w:sz w:val="24"/>
                <w:rtl/>
              </w:rPr>
              <w:t>138</w:t>
            </w:r>
          </w:p>
        </w:tc>
        <w:tc>
          <w:tcPr>
            <w:tcW w:w="0" w:type="auto"/>
          </w:tcPr>
          <w:p>
            <w:pPr>
              <w:ind w:left="0" w:right="0"/>
              <w:jc w:val="both"/>
              <w:rPr>
                <w:rFonts w:cs="FrankRuehl"/>
                <w:sz w:val="24"/>
              </w:rPr>
            </w:pPr>
            <w:r>
              <w:rPr>
                <w:rFonts w:cs="FrankRuehl" w:hint="cs"/>
                <w:sz w:val="24"/>
                <w:rtl/>
              </w:rPr>
              <w:t>מלגות ומענקי מחקר</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p>
        </w:tc>
        <w:tc>
          <w:tcPr>
            <w:tcW w:w="0" w:type="auto"/>
          </w:tcPr>
          <w:p>
            <w:pPr>
              <w:ind w:left="0" w:right="0"/>
              <w:jc w:val="both"/>
              <w:rPr>
                <w:rFonts w:cs="FrankRuehl"/>
                <w:b/>
                <w:bCs/>
                <w:sz w:val="24"/>
              </w:rPr>
            </w:pPr>
            <w:r>
              <w:rPr>
                <w:rFonts w:cs="FrankRuehl" w:hint="cs"/>
                <w:b/>
                <w:bCs/>
                <w:sz w:val="24"/>
                <w:rtl/>
              </w:rPr>
              <w:t>העברות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98</w:t>
            </w:r>
          </w:p>
        </w:tc>
        <w:tc>
          <w:tcPr>
            <w:tcW w:w="0" w:type="auto"/>
          </w:tcPr>
          <w:p>
            <w:pPr>
              <w:ind w:left="0" w:right="0"/>
              <w:jc w:val="both"/>
              <w:rPr>
                <w:rFonts w:cs="FrankRuehl"/>
                <w:sz w:val="24"/>
              </w:rPr>
            </w:pPr>
            <w:r>
              <w:rPr>
                <w:rFonts w:cs="FrankRuehl" w:hint="cs"/>
                <w:sz w:val="24"/>
                <w:rtl/>
              </w:rPr>
              <w:t>90</w:t>
            </w:r>
          </w:p>
        </w:tc>
        <w:tc>
          <w:tcPr>
            <w:tcW w:w="0" w:type="auto"/>
          </w:tcPr>
          <w:p>
            <w:pPr>
              <w:ind w:left="0" w:right="0"/>
              <w:jc w:val="both"/>
              <w:rPr>
                <w:rFonts w:cs="FrankRuehl"/>
                <w:sz w:val="24"/>
              </w:rPr>
            </w:pPr>
            <w:r>
              <w:rPr>
                <w:rFonts w:cs="FrankRuehl" w:hint="cs"/>
                <w:sz w:val="24"/>
                <w:rtl/>
              </w:rPr>
              <w:t>96</w:t>
            </w:r>
          </w:p>
        </w:tc>
        <w:tc>
          <w:tcPr>
            <w:tcW w:w="0" w:type="auto"/>
          </w:tcPr>
          <w:p>
            <w:pPr>
              <w:ind w:left="0" w:right="0"/>
              <w:jc w:val="both"/>
              <w:rPr>
                <w:rFonts w:cs="FrankRuehl"/>
                <w:sz w:val="24"/>
              </w:rPr>
            </w:pPr>
            <w:r>
              <w:rPr>
                <w:rFonts w:cs="FrankRuehl" w:hint="cs"/>
                <w:sz w:val="24"/>
                <w:rtl/>
              </w:rPr>
              <w:t>לקרן הון</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 xml:space="preserve">7 </w:t>
            </w:r>
          </w:p>
        </w:tc>
        <w:tc>
          <w:tcPr>
            <w:tcW w:w="0" w:type="auto"/>
          </w:tcPr>
          <w:p>
            <w:pPr>
              <w:ind w:left="0" w:right="0"/>
              <w:jc w:val="both"/>
              <w:rPr>
                <w:rFonts w:cs="FrankRuehl"/>
                <w:sz w:val="24"/>
              </w:rPr>
            </w:pPr>
            <w:r>
              <w:rPr>
                <w:rFonts w:cs="FrankRuehl" w:hint="cs"/>
                <w:sz w:val="24"/>
                <w:rtl/>
              </w:rPr>
              <w:t>9</w:t>
            </w:r>
          </w:p>
        </w:tc>
        <w:tc>
          <w:tcPr>
            <w:tcW w:w="0" w:type="auto"/>
          </w:tcPr>
          <w:p>
            <w:pPr>
              <w:ind w:left="0" w:right="0"/>
              <w:jc w:val="both"/>
              <w:rPr>
                <w:rFonts w:cs="FrankRuehl"/>
                <w:sz w:val="24"/>
              </w:rPr>
            </w:pPr>
            <w:r>
              <w:rPr>
                <w:rFonts w:cs="FrankRuehl" w:hint="cs"/>
                <w:sz w:val="24"/>
                <w:rtl/>
              </w:rPr>
              <w:t>8</w:t>
            </w:r>
          </w:p>
        </w:tc>
        <w:tc>
          <w:tcPr>
            <w:tcW w:w="0" w:type="auto"/>
          </w:tcPr>
          <w:p>
            <w:pPr>
              <w:ind w:left="0" w:right="0"/>
              <w:jc w:val="both"/>
              <w:rPr>
                <w:rFonts w:cs="FrankRuehl"/>
                <w:sz w:val="24"/>
              </w:rPr>
            </w:pPr>
            <w:r>
              <w:rPr>
                <w:rFonts w:cs="FrankRuehl" w:hint="cs"/>
                <w:sz w:val="24"/>
                <w:rtl/>
              </w:rPr>
              <w:t>לקרן מיוחדת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906</w:t>
            </w:r>
          </w:p>
        </w:tc>
        <w:tc>
          <w:tcPr>
            <w:tcW w:w="0" w:type="auto"/>
          </w:tcPr>
          <w:p>
            <w:pPr>
              <w:ind w:left="0" w:right="0"/>
              <w:jc w:val="both"/>
              <w:rPr>
                <w:rFonts w:cs="FrankRuehl"/>
                <w:b/>
                <w:bCs/>
                <w:sz w:val="24"/>
                <w:u w:val="single"/>
              </w:rPr>
            </w:pPr>
            <w:r>
              <w:rPr>
                <w:rFonts w:cs="FrankRuehl" w:hint="cs"/>
                <w:b/>
                <w:bCs/>
                <w:sz w:val="24"/>
                <w:u w:val="single"/>
                <w:rtl/>
              </w:rPr>
              <w:t>772</w:t>
            </w:r>
          </w:p>
        </w:tc>
        <w:tc>
          <w:tcPr>
            <w:tcW w:w="0" w:type="auto"/>
          </w:tcPr>
          <w:p>
            <w:pPr>
              <w:ind w:left="0" w:right="0"/>
              <w:jc w:val="both"/>
              <w:rPr>
                <w:rFonts w:cs="FrankRuehl"/>
                <w:b/>
                <w:bCs/>
                <w:sz w:val="24"/>
                <w:u w:val="single"/>
              </w:rPr>
            </w:pPr>
            <w:r>
              <w:rPr>
                <w:rFonts w:cs="FrankRuehl" w:hint="cs"/>
                <w:b/>
                <w:bCs/>
                <w:sz w:val="24"/>
                <w:u w:val="single"/>
                <w:rtl/>
              </w:rPr>
              <w:t>788</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(82)</w:t>
            </w:r>
          </w:p>
        </w:tc>
        <w:tc>
          <w:tcPr>
            <w:tcW w:w="0" w:type="auto"/>
          </w:tcPr>
          <w:p>
            <w:pPr>
              <w:ind w:left="0" w:right="0"/>
              <w:jc w:val="both"/>
              <w:rPr>
                <w:rFonts w:cs="FrankRuehl"/>
                <w:sz w:val="24"/>
              </w:rPr>
            </w:pPr>
            <w:r>
              <w:rPr>
                <w:rFonts w:cs="FrankRuehl" w:hint="cs"/>
                <w:sz w:val="24"/>
                <w:rtl/>
              </w:rPr>
              <w:t>(46)</w:t>
            </w:r>
          </w:p>
        </w:tc>
        <w:tc>
          <w:tcPr>
            <w:tcW w:w="0" w:type="auto"/>
          </w:tcPr>
          <w:p>
            <w:pPr>
              <w:ind w:left="0" w:right="0"/>
              <w:jc w:val="both"/>
              <w:rPr>
                <w:rFonts w:cs="FrankRuehl"/>
                <w:sz w:val="24"/>
              </w:rPr>
            </w:pPr>
            <w:r>
              <w:rPr>
                <w:rFonts w:cs="FrankRuehl" w:hint="cs"/>
                <w:sz w:val="24"/>
                <w:rtl/>
              </w:rPr>
              <w:t>1</w:t>
            </w:r>
          </w:p>
        </w:tc>
        <w:tc>
          <w:tcPr>
            <w:tcW w:w="0" w:type="auto"/>
          </w:tcPr>
          <w:p>
            <w:pPr>
              <w:ind w:left="0" w:right="0"/>
              <w:jc w:val="both"/>
              <w:rPr>
                <w:rFonts w:cs="FrankRuehl"/>
                <w:sz w:val="24"/>
              </w:rPr>
            </w:pPr>
            <w:r>
              <w:rPr>
                <w:rFonts w:cs="FrankRuehl" w:hint="cs"/>
                <w:sz w:val="24"/>
                <w:rtl/>
              </w:rPr>
              <w:t>עודף (גירעון)</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41</w:t>
            </w:r>
          </w:p>
        </w:tc>
        <w:tc>
          <w:tcPr>
            <w:tcW w:w="0" w:type="auto"/>
          </w:tcPr>
          <w:p>
            <w:pPr>
              <w:ind w:left="0" w:right="0"/>
              <w:jc w:val="both"/>
              <w:rPr>
                <w:rFonts w:cs="FrankRuehl"/>
                <w:sz w:val="24"/>
              </w:rPr>
            </w:pPr>
            <w:r>
              <w:rPr>
                <w:rFonts w:cs="FrankRuehl" w:hint="cs"/>
                <w:sz w:val="24"/>
                <w:rtl/>
              </w:rPr>
              <w:t>(94)</w:t>
            </w:r>
          </w:p>
        </w:tc>
        <w:tc>
          <w:tcPr>
            <w:tcW w:w="0" w:type="auto"/>
          </w:tcPr>
          <w:p>
            <w:pPr>
              <w:ind w:left="0" w:right="0"/>
              <w:jc w:val="both"/>
              <w:rPr>
                <w:rFonts w:cs="FrankRuehl"/>
                <w:sz w:val="24"/>
              </w:rPr>
            </w:pPr>
            <w:r>
              <w:rPr>
                <w:rFonts w:cs="FrankRuehl" w:hint="cs"/>
                <w:sz w:val="24"/>
                <w:rtl/>
              </w:rPr>
              <w:t>(76)</w:t>
            </w:r>
          </w:p>
        </w:tc>
        <w:tc>
          <w:tcPr>
            <w:tcW w:w="0" w:type="auto"/>
          </w:tcPr>
          <w:p>
            <w:pPr>
              <w:ind w:left="0" w:right="0"/>
              <w:jc w:val="both"/>
              <w:rPr>
                <w:rFonts w:cs="FrankRuehl"/>
                <w:sz w:val="24"/>
              </w:rPr>
            </w:pPr>
            <w:r>
              <w:rPr>
                <w:rFonts w:cs="FrankRuehl" w:hint="cs"/>
                <w:sz w:val="24"/>
                <w:rtl/>
              </w:rPr>
              <w:t>רווח (הפסד) ממכירת ניירות ערך</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(775)****</w:t>
            </w:r>
          </w:p>
        </w:tc>
        <w:tc>
          <w:tcPr>
            <w:tcW w:w="0" w:type="auto"/>
          </w:tcPr>
          <w:p>
            <w:pPr>
              <w:ind w:left="0" w:right="0"/>
              <w:jc w:val="both"/>
              <w:rPr>
                <w:rFonts w:cs="FrankRuehl"/>
                <w:sz w:val="24"/>
              </w:rPr>
            </w:pPr>
            <w:r>
              <w:rPr>
                <w:rFonts w:cs="FrankRuehl" w:hint="cs"/>
                <w:sz w:val="24"/>
                <w:rtl/>
              </w:rPr>
              <w:t>-</w:t>
            </w:r>
          </w:p>
        </w:tc>
        <w:tc>
          <w:tcPr>
            <w:tcW w:w="0" w:type="auto"/>
          </w:tcPr>
          <w:p>
            <w:pPr>
              <w:ind w:left="0" w:right="0"/>
              <w:jc w:val="both"/>
              <w:rPr>
                <w:rFonts w:cs="FrankRuehl"/>
                <w:sz w:val="24"/>
              </w:rPr>
            </w:pPr>
            <w:r>
              <w:rPr>
                <w:rFonts w:cs="FrankRuehl" w:hint="cs"/>
                <w:sz w:val="24"/>
                <w:rtl/>
              </w:rPr>
              <w:t>-</w:t>
            </w:r>
          </w:p>
        </w:tc>
        <w:tc>
          <w:tcPr>
            <w:tcW w:w="0" w:type="auto"/>
          </w:tcPr>
          <w:p>
            <w:pPr>
              <w:ind w:left="0" w:right="0"/>
              <w:jc w:val="both"/>
              <w:rPr>
                <w:rFonts w:cs="FrankRuehl"/>
                <w:sz w:val="24"/>
              </w:rPr>
            </w:pPr>
            <w:r>
              <w:rPr>
                <w:rFonts w:cs="FrankRuehl" w:hint="cs"/>
                <w:sz w:val="24"/>
                <w:rtl/>
              </w:rPr>
              <w:t>הפרשה להפסד</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sz w:val="24"/>
              </w:rPr>
            </w:pPr>
            <w:r>
              <w:rPr>
                <w:rFonts w:cs="FrankRuehl" w:hint="cs"/>
                <w:sz w:val="24"/>
                <w:rtl/>
              </w:rPr>
              <w:t>862</w:t>
            </w:r>
          </w:p>
        </w:tc>
        <w:tc>
          <w:tcPr>
            <w:tcW w:w="0" w:type="auto"/>
          </w:tcPr>
          <w:p>
            <w:pPr>
              <w:ind w:left="0" w:right="0"/>
              <w:jc w:val="both"/>
              <w:rPr>
                <w:rFonts w:cs="FrankRuehl"/>
                <w:sz w:val="24"/>
              </w:rPr>
            </w:pPr>
            <w:r>
              <w:rPr>
                <w:rFonts w:cs="FrankRuehl" w:hint="cs"/>
                <w:sz w:val="24"/>
                <w:rtl/>
              </w:rPr>
              <w:t>592</w:t>
            </w:r>
          </w:p>
        </w:tc>
        <w:tc>
          <w:tcPr>
            <w:tcW w:w="0" w:type="auto"/>
          </w:tcPr>
          <w:p>
            <w:pPr>
              <w:ind w:left="0" w:right="0"/>
              <w:jc w:val="both"/>
              <w:rPr>
                <w:rFonts w:cs="FrankRuehl"/>
                <w:sz w:val="24"/>
              </w:rPr>
            </w:pPr>
            <w:r>
              <w:rPr>
                <w:rFonts w:cs="FrankRuehl" w:hint="cs"/>
                <w:sz w:val="24"/>
                <w:rtl/>
              </w:rPr>
              <w:t>142</w:t>
            </w:r>
          </w:p>
        </w:tc>
        <w:tc>
          <w:tcPr>
            <w:tcW w:w="0" w:type="auto"/>
          </w:tcPr>
          <w:p>
            <w:pPr>
              <w:ind w:left="0" w:right="0"/>
              <w:jc w:val="both"/>
              <w:rPr>
                <w:rFonts w:cs="FrankRuehl"/>
                <w:sz w:val="24"/>
              </w:rPr>
            </w:pPr>
            <w:r>
              <w:rPr>
                <w:rFonts w:cs="FrankRuehl" w:hint="cs"/>
                <w:sz w:val="24"/>
                <w:rtl/>
              </w:rPr>
              <w:t>רווח משינוי</w:t>
            </w:r>
            <w:r>
              <w:rPr>
                <w:rFonts w:cs="FrankRuehl" w:hint="cs"/>
                <w:sz w:val="18"/>
              </w:rPr>
              <w:t xml:space="preserve"> </w:t>
            </w:r>
            <w:r>
              <w:rPr>
                <w:rFonts w:cs="FrankRuehl" w:hint="cs"/>
                <w:sz w:val="24"/>
                <w:rtl/>
              </w:rPr>
              <w:t>שערי ניירות ערך ומט"ח</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u w:val="single"/>
              </w:rPr>
            </w:pPr>
            <w:r>
              <w:rPr>
                <w:rFonts w:cs="FrankRuehl" w:hint="cs"/>
                <w:b/>
                <w:bCs/>
                <w:sz w:val="24"/>
                <w:u w:val="single"/>
                <w:rtl/>
              </w:rPr>
              <w:t>46</w:t>
            </w:r>
          </w:p>
        </w:tc>
        <w:tc>
          <w:tcPr>
            <w:tcW w:w="0" w:type="auto"/>
          </w:tcPr>
          <w:p>
            <w:pPr>
              <w:ind w:left="0" w:right="0"/>
              <w:jc w:val="both"/>
              <w:rPr>
                <w:rFonts w:cs="FrankRuehl"/>
                <w:b/>
                <w:bCs/>
                <w:sz w:val="24"/>
                <w:u w:val="single"/>
              </w:rPr>
            </w:pPr>
            <w:r>
              <w:rPr>
                <w:rFonts w:cs="FrankRuehl" w:hint="cs"/>
                <w:b/>
                <w:bCs/>
                <w:sz w:val="24"/>
                <w:u w:val="single"/>
                <w:rtl/>
              </w:rPr>
              <w:t>452</w:t>
            </w:r>
          </w:p>
        </w:tc>
        <w:tc>
          <w:tcPr>
            <w:tcW w:w="0" w:type="auto"/>
          </w:tcPr>
          <w:p>
            <w:pPr>
              <w:ind w:left="0" w:right="0"/>
              <w:jc w:val="both"/>
              <w:rPr>
                <w:rFonts w:cs="FrankRuehl"/>
                <w:b/>
                <w:bCs/>
                <w:sz w:val="24"/>
                <w:u w:val="single"/>
              </w:rPr>
            </w:pPr>
            <w:r>
              <w:rPr>
                <w:rFonts w:cs="FrankRuehl" w:hint="cs"/>
                <w:b/>
                <w:bCs/>
                <w:sz w:val="24"/>
                <w:u w:val="single"/>
                <w:rtl/>
              </w:rPr>
              <w:t>67</w:t>
            </w:r>
          </w:p>
        </w:tc>
        <w:tc>
          <w:tcPr>
            <w:tcW w:w="0" w:type="auto"/>
          </w:tcPr>
          <w:p>
            <w:pPr>
              <w:ind w:left="0" w:right="0"/>
              <w:jc w:val="both"/>
              <w:rPr>
                <w:rFonts w:cs="FrankRuehl"/>
                <w:b/>
                <w:bCs/>
                <w:sz w:val="24"/>
                <w:u w:val="single"/>
              </w:rPr>
            </w:pP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r>
              <w:rPr>
                <w:rFonts w:cs="FrankRuehl" w:hint="cs"/>
                <w:b/>
                <w:bCs/>
                <w:sz w:val="24"/>
                <w:rtl/>
              </w:rPr>
              <w:t>(2,905)</w:t>
            </w:r>
          </w:p>
        </w:tc>
        <w:tc>
          <w:tcPr>
            <w:tcW w:w="0" w:type="auto"/>
          </w:tcPr>
          <w:p>
            <w:pPr>
              <w:ind w:left="0" w:right="0"/>
              <w:jc w:val="both"/>
              <w:rPr>
                <w:rFonts w:cs="FrankRuehl"/>
                <w:b/>
                <w:bCs/>
                <w:sz w:val="24"/>
              </w:rPr>
            </w:pPr>
            <w:r>
              <w:rPr>
                <w:rFonts w:cs="FrankRuehl" w:hint="cs"/>
                <w:b/>
                <w:bCs/>
                <w:sz w:val="24"/>
                <w:rtl/>
              </w:rPr>
              <w:t>(2,859)</w:t>
            </w:r>
          </w:p>
        </w:tc>
        <w:tc>
          <w:tcPr>
            <w:tcW w:w="0" w:type="auto"/>
          </w:tcPr>
          <w:p>
            <w:pPr>
              <w:ind w:left="0" w:right="0"/>
              <w:jc w:val="both"/>
              <w:rPr>
                <w:rFonts w:cs="FrankRuehl"/>
                <w:b/>
                <w:bCs/>
                <w:sz w:val="24"/>
              </w:rPr>
            </w:pPr>
            <w:r>
              <w:rPr>
                <w:rFonts w:cs="FrankRuehl" w:hint="cs"/>
                <w:b/>
                <w:bCs/>
                <w:sz w:val="24"/>
                <w:rtl/>
              </w:rPr>
              <w:t>(2,407)</w:t>
            </w:r>
          </w:p>
        </w:tc>
        <w:tc>
          <w:tcPr>
            <w:tcW w:w="0" w:type="auto"/>
          </w:tcPr>
          <w:p>
            <w:pPr>
              <w:ind w:left="0" w:right="0"/>
              <w:jc w:val="both"/>
              <w:rPr>
                <w:rFonts w:cs="FrankRuehl"/>
                <w:b/>
                <w:bCs/>
                <w:sz w:val="24"/>
              </w:rPr>
            </w:pPr>
            <w:r>
              <w:rPr>
                <w:rFonts w:cs="FrankRuehl" w:hint="cs"/>
                <w:b/>
                <w:bCs/>
                <w:sz w:val="24"/>
                <w:rtl/>
              </w:rPr>
              <w:t>גירעון משנה קודמת</w:t>
            </w:r>
          </w:p>
        </w:tc>
      </w:tr>
      <w:tr>
        <w:tblPrEx>
          <w:jc w:val="center"/>
          <w:tblInd w:w="0" w:type="dxa"/>
          <w:tblCellMar>
            <w:top w:w="0" w:type="dxa"/>
            <w:left w:w="108" w:type="dxa"/>
            <w:bottom w:w="0" w:type="dxa"/>
            <w:right w:w="108" w:type="dxa"/>
          </w:tblCellMar>
          <w:tblLook w:val="0000"/>
        </w:tblPrEx>
        <w:trPr>
          <w:jc w:val="center"/>
        </w:trPr>
        <w:tc>
          <w:tcPr>
            <w:tcW w:w="0" w:type="auto"/>
          </w:tcPr>
          <w:p>
            <w:pPr>
              <w:ind w:left="0" w:right="0"/>
              <w:jc w:val="both"/>
              <w:rPr>
                <w:rFonts w:cs="FrankRuehl"/>
                <w:b/>
                <w:bCs/>
                <w:sz w:val="24"/>
              </w:rPr>
            </w:pPr>
            <w:r>
              <w:rPr>
                <w:rFonts w:cs="FrankRuehl" w:hint="cs"/>
                <w:b/>
                <w:bCs/>
                <w:sz w:val="24"/>
                <w:rtl/>
              </w:rPr>
              <w:t xml:space="preserve">(2,859) </w:t>
            </w:r>
          </w:p>
        </w:tc>
        <w:tc>
          <w:tcPr>
            <w:tcW w:w="0" w:type="auto"/>
          </w:tcPr>
          <w:p>
            <w:pPr>
              <w:ind w:left="0" w:right="0"/>
              <w:jc w:val="both"/>
              <w:rPr>
                <w:rFonts w:cs="FrankRuehl"/>
                <w:b/>
                <w:bCs/>
                <w:sz w:val="24"/>
              </w:rPr>
            </w:pPr>
            <w:r>
              <w:rPr>
                <w:rFonts w:cs="FrankRuehl" w:hint="cs"/>
                <w:b/>
                <w:bCs/>
                <w:sz w:val="24"/>
                <w:rtl/>
              </w:rPr>
              <w:t>(2,407)</w:t>
            </w:r>
          </w:p>
        </w:tc>
        <w:tc>
          <w:tcPr>
            <w:tcW w:w="0" w:type="auto"/>
          </w:tcPr>
          <w:p>
            <w:pPr>
              <w:ind w:left="0" w:right="0"/>
              <w:jc w:val="both"/>
              <w:rPr>
                <w:rFonts w:cs="FrankRuehl"/>
                <w:b/>
                <w:bCs/>
                <w:sz w:val="24"/>
              </w:rPr>
            </w:pPr>
            <w:r>
              <w:rPr>
                <w:rFonts w:cs="FrankRuehl" w:hint="cs"/>
                <w:b/>
                <w:bCs/>
                <w:sz w:val="24"/>
                <w:rtl/>
              </w:rPr>
              <w:t>(2,340)</w:t>
            </w:r>
          </w:p>
        </w:tc>
        <w:tc>
          <w:tcPr>
            <w:tcW w:w="0" w:type="auto"/>
          </w:tcPr>
          <w:p>
            <w:pPr>
              <w:ind w:left="0" w:right="0"/>
              <w:jc w:val="both"/>
              <w:rPr>
                <w:rFonts w:cs="FrankRuehl"/>
                <w:b/>
                <w:bCs/>
                <w:sz w:val="24"/>
              </w:rPr>
            </w:pPr>
            <w:r>
              <w:rPr>
                <w:rFonts w:cs="FrankRuehl" w:hint="cs"/>
                <w:b/>
                <w:bCs/>
                <w:sz w:val="24"/>
                <w:rtl/>
              </w:rPr>
              <w:t>גירעון מצטבר</w:t>
            </w:r>
          </w:p>
        </w:tc>
      </w:tr>
    </w:tbl>
    <w:p>
      <w:pPr>
        <w:ind w:left="0" w:right="0" w:firstLine="724"/>
        <w:jc w:val="both"/>
        <w:rPr>
          <w:rFonts w:cs="FrankRuehl" w:hint="cs"/>
          <w:sz w:val="22"/>
          <w:szCs w:val="22"/>
          <w:rtl/>
        </w:rPr>
      </w:pPr>
      <w:r>
        <w:rPr>
          <w:rFonts w:cs="FrankRuehl" w:hint="cs"/>
          <w:sz w:val="22"/>
          <w:szCs w:val="22"/>
          <w:rtl/>
        </w:rPr>
        <w:t>__________</w:t>
      </w:r>
    </w:p>
    <w:p>
      <w:pPr>
        <w:ind w:left="0" w:right="0" w:firstLine="724"/>
        <w:jc w:val="both"/>
        <w:rPr>
          <w:rFonts w:cs="FrankRuehl" w:hint="cs"/>
          <w:sz w:val="22"/>
          <w:szCs w:val="22"/>
          <w:rtl/>
        </w:rPr>
      </w:pPr>
      <w:r>
        <w:rPr>
          <w:rFonts w:cs="FrankRuehl" w:hint="cs"/>
          <w:sz w:val="22"/>
          <w:szCs w:val="22"/>
          <w:rtl/>
        </w:rPr>
        <w:t xml:space="preserve">*בעקבות העברת ניירות ערך לקרן מעיזבונו של ד"ר וולף משלמת הקרן, על פי הצוואה, </w:t>
      </w:r>
    </w:p>
    <w:p>
      <w:pPr>
        <w:ind w:left="0" w:right="0" w:firstLine="724"/>
        <w:jc w:val="both"/>
        <w:rPr>
          <w:rFonts w:cs="FrankRuehl" w:hint="cs"/>
          <w:sz w:val="22"/>
          <w:szCs w:val="22"/>
          <w:rtl/>
        </w:rPr>
      </w:pPr>
      <w:r>
        <w:rPr>
          <w:rFonts w:cs="FrankRuehl" w:hint="cs"/>
          <w:sz w:val="22"/>
          <w:szCs w:val="22"/>
          <w:rtl/>
        </w:rPr>
        <w:t>תשלומים לבני משפחתו, ובכלל זה הוצאות שכר לימוד וטיפול רפואי.</w:t>
      </w:r>
    </w:p>
    <w:p>
      <w:pPr>
        <w:ind w:left="0" w:right="0" w:firstLine="724"/>
        <w:jc w:val="both"/>
        <w:rPr>
          <w:rFonts w:cs="FrankRuehl" w:hint="cs"/>
          <w:sz w:val="22"/>
          <w:szCs w:val="22"/>
          <w:rtl/>
        </w:rPr>
      </w:pPr>
      <w:r>
        <w:rPr>
          <w:rFonts w:cs="FrankRuehl" w:hint="cs"/>
          <w:sz w:val="22"/>
          <w:szCs w:val="22"/>
          <w:rtl/>
        </w:rPr>
        <w:t xml:space="preserve">** הקרן נוהגת להקטין את סעיף הוצאות השכר וההוצאות הנלוות בסכומי ההחזרים של מס </w:t>
      </w:r>
    </w:p>
    <w:p>
      <w:pPr>
        <w:ind w:left="0" w:right="0" w:firstLine="724"/>
        <w:jc w:val="both"/>
        <w:rPr>
          <w:rFonts w:cs="FrankRuehl" w:hint="cs"/>
          <w:sz w:val="22"/>
          <w:szCs w:val="22"/>
          <w:rtl/>
        </w:rPr>
      </w:pPr>
      <w:r>
        <w:rPr>
          <w:rFonts w:cs="FrankRuehl" w:hint="cs"/>
          <w:sz w:val="22"/>
          <w:szCs w:val="22"/>
          <w:rtl/>
        </w:rPr>
        <w:t xml:space="preserve">ההכנסה שנוכה משכר המנהל הכללי. בשנת 1996 החזיר משרד האוצר לקרן בגין שכרו של </w:t>
      </w:r>
    </w:p>
    <w:p>
      <w:pPr>
        <w:ind w:left="0" w:right="0" w:firstLine="724"/>
        <w:jc w:val="both"/>
        <w:rPr>
          <w:rFonts w:cs="FrankRuehl" w:hint="cs"/>
          <w:sz w:val="22"/>
          <w:szCs w:val="22"/>
          <w:rtl/>
        </w:rPr>
      </w:pPr>
      <w:r>
        <w:rPr>
          <w:rFonts w:cs="FrankRuehl" w:hint="cs"/>
          <w:sz w:val="22"/>
          <w:szCs w:val="22"/>
          <w:rtl/>
        </w:rPr>
        <w:t>המנהל הכללי כ-35,000 דולר ובשנת 1997 כ-38,000 דולר.</w:t>
      </w:r>
    </w:p>
    <w:p>
      <w:pPr>
        <w:ind w:left="0" w:right="0" w:firstLine="724"/>
        <w:jc w:val="both"/>
        <w:rPr>
          <w:rFonts w:cs="FrankRuehl" w:hint="cs"/>
          <w:sz w:val="22"/>
          <w:szCs w:val="22"/>
          <w:rtl/>
        </w:rPr>
      </w:pPr>
      <w:r>
        <w:rPr>
          <w:rFonts w:cs="FrankRuehl" w:hint="cs"/>
          <w:sz w:val="22"/>
          <w:szCs w:val="22"/>
          <w:rtl/>
        </w:rPr>
        <w:t xml:space="preserve">*** עד להעברת משרדי הקרן בתום שנת 1997 למבנה שקיבלה כתרומה (ראה לעיל) שכנו </w:t>
      </w:r>
    </w:p>
    <w:p>
      <w:pPr>
        <w:ind w:left="0" w:right="0" w:firstLine="724"/>
        <w:jc w:val="both"/>
        <w:rPr>
          <w:rFonts w:cs="FrankRuehl" w:hint="cs"/>
          <w:sz w:val="22"/>
          <w:szCs w:val="22"/>
          <w:rtl/>
        </w:rPr>
      </w:pPr>
      <w:r>
        <w:rPr>
          <w:rFonts w:cs="FrankRuehl" w:hint="cs"/>
          <w:sz w:val="22"/>
          <w:szCs w:val="22"/>
          <w:rtl/>
        </w:rPr>
        <w:t>משרדיה במבנה שכור.</w:t>
      </w:r>
    </w:p>
    <w:p>
      <w:pPr>
        <w:ind w:left="0" w:right="0" w:firstLine="724"/>
        <w:jc w:val="both"/>
        <w:rPr>
          <w:rFonts w:cs="FrankRuehl" w:hint="cs"/>
          <w:sz w:val="22"/>
          <w:szCs w:val="22"/>
          <w:rtl/>
        </w:rPr>
      </w:pPr>
      <w:r>
        <w:rPr>
          <w:rFonts w:cs="FrankRuehl" w:hint="cs"/>
          <w:sz w:val="22"/>
          <w:szCs w:val="22"/>
          <w:rtl/>
        </w:rPr>
        <w:t>**** ההפסד של השקעת הקרן בשטרי החוב של הבנק בבריטניה.</w:t>
      </w:r>
    </w:p>
    <w:p>
      <w:pPr>
        <w:ind w:left="0" w:right="0"/>
        <w:jc w:val="both"/>
        <w:rPr>
          <w:rFonts w:cs="FrankRuehl" w:hint="cs"/>
          <w:sz w:val="24"/>
          <w:rtl/>
        </w:rPr>
      </w:pPr>
      <w:r>
        <w:rPr>
          <w:rFonts w:cs="FrankRuehl" w:hint="cs"/>
          <w:sz w:val="24"/>
          <w:rtl/>
        </w:rPr>
        <w:br w:type="page"/>
      </w:r>
    </w:p>
    <w:p>
      <w:pPr>
        <w:ind w:left="0" w:right="0"/>
        <w:jc w:val="both"/>
        <w:rPr>
          <w:rFonts w:cs="FrankRuehl" w:hint="cs"/>
          <w:sz w:val="24"/>
          <w:rtl/>
        </w:rPr>
      </w:pPr>
      <w:r>
        <w:rPr>
          <w:rFonts w:cs="FrankRuehl" w:hint="cs"/>
          <w:sz w:val="24"/>
          <w:rtl/>
        </w:rPr>
        <w:t>הואיל ובדוחותיה הכספיים הקרן רושמת את ניירות הערך לפי שעריהם בתום השנה, רשומים בדוח התוצאתי גם הרווחים וההפסדים שנבעו מהחזקת ניירות הערך (בשל שינויים בשערי הבורסה או בשערי החליפין).</w:t>
      </w:r>
    </w:p>
    <w:p>
      <w:pPr>
        <w:ind w:left="0" w:right="0"/>
        <w:jc w:val="both"/>
        <w:rPr>
          <w:rFonts w:cs="FrankRuehl" w:hint="cs"/>
          <w:sz w:val="24"/>
          <w:rtl/>
        </w:rPr>
      </w:pPr>
    </w:p>
    <w:p>
      <w:pPr>
        <w:ind w:left="0" w:right="0"/>
        <w:jc w:val="both"/>
        <w:rPr>
          <w:rFonts w:cs="FrankRuehl" w:hint="cs"/>
          <w:sz w:val="24"/>
          <w:rtl/>
        </w:rPr>
      </w:pPr>
    </w:p>
    <w:p>
      <w:pPr>
        <w:pStyle w:val="a3"/>
        <w:ind w:left="0" w:right="0"/>
        <w:jc w:val="center"/>
        <w:rPr>
          <w:rFonts w:hint="cs"/>
          <w:sz w:val="48"/>
          <w:rtl/>
        </w:rPr>
      </w:pPr>
      <w:r>
        <w:rPr>
          <w:rFonts w:ascii="Wingdings" w:hAnsi="Wingdings"/>
          <w:szCs w:val="36"/>
        </w:rPr>
        <w:t>¶</w:t>
      </w:r>
    </w:p>
    <w:p>
      <w:pPr>
        <w:pStyle w:val="a0"/>
        <w:ind w:left="4" w:right="0"/>
        <w:jc w:val="both"/>
        <w:rPr>
          <w:rFonts w:cs="David" w:hint="cs"/>
          <w:sz w:val="23"/>
          <w:rtl/>
        </w:rPr>
      </w:pPr>
    </w:p>
    <w:p>
      <w:pPr>
        <w:pStyle w:val="a0"/>
        <w:ind w:left="4" w:right="0"/>
        <w:jc w:val="both"/>
        <w:rPr>
          <w:rFonts w:cs="David" w:hint="cs"/>
          <w:sz w:val="23"/>
          <w:rtl/>
        </w:rPr>
      </w:pPr>
      <w:r>
        <w:rPr>
          <w:rFonts w:cs="David" w:hint="cs"/>
          <w:sz w:val="23"/>
          <w:rtl/>
        </w:rPr>
        <w:t>משרד מבקר המדינה העלה, שבמרבית שנות קיומה של הקרן היה שיעור הוצאותיה המינהליות גדול מ</w:t>
      </w:r>
      <w:r>
        <w:rPr>
          <w:rFonts w:cs="David"/>
        </w:rPr>
        <w:t>15%-</w:t>
      </w:r>
      <w:r>
        <w:rPr>
          <w:rFonts w:cs="David" w:hint="cs"/>
          <w:sz w:val="23"/>
          <w:rtl/>
        </w:rPr>
        <w:t xml:space="preserve"> מהכנסותיה - השיעור המרבי שנקבע להוצאות אלה בתקנון. כדי להקטין את שיעורן של ההוצאות האלה כוללת הקרן החל ב-1995 את הוצאותיה על הטקסים לחלוקת הפרסים בדוח התוצאתי בסעיף "פרסים"; עקב הרישום בשיטה זו היו הוצאותיה המינהליות בשנת 1995 כ</w:t>
      </w:r>
      <w:r>
        <w:rPr>
          <w:rFonts w:cs="David"/>
        </w:rPr>
        <w:t>16%-</w:t>
      </w:r>
      <w:r>
        <w:rPr>
          <w:rFonts w:cs="David" w:hint="cs"/>
          <w:sz w:val="23"/>
          <w:rtl/>
        </w:rPr>
        <w:t xml:space="preserve"> מההכנסות; בשנת 1996 כ</w:t>
      </w:r>
      <w:r>
        <w:rPr>
          <w:rFonts w:cs="David"/>
        </w:rPr>
        <w:t>20%-</w:t>
      </w:r>
      <w:r>
        <w:rPr>
          <w:rFonts w:cs="David" w:hint="cs"/>
          <w:sz w:val="23"/>
          <w:rtl/>
        </w:rPr>
        <w:t xml:space="preserve"> ובשנת 1997 כ</w:t>
      </w:r>
      <w:r>
        <w:rPr>
          <w:rFonts w:cs="David"/>
        </w:rPr>
        <w:t>17%-</w:t>
      </w:r>
      <w:r>
        <w:rPr>
          <w:rFonts w:cs="David" w:hint="cs"/>
          <w:sz w:val="23"/>
          <w:rtl/>
        </w:rPr>
        <w:t>; אלמלא רישום זה היה שיעור ההוצאות האלה באותן שנים כ</w:t>
      </w:r>
      <w:r>
        <w:rPr>
          <w:rFonts w:cs="David"/>
        </w:rPr>
        <w:t>22%-</w:t>
      </w:r>
      <w:r>
        <w:rPr>
          <w:rFonts w:cs="David" w:hint="cs"/>
          <w:sz w:val="23"/>
          <w:rtl/>
        </w:rPr>
        <w:t xml:space="preserve"> מההכנסות. משרד מבקר המדינה העיר לקרן, שעליה להקפיד על הוראות התקנון בעניין זה, כל עוד לא הגיעו הנאמנים למסקנה שיש לשנותן.</w:t>
      </w:r>
    </w:p>
    <w:p>
      <w:pPr>
        <w:ind w:left="0" w:right="0"/>
        <w:jc w:val="both"/>
        <w:rPr>
          <w:rFonts w:cs="FrankRuehl" w:hint="cs"/>
          <w:sz w:val="24"/>
          <w:rtl/>
        </w:rPr>
      </w:pPr>
    </w:p>
    <w:p>
      <w:pPr>
        <w:pStyle w:val="a0"/>
        <w:ind w:left="4" w:right="0"/>
        <w:jc w:val="both"/>
        <w:rPr>
          <w:rFonts w:cs="David" w:hint="cs"/>
          <w:sz w:val="23"/>
          <w:rtl/>
        </w:rPr>
      </w:pPr>
      <w:r>
        <w:rPr>
          <w:rFonts w:cs="David" w:hint="cs"/>
          <w:sz w:val="23"/>
          <w:rtl/>
        </w:rPr>
        <w:t>ב-22 שנות קיומה של הקרן הסתכמו הכנסותיה נטו מההשקעות (לאחר ניכוי התמיכות לבני משפחת המייסדים) ב-21.3 מיליון דולר. הקרן העניקה בתקופה זו פרסים בסך כולל של 9.2 מיליון דולר</w:t>
      </w:r>
      <w:r>
        <w:rPr>
          <w:rStyle w:val="FootnoteReference"/>
          <w:sz w:val="23"/>
          <w:rtl/>
        </w:rPr>
        <w:footnoteReference w:id="9"/>
      </w:r>
      <w:r>
        <w:rPr>
          <w:rFonts w:cs="David" w:hint="cs"/>
          <w:sz w:val="23"/>
          <w:rtl/>
        </w:rPr>
        <w:t xml:space="preserve"> (כ</w:t>
      </w:r>
      <w:r>
        <w:rPr>
          <w:rFonts w:cs="David"/>
        </w:rPr>
        <w:t>43%-</w:t>
      </w:r>
      <w:r>
        <w:rPr>
          <w:rFonts w:cs="David" w:hint="cs"/>
          <w:sz w:val="23"/>
          <w:rtl/>
        </w:rPr>
        <w:t xml:space="preserve"> מהכנסות הקרן), ומלגות ומענקי מחקר בסך כולל של 3.4 מיליון דולר (כ</w:t>
      </w:r>
      <w:r>
        <w:rPr>
          <w:rFonts w:cs="David"/>
        </w:rPr>
        <w:t>16%-</w:t>
      </w:r>
      <w:r>
        <w:rPr>
          <w:rFonts w:cs="David" w:hint="cs"/>
          <w:sz w:val="23"/>
          <w:rtl/>
        </w:rPr>
        <w:t xml:space="preserve"> מהכנסות הקרן); הוצאותיה המנהליות של הקרן הסתכמו ב-3.6 מיליון דולר (כ</w:t>
      </w:r>
      <w:r>
        <w:rPr>
          <w:rFonts w:cs="David"/>
        </w:rPr>
        <w:t>17%-</w:t>
      </w:r>
      <w:r>
        <w:rPr>
          <w:rFonts w:cs="David" w:hint="cs"/>
          <w:sz w:val="23"/>
          <w:rtl/>
        </w:rPr>
        <w:t xml:space="preserve"> מהכנסות הקרן) וההעברות לקרן הון ב-2.1 מיליון דולר (10% מהכנסות הקרן); לפיכך נותרו מהכנסותיה עודפים בסך של כ-3.0 מיליון דולר (כ</w:t>
      </w:r>
      <w:r>
        <w:rPr>
          <w:rFonts w:cs="David"/>
        </w:rPr>
        <w:t>14%-</w:t>
      </w:r>
      <w:r>
        <w:rPr>
          <w:rFonts w:cs="David" w:hint="cs"/>
          <w:sz w:val="23"/>
          <w:rtl/>
        </w:rPr>
        <w:t xml:space="preserve"> מהכנסות הקרן). כנגד עודף זה היו לקרן הפסדים בסך של 5.4 מיליון דולר ממימוש ניירות ערך. סכום זה כולל הפסדים בסך 2.9 מיליון דולר שנגרמו בשל מימוש ניירות ערך שהקרן קיבלה מהמייסדים, והפסדים בסך 2.5 מיליון דולר שנבעו מעסקות בניירות ערך שהקרן יזמה.</w:t>
      </w:r>
    </w:p>
    <w:p>
      <w:pPr>
        <w:pStyle w:val="a0"/>
        <w:ind w:left="255" w:right="0"/>
        <w:jc w:val="both"/>
        <w:rPr>
          <w:rFonts w:cs="David" w:hint="cs"/>
          <w:sz w:val="23"/>
          <w:rtl/>
        </w:rPr>
      </w:pPr>
    </w:p>
    <w:p>
      <w:pPr>
        <w:pStyle w:val="a0"/>
        <w:ind w:left="4" w:right="0"/>
        <w:jc w:val="both"/>
        <w:rPr>
          <w:rFonts w:cs="David" w:hint="cs"/>
          <w:sz w:val="23"/>
          <w:rtl/>
        </w:rPr>
      </w:pPr>
      <w:r>
        <w:rPr>
          <w:rFonts w:cs="David" w:hint="cs"/>
          <w:sz w:val="23"/>
          <w:rtl/>
        </w:rPr>
        <w:t>מסקירת הדוחות התוצאתיים של הקרן בתשע השנים האחרונות עולה, שבשנים 1992-1989 היו הכנסותיה גבוהות יחסית ושיעור הפרסים מההכנסות באותן שנים היה 43%, 35%, 33% ו</w:t>
      </w:r>
      <w:r>
        <w:rPr>
          <w:rFonts w:cs="David"/>
        </w:rPr>
        <w:t>42%-</w:t>
      </w:r>
      <w:r>
        <w:rPr>
          <w:rFonts w:cs="David" w:hint="cs"/>
          <w:sz w:val="23"/>
          <w:rtl/>
        </w:rPr>
        <w:t xml:space="preserve"> בהתאמה. בשנת 1993 חלה ירידה חדה בהכנסות הקרן מהשקעות, ועקב כך היה הסכום הכולל של הפרסים, המלגות וההוצאות המינהליות גדול מההכנסות באותה שנה. בעקבות זאת החליטה הקרן שלא לחלק פרסים בשנת 1994. בשנת 1997 הוציאה הקרן 52.4% מהכנסותיה על פרסים ו</w:t>
      </w:r>
      <w:r>
        <w:rPr>
          <w:rFonts w:cs="David"/>
        </w:rPr>
        <w:t>14.5%-</w:t>
      </w:r>
      <w:r>
        <w:rPr>
          <w:rFonts w:cs="David" w:hint="cs"/>
          <w:sz w:val="23"/>
          <w:rtl/>
        </w:rPr>
        <w:t xml:space="preserve"> על מלגות. </w:t>
      </w:r>
    </w:p>
    <w:p>
      <w:pPr>
        <w:ind w:left="0" w:right="0"/>
        <w:jc w:val="both"/>
        <w:rPr>
          <w:rFonts w:cs="FrankRuehl" w:hint="cs"/>
          <w:sz w:val="24"/>
          <w:rtl/>
        </w:rPr>
      </w:pPr>
    </w:p>
    <w:p>
      <w:pPr>
        <w:pStyle w:val="a3"/>
        <w:ind w:left="0" w:right="0"/>
        <w:jc w:val="center"/>
        <w:rPr>
          <w:rFonts w:hint="cs"/>
          <w:sz w:val="48"/>
          <w:rtl/>
        </w:rPr>
      </w:pPr>
      <w:r>
        <w:rPr>
          <w:b w:val="0"/>
          <w:bCs w:val="0"/>
          <w:rtl/>
        </w:rPr>
        <w:br w:type="page"/>
      </w:r>
      <w:r>
        <w:rPr>
          <w:rFonts w:ascii="Wingdings" w:hAnsi="Wingdings"/>
          <w:szCs w:val="36"/>
        </w:rPr>
        <w:t>¶</w:t>
      </w:r>
      <w:r>
        <w:rPr>
          <w:rFonts w:ascii="Wingdings" w:hAnsi="Wingdings"/>
          <w:szCs w:val="36"/>
        </w:rPr>
        <w:t>¶</w:t>
      </w:r>
      <w:r>
        <w:rPr>
          <w:rFonts w:ascii="Wingdings" w:hAnsi="Wingdings"/>
          <w:szCs w:val="36"/>
        </w:rPr>
        <w:t>¶</w:t>
      </w:r>
    </w:p>
    <w:p>
      <w:pPr>
        <w:ind w:left="0" w:right="0"/>
        <w:jc w:val="both"/>
        <w:rPr>
          <w:rFonts w:cs="FrankRuehl" w:hint="cs"/>
          <w:sz w:val="24"/>
          <w:rtl/>
        </w:rPr>
      </w:pPr>
    </w:p>
    <w:p>
      <w:pPr>
        <w:pStyle w:val="a0"/>
        <w:ind w:left="0" w:right="0"/>
        <w:jc w:val="both"/>
        <w:rPr>
          <w:rFonts w:cs="David" w:hint="cs"/>
          <w:sz w:val="23"/>
          <w:rtl/>
        </w:rPr>
      </w:pPr>
      <w:r>
        <w:rPr>
          <w:rFonts w:cs="David" w:hint="cs"/>
          <w:sz w:val="23"/>
          <w:rtl/>
        </w:rPr>
        <w:t>ד"ר ר' וולף ורעייתו ייסדו את קרן וולף כדי לקדם את המדע והאמנות על ידי מתן פרסים, מלגות ומענקים. שווי הנכסים שהעבירו לרשות הקרן, לרבות הנכסים שהועברו מעיזבונם, נאמד בעת ההעברה בכ-13.6 מיליון דולר. הקרן מעניקה פרסים לאנשי מדע מצטיינים בתחום מדעי הטבע והמתמטיקה, ולאמנים המתבלטים בהישגיהם. כדי להעניק לפרסים גושפנקה ממלכתית ישראלית חקקה הכנסת ביולי 1975 את חוק קרן וולף. על פי החוק, מושב הקרן הוא בישראל, בראש מועצתה עומד שר החינוך, והטקס לחלוקת הפרסים מתקיים במשכן הכנסת; הזוכים מקבלים את הפרסים מידי נשיא המדינה.</w:t>
      </w:r>
    </w:p>
    <w:p>
      <w:pPr>
        <w:pStyle w:val="a0"/>
        <w:ind w:left="255" w:right="0"/>
        <w:jc w:val="both"/>
        <w:rPr>
          <w:rFonts w:cs="David" w:hint="cs"/>
          <w:sz w:val="23"/>
          <w:rtl/>
        </w:rPr>
      </w:pPr>
    </w:p>
    <w:p>
      <w:pPr>
        <w:pStyle w:val="a0"/>
        <w:ind w:left="0" w:right="0"/>
        <w:jc w:val="both"/>
        <w:rPr>
          <w:rFonts w:cs="David" w:hint="cs"/>
          <w:sz w:val="23"/>
          <w:rtl/>
        </w:rPr>
      </w:pPr>
      <w:r>
        <w:rPr>
          <w:rFonts w:cs="David" w:hint="cs"/>
          <w:sz w:val="23"/>
          <w:rtl/>
        </w:rPr>
        <w:t>מאז הקמתה ב-1975 ועד תום 1997 חילקה הקרן ל-172 אנשי מדע ואמנים שנבחרו בידי ועדות הפרסים שלה 97 פרסים בסך 100,000 דולר כל אחד (לרבות פרסים משותפים) בסך כולל של 9.7 מיליון דולר. כמו כן נתנה הקרן 3,973 מלגות לסטודנטים במוסדות להשכלה גבוהה, 69 מענקי מחקר לבעלי תואר דוקטור ו-20 מענקי מחקר למומלצי האקדמיה הישראלית למדעים. הסכום הכולל של המלגות והמענקים הגיע ל-3.4 מיליון דולר. בעבר העיר משרד מבקר המדינה לקרן, שמן הראוי להגדיל את הסכומים המופנים למלגות ולמענקי מחקר בארץ כדי לעודד מספר גדול יותר של מדענים הנמצאים בראשית דרכם.</w:t>
      </w:r>
    </w:p>
    <w:p>
      <w:pPr>
        <w:pStyle w:val="a0"/>
        <w:ind w:left="255" w:right="0"/>
        <w:jc w:val="both"/>
        <w:rPr>
          <w:rFonts w:cs="David" w:hint="cs"/>
          <w:sz w:val="23"/>
          <w:rtl/>
        </w:rPr>
      </w:pPr>
    </w:p>
    <w:p>
      <w:pPr>
        <w:pStyle w:val="a0"/>
        <w:ind w:left="0" w:right="0"/>
        <w:jc w:val="both"/>
        <w:rPr>
          <w:rFonts w:cs="David" w:hint="cs"/>
          <w:sz w:val="23"/>
          <w:rtl/>
        </w:rPr>
      </w:pPr>
      <w:r>
        <w:rPr>
          <w:rFonts w:cs="David" w:hint="cs"/>
          <w:sz w:val="23"/>
          <w:rtl/>
        </w:rPr>
        <w:t xml:space="preserve">הקרן שואפת לחלק פרסים לאנשי מדע בעלי שם; יצוין ש-17 מבין המדענים בתחום הרפואה, הכימיה והפיסיקה שקיבלו פרסים מהקרן, זכו לאחר מכן גם בפרס נובל. </w:t>
      </w:r>
    </w:p>
    <w:p>
      <w:pPr>
        <w:pStyle w:val="a0"/>
        <w:ind w:left="255" w:right="0"/>
        <w:jc w:val="both"/>
        <w:rPr>
          <w:rFonts w:cs="David" w:hint="cs"/>
          <w:sz w:val="23"/>
          <w:rtl/>
        </w:rPr>
      </w:pPr>
    </w:p>
    <w:p>
      <w:pPr>
        <w:pStyle w:val="a0"/>
        <w:ind w:left="0" w:right="0"/>
        <w:jc w:val="both"/>
        <w:rPr>
          <w:rFonts w:cs="David" w:hint="cs"/>
          <w:sz w:val="23"/>
          <w:rtl/>
        </w:rPr>
      </w:pPr>
      <w:r>
        <w:rPr>
          <w:rFonts w:cs="David" w:hint="cs"/>
          <w:sz w:val="23"/>
          <w:rtl/>
        </w:rPr>
        <w:t>המנהל הכללי של הקרן אחראי לניהול כל ענייניה, ובעזרת צוות מצומצם הוא מטפל בהשקעות, בניהול הקשר עם הבנקים שאצלם מופקדים ניירות הערך, בהפעלת המנגנון המסועף לבחירת הזוכים בפרסים, בחלוקת המלגות ומענקי המחקר, בארגון עבודתן של ועדות הפרסים וכן בהכנת התקציב והדוחות הכספיים. משרד מבקר המדינה העיר לקרן, כי היעדרות ממושכת של המנהל הכללי עלולה לפגוע בתפקודה, וכי ריכוז האחריות לניהול כל פעילותה השוטפת בידיו מכביד על סדרי בקרה. בעקבות הביקורת מינתה מועצת הקרן באפריל 1997 ועדת ביקורת בת שלושה חברים. עוד העיר משרד מבקר המדינה לקרן שלנוכח ההפסדים שנגרמו לה בשל עסקות בניירות ערך, על הנאמנים לייחד תשומת לב רבה יותר לנושא זה.</w:t>
      </w:r>
    </w:p>
    <w:p>
      <w:pPr>
        <w:ind w:left="0" w:right="0"/>
        <w:jc w:val="both"/>
        <w:rPr>
          <w:rFonts w:cs="FrankRuehl" w:hint="cs"/>
          <w:sz w:val="24"/>
          <w:rtl/>
        </w:rPr>
      </w:pPr>
    </w:p>
    <w:p>
      <w:pPr>
        <w:ind w:left="0" w:right="0"/>
        <w:jc w:val="both"/>
        <w:rPr>
          <w:rFonts w:cs="FrankRuehl" w:hint="cs"/>
          <w:sz w:val="24"/>
          <w:rtl/>
        </w:rPr>
      </w:pPr>
    </w:p>
    <w:p>
      <w:pPr>
        <w:ind w:left="0" w:right="0"/>
        <w:jc w:val="right"/>
        <w:rPr>
          <w:rFonts w:cs="Narkisim" w:hint="cs"/>
          <w:sz w:val="28"/>
          <w:szCs w:val="28"/>
          <w:rtl/>
        </w:rPr>
      </w:pPr>
      <w:r>
        <w:rPr>
          <w:rFonts w:cs="Narkisim" w:hint="cs"/>
          <w:sz w:val="28"/>
          <w:szCs w:val="28"/>
          <w:rtl/>
        </w:rPr>
        <w:t>מבקר המדינה</w:t>
      </w:r>
    </w:p>
    <w:p>
      <w:pPr>
        <w:ind w:left="0" w:right="0"/>
        <w:jc w:val="both"/>
        <w:rPr>
          <w:rFonts w:cs="David" w:hint="cs"/>
          <w:sz w:val="24"/>
          <w:rtl/>
        </w:rPr>
      </w:pPr>
    </w:p>
    <w:p>
      <w:pPr>
        <w:ind w:left="0" w:right="0"/>
        <w:jc w:val="both"/>
        <w:rPr>
          <w:rFonts w:cs="David" w:hint="cs"/>
          <w:sz w:val="24"/>
          <w:rtl/>
        </w:rPr>
      </w:pPr>
    </w:p>
    <w:p>
      <w:pPr>
        <w:ind w:left="0" w:right="0"/>
        <w:jc w:val="both"/>
        <w:rPr>
          <w:rFonts w:cs="David" w:hint="cs"/>
          <w:sz w:val="24"/>
          <w:rtl/>
        </w:rPr>
      </w:pPr>
      <w:r>
        <w:rPr>
          <w:rFonts w:cs="David" w:hint="cs"/>
          <w:sz w:val="24"/>
          <w:rtl/>
        </w:rPr>
        <w:t>ירושלים, כסלו התשנ"ט</w:t>
      </w:r>
    </w:p>
    <w:p>
      <w:pPr>
        <w:ind w:left="0" w:right="0"/>
        <w:jc w:val="both"/>
        <w:rPr>
          <w:rFonts w:cs="David" w:hint="cs"/>
          <w:sz w:val="24"/>
          <w:rtl/>
        </w:rPr>
      </w:pPr>
      <w:r>
        <w:rPr>
          <w:rFonts w:cs="David" w:hint="cs"/>
          <w:sz w:val="24"/>
          <w:rtl/>
        </w:rPr>
        <w:t xml:space="preserve">                  נובמבר 1998</w:t>
      </w:r>
    </w:p>
    <w:p>
      <w:pPr>
        <w:ind w:left="0" w:right="0"/>
        <w:jc w:val="both"/>
        <w:rPr>
          <w:rFonts w:cs="FrankRuehl" w:hint="cs"/>
          <w:sz w:val="24"/>
          <w:rtl/>
        </w:rPr>
      </w:pPr>
    </w:p>
    <w:sectPr>
      <w:footerReference w:type="even" r:id="rId8"/>
      <w:footerReference w:type="default" r:id="rId9"/>
      <w:pgSz w:w="11906" w:h="16838"/>
      <w:pgMar w:top="567" w:right="2381" w:bottom="284" w:left="2381" w:header="567" w:footer="284" w:gutter="0"/>
      <w:pgNumType w:start="9"/>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David">
    <w:panose1 w:val="00000000000000000000"/>
    <w:charset w:val="B1"/>
    <w:family w:val="auto"/>
    <w:pitch w:val="variable"/>
    <w:sig w:usb0="00001801" w:usb1="00000000" w:usb2="00000000" w:usb3="00000000" w:csb0="00000020" w:csb1="00000000"/>
  </w:font>
  <w:font w:name="Narkisim">
    <w:panose1 w:val="00000000000000000000"/>
    <w:charset w:val="B1"/>
    <w:family w:val="auto"/>
    <w:pitch w:val="variable"/>
    <w:sig w:usb0="00001801" w:usb1="00000000" w:usb2="00000000" w:usb3="00000000" w:csb0="00000020" w:csb1="00000000"/>
  </w:font>
  <w:font w:name="FrankRuehl">
    <w:panose1 w:val="00000000000000000000"/>
    <w:charset w:val="B1"/>
    <w:family w:val="auto"/>
    <w:pitch w:val="variable"/>
    <w:sig w:usb0="00001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ind w:left="0" w:right="360" w:firstLine="360"/>
      <w:jc w:val="both"/>
      <w:rPr>
        <w:rFonts w:cs="FrankRuehl"/>
        <w:sz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hint="cs"/>
        <w:rtl/>
      </w:rPr>
    </w:pPr>
  </w:p>
  <w:p>
    <w:pPr>
      <w:pStyle w:val="Footer"/>
      <w:framePr w:vAnchor="text" w:hAnchor="page" w:x="2806" w:y="-6"/>
      <w:ind w:left="0" w:right="0"/>
      <w:jc w:val="both"/>
      <w:rPr>
        <w:rStyle w:val="PageNumber"/>
        <w:sz w:val="20"/>
        <w:szCs w:val="20"/>
        <w:rtl/>
      </w:rPr>
    </w:pPr>
  </w:p>
  <w:p>
    <w:pPr>
      <w:ind w:left="0" w:right="360" w:firstLine="360"/>
      <w:jc w:val="both"/>
      <w:rPr>
        <w:rStyle w:val="PageNumber"/>
        <w:sz w:val="20"/>
        <w:szCs w:val="20"/>
        <w:rtl/>
      </w:rPr>
    </w:pPr>
  </w:p>
  <w:p>
    <w:pPr>
      <w:ind w:left="0" w:right="360" w:firstLine="360"/>
      <w:jc w:val="both"/>
      <w:rPr>
        <w:rFonts w:cs="FrankRuehl"/>
        <w:sz w:val="24"/>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ind w:left="0" w:right="360" w:firstLine="360"/>
      <w:jc w:val="both"/>
      <w:rPr>
        <w:rFonts w:cs="FrankRuehl" w:hint="cs"/>
        <w:sz w:val="24"/>
        <w:rtl/>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hint="cs"/>
        <w:rtl/>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pPr>
      <w:pStyle w:val="Footer"/>
      <w:framePr w:vAnchor="text" w:hAnchor="page" w:x="2806" w:y="-6"/>
      <w:ind w:left="0" w:right="0"/>
      <w:jc w:val="both"/>
      <w:rPr>
        <w:rStyle w:val="PageNumber"/>
        <w:sz w:val="20"/>
        <w:szCs w:val="20"/>
        <w:rtl/>
      </w:rPr>
    </w:pPr>
  </w:p>
  <w:p>
    <w:pPr>
      <w:ind w:left="0" w:right="360" w:firstLine="360"/>
      <w:jc w:val="both"/>
      <w:rPr>
        <w:rStyle w:val="PageNumber"/>
        <w:sz w:val="20"/>
        <w:szCs w:val="20"/>
        <w:rtl/>
      </w:rPr>
    </w:pPr>
  </w:p>
  <w:p>
    <w:pPr>
      <w:ind w:left="0" w:right="360" w:firstLine="360"/>
      <w:jc w:val="both"/>
      <w:rPr>
        <w:rFonts w:cs="FrankRuehl"/>
        <w:sz w:val="24"/>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ind w:left="0" w:right="0"/>
        <w:jc w:val="both"/>
        <w:rPr>
          <w:rFonts w:hint="cs"/>
          <w:rtl/>
        </w:rPr>
      </w:pPr>
      <w:r>
        <w:rPr>
          <w:rStyle w:val="FootnoteReference"/>
          <w:sz w:val="24"/>
          <w:rtl/>
        </w:rPr>
        <w:footnoteRef/>
      </w:r>
      <w:r>
        <w:rPr>
          <w:rFonts w:cs="FrankRuehl" w:hint="cs"/>
          <w:sz w:val="22"/>
          <w:szCs w:val="22"/>
          <w:rtl/>
        </w:rPr>
        <w:t>בשנים 1961- 1973 כיהן ד"ר וולף כשגריר קובה בישראל</w:t>
      </w:r>
      <w:r>
        <w:rPr>
          <w:rFonts w:hint="cs"/>
          <w:sz w:val="24"/>
          <w:rtl/>
        </w:rPr>
        <w:t>.</w:t>
      </w:r>
    </w:p>
  </w:footnote>
  <w:footnote w:id="1">
    <w:p>
      <w:pPr>
        <w:pStyle w:val="FootnoteText"/>
        <w:ind w:left="0" w:right="0"/>
        <w:jc w:val="both"/>
        <w:rPr>
          <w:rFonts w:cs="FrankRuehl" w:hint="cs"/>
          <w:sz w:val="22"/>
          <w:rtl/>
        </w:rPr>
      </w:pPr>
      <w:r>
        <w:rPr>
          <w:rStyle w:val="FootnoteReference"/>
          <w:rFonts w:cs="FrankRuehl" w:hint="cs"/>
          <w:sz w:val="22"/>
          <w:rtl/>
        </w:rPr>
        <w:t>2</w:t>
      </w:r>
      <w:r>
        <w:rPr>
          <w:rFonts w:cs="FrankRuehl" w:hint="cs"/>
        </w:rPr>
        <w:t xml:space="preserve"> </w:t>
      </w:r>
      <w:r>
        <w:rPr>
          <w:rFonts w:cs="FrankRuehl" w:hint="cs"/>
          <w:sz w:val="22"/>
          <w:rtl/>
        </w:rPr>
        <w:t>בעניין הנדל"ן ראה להלן, עמ' 19.</w:t>
      </w:r>
    </w:p>
    <w:p>
      <w:pPr>
        <w:pStyle w:val="FootnoteText"/>
        <w:ind w:left="0" w:right="0"/>
        <w:jc w:val="both"/>
        <w:rPr>
          <w:rFonts w:hint="cs"/>
          <w:rtl/>
        </w:rPr>
      </w:pPr>
    </w:p>
  </w:footnote>
  <w:footnote w:id="2">
    <w:p>
      <w:pPr>
        <w:ind w:left="0" w:right="0"/>
        <w:jc w:val="both"/>
        <w:rPr>
          <w:rFonts w:hint="cs"/>
          <w:rtl/>
        </w:rPr>
      </w:pPr>
      <w:r>
        <w:rPr>
          <w:rStyle w:val="FootnoteReference"/>
          <w:rFonts w:cs="FrankRuehl" w:hint="cs"/>
          <w:sz w:val="24"/>
          <w:rtl/>
        </w:rPr>
        <w:t>3</w:t>
      </w:r>
      <w:r>
        <w:rPr>
          <w:rFonts w:cs="FrankRuehl" w:hint="cs"/>
          <w:sz w:val="24"/>
          <w:rtl/>
        </w:rPr>
        <w:t xml:space="preserve"> </w:t>
      </w:r>
      <w:r>
        <w:rPr>
          <w:rFonts w:cs="FrankRuehl" w:hint="cs"/>
          <w:sz w:val="22"/>
          <w:szCs w:val="22"/>
          <w:rtl/>
        </w:rPr>
        <w:t>בפועל לא ניצלו המייסדים זכות זו.</w:t>
      </w:r>
    </w:p>
  </w:footnote>
  <w:footnote w:id="3">
    <w:p>
      <w:pPr>
        <w:ind w:left="0" w:right="0"/>
        <w:jc w:val="both"/>
        <w:rPr>
          <w:rFonts w:cs="FrankRuehl" w:hint="cs"/>
          <w:sz w:val="24"/>
          <w:rtl/>
        </w:rPr>
      </w:pPr>
      <w:r>
        <w:rPr>
          <w:rStyle w:val="FootnoteReference"/>
          <w:rFonts w:cs="FrankRuehl"/>
          <w:sz w:val="24"/>
          <w:rtl/>
        </w:rPr>
        <w:footnoteRef/>
      </w:r>
      <w:r>
        <w:rPr>
          <w:rFonts w:cs="FrankRuehl" w:hint="cs"/>
        </w:rPr>
        <w:t xml:space="preserve"> </w:t>
      </w:r>
      <w:r>
        <w:rPr>
          <w:rFonts w:cs="FrankRuehl" w:hint="cs"/>
          <w:sz w:val="22"/>
          <w:szCs w:val="22"/>
          <w:rtl/>
        </w:rPr>
        <w:t>המייסדים אכן מינו בצוואתם חמישה נאמנים וממלאי מקום להם.</w:t>
      </w:r>
    </w:p>
    <w:p>
      <w:pPr>
        <w:ind w:left="0" w:right="0"/>
        <w:jc w:val="both"/>
        <w:rPr>
          <w:rFonts w:hint="cs"/>
          <w:rtl/>
        </w:rPr>
      </w:pPr>
    </w:p>
  </w:footnote>
  <w:footnote w:id="4">
    <w:p>
      <w:pPr>
        <w:ind w:left="0" w:right="0"/>
        <w:jc w:val="both"/>
        <w:rPr>
          <w:rFonts w:hint="cs"/>
          <w:rtl/>
        </w:rPr>
      </w:pPr>
      <w:r>
        <w:rPr>
          <w:rStyle w:val="FootnoteReference"/>
          <w:rFonts w:cs="FrankRuehl" w:hint="cs"/>
          <w:sz w:val="24"/>
          <w:rtl/>
        </w:rPr>
        <w:t>5</w:t>
      </w:r>
      <w:r>
        <w:rPr>
          <w:rFonts w:cs="FrankRuehl" w:hint="cs"/>
          <w:sz w:val="24"/>
          <w:rtl/>
        </w:rPr>
        <w:t xml:space="preserve"> </w:t>
      </w:r>
      <w:r>
        <w:rPr>
          <w:rFonts w:cs="FrankRuehl" w:hint="cs"/>
          <w:sz w:val="22"/>
          <w:szCs w:val="22"/>
          <w:rtl/>
        </w:rPr>
        <w:t>לפי כללים שקבעה המועצה רשאי יו"ר המועצה למנות חבר מועצה לפעול בשמו ובמקומו</w:t>
      </w:r>
      <w:r>
        <w:rPr>
          <w:rFonts w:hint="cs"/>
          <w:sz w:val="24"/>
          <w:rtl/>
        </w:rPr>
        <w:t>.</w:t>
      </w:r>
    </w:p>
  </w:footnote>
  <w:footnote w:id="5">
    <w:p>
      <w:pPr>
        <w:ind w:left="0" w:right="0"/>
        <w:jc w:val="both"/>
        <w:rPr>
          <w:rFonts w:cs="FrankRuehl" w:hint="cs"/>
          <w:sz w:val="24"/>
          <w:rtl/>
        </w:rPr>
      </w:pPr>
      <w:r>
        <w:rPr>
          <w:rStyle w:val="FootnoteReference"/>
          <w:rFonts w:cs="FrankRuehl"/>
          <w:sz w:val="24"/>
          <w:rtl/>
        </w:rPr>
        <w:footnoteRef/>
      </w:r>
      <w:r>
        <w:rPr>
          <w:rFonts w:hint="cs"/>
        </w:rPr>
        <w:t xml:space="preserve"> </w:t>
      </w:r>
      <w:r>
        <w:rPr>
          <w:rFonts w:cs="FrankRuehl" w:hint="cs"/>
          <w:sz w:val="22"/>
          <w:szCs w:val="22"/>
          <w:rtl/>
        </w:rPr>
        <w:t>היות שיושב ראש חבר הנאמנים הוא תושב ישראל, הוא בדרך כלל, הנאמן החותם עם המנהל הכללי.</w:t>
      </w:r>
    </w:p>
    <w:p>
      <w:pPr>
        <w:ind w:left="0" w:right="0"/>
        <w:jc w:val="both"/>
        <w:rPr>
          <w:rFonts w:hint="cs"/>
          <w:rtl/>
        </w:rPr>
      </w:pPr>
    </w:p>
  </w:footnote>
  <w:footnote w:id="6">
    <w:p>
      <w:pPr>
        <w:ind w:left="0" w:right="0"/>
        <w:jc w:val="both"/>
        <w:rPr>
          <w:rFonts w:cs="FrankRuehl" w:hint="cs"/>
          <w:sz w:val="24"/>
          <w:rtl/>
        </w:rPr>
      </w:pPr>
      <w:r>
        <w:rPr>
          <w:rStyle w:val="FootnoteReference"/>
          <w:rFonts w:cs="FrankRuehl" w:hint="cs"/>
          <w:sz w:val="24"/>
          <w:rtl/>
        </w:rPr>
        <w:t>7</w:t>
      </w:r>
      <w:r>
        <w:rPr>
          <w:rFonts w:hint="cs"/>
        </w:rPr>
        <w:t xml:space="preserve"> </w:t>
      </w:r>
      <w:r>
        <w:rPr>
          <w:rFonts w:cs="FrankRuehl" w:hint="cs"/>
          <w:sz w:val="22"/>
          <w:szCs w:val="22"/>
          <w:rtl/>
        </w:rPr>
        <w:t>כולל פרסים בסך של 0.5 מיליון דולר שניתנו בשנת 1978 מתרומה מיוחדת של המייסדים.</w:t>
      </w:r>
    </w:p>
    <w:p>
      <w:pPr>
        <w:ind w:left="0" w:right="0"/>
        <w:jc w:val="both"/>
        <w:rPr>
          <w:rFonts w:hint="cs"/>
          <w:rtl/>
        </w:rPr>
      </w:pPr>
    </w:p>
  </w:footnote>
  <w:footnote w:id="7">
    <w:p>
      <w:pPr>
        <w:ind w:left="0" w:right="0"/>
        <w:jc w:val="both"/>
        <w:rPr>
          <w:rFonts w:cs="FrankRuehl" w:hint="cs"/>
          <w:sz w:val="24"/>
          <w:rtl/>
        </w:rPr>
      </w:pPr>
      <w:r>
        <w:rPr>
          <w:rStyle w:val="FootnoteReference"/>
          <w:rFonts w:cs="FrankRuehl"/>
          <w:sz w:val="24"/>
          <w:rtl/>
        </w:rPr>
        <w:footnoteRef/>
      </w:r>
      <w:r>
        <w:rPr>
          <w:rFonts w:hint="cs"/>
        </w:rPr>
        <w:t xml:space="preserve"> </w:t>
      </w:r>
      <w:r>
        <w:rPr>
          <w:rFonts w:cs="FrankRuehl" w:hint="cs"/>
          <w:sz w:val="22"/>
          <w:szCs w:val="22"/>
          <w:rtl/>
        </w:rPr>
        <w:t>בשנת 1998 חילקה הקרן פרסים לארבעה מדענים ישראליים.</w:t>
      </w:r>
    </w:p>
    <w:p>
      <w:pPr>
        <w:ind w:left="0" w:right="0"/>
        <w:jc w:val="both"/>
        <w:rPr>
          <w:rFonts w:hint="cs"/>
          <w:rtl/>
        </w:rPr>
      </w:pPr>
    </w:p>
  </w:footnote>
  <w:footnote w:id="8">
    <w:p>
      <w:pPr>
        <w:ind w:left="0" w:right="0"/>
        <w:jc w:val="both"/>
        <w:rPr>
          <w:rFonts w:cs="FrankRuehl" w:hint="cs"/>
          <w:sz w:val="24"/>
          <w:rtl/>
        </w:rPr>
      </w:pPr>
      <w:r>
        <w:rPr>
          <w:rStyle w:val="FootnoteReference"/>
          <w:rFonts w:cs="FrankRuehl" w:hint="cs"/>
          <w:sz w:val="24"/>
          <w:rtl/>
        </w:rPr>
        <w:t>9</w:t>
      </w:r>
      <w:r>
        <w:rPr>
          <w:rFonts w:cs="FrankRuehl" w:hint="cs"/>
          <w:sz w:val="24"/>
          <w:rtl/>
        </w:rPr>
        <w:t xml:space="preserve"> </w:t>
      </w:r>
      <w:r>
        <w:rPr>
          <w:rFonts w:cs="FrankRuehl" w:hint="cs"/>
          <w:sz w:val="22"/>
          <w:szCs w:val="22"/>
          <w:rtl/>
        </w:rPr>
        <w:t>ההשקעות בנדל"ן הוצגו במחיר העלות.</w:t>
      </w:r>
    </w:p>
    <w:p>
      <w:pPr>
        <w:ind w:left="0" w:right="0"/>
        <w:jc w:val="both"/>
        <w:rPr>
          <w:rFonts w:hint="cs"/>
          <w:rtl/>
        </w:rPr>
      </w:pPr>
    </w:p>
  </w:footnote>
  <w:footnote w:id="9">
    <w:p>
      <w:pPr>
        <w:ind w:left="0" w:right="0"/>
        <w:jc w:val="both"/>
        <w:rPr>
          <w:rFonts w:cs="FrankRuehl" w:hint="cs"/>
          <w:sz w:val="24"/>
          <w:rtl/>
        </w:rPr>
      </w:pPr>
      <w:r>
        <w:rPr>
          <w:rStyle w:val="FootnoteReference"/>
          <w:rFonts w:cs="FrankRuehl"/>
          <w:sz w:val="24"/>
          <w:rtl/>
        </w:rPr>
        <w:footnoteRef/>
      </w:r>
      <w:r>
        <w:rPr>
          <w:rFonts w:hint="cs"/>
        </w:rPr>
        <w:t xml:space="preserve"> </w:t>
      </w:r>
      <w:r>
        <w:rPr>
          <w:rFonts w:cs="FrankRuehl" w:hint="cs"/>
          <w:sz w:val="22"/>
          <w:szCs w:val="22"/>
          <w:rtl/>
        </w:rPr>
        <w:t>לא כולל פרסים בסך כולל של 0.5 מיליון דולר שניתנו בשנת 1978, מתרומה מיוחדת של המייסדים.</w:t>
      </w:r>
    </w:p>
    <w:p>
      <w:pPr>
        <w:ind w:left="0" w:right="0"/>
        <w:jc w:val="both"/>
        <w:rPr>
          <w:rFonts w:hint="cs"/>
          <w:rtl/>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attachedTemplate r:id="rId1"/>
  <w:doNotTrackMoves/>
  <w:defaultTabStop w:val="720"/>
  <w:doNotHyphenateCaps/>
  <w:evenAndOddHeaders/>
  <w:drawingGridHorizontalSpacing w:val="60"/>
  <w:drawingGridVerticalSpacing w:val="163"/>
  <w:displayHorizontalDrawingGridEvery w:val="0"/>
  <w:characterSpacingControl w:val="doNotCompress"/>
  <w:compat>
    <w:footnoteLayoutLikeWW8/>
    <w:shapeLayoutLikeWW8/>
    <w:alignTablesRowByRow/>
    <w:forgetLastTabAlignment/>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88" w:lineRule="auto"/>
      <w:ind w:left="0" w:right="0"/>
      <w:jc w:val="both"/>
    </w:pPr>
    <w:rPr>
      <w:szCs w:val="24"/>
      <w:lang w:val="en-US" w:eastAsia="he-IL" w:bidi="he-IL"/>
    </w:rPr>
  </w:style>
  <w:style w:type="paragraph" w:styleId="Heading1">
    <w:name w:val="heading 1"/>
    <w:basedOn w:val="Normal"/>
    <w:next w:val="Normal"/>
    <w:uiPriority w:val="9"/>
    <w:qFormat/>
    <w:pPr>
      <w:keepNext/>
      <w:spacing w:before="100" w:beforeAutospacing="1" w:after="100" w:afterAutospacing="1" w:line="240" w:lineRule="auto"/>
      <w:ind w:left="0" w:right="0"/>
      <w:jc w:val="center"/>
      <w:outlineLvl w:val="0"/>
    </w:pPr>
    <w:rPr>
      <w:b/>
      <w:bCs/>
      <w:kern w:val="28"/>
      <w:sz w:val="32"/>
      <w:szCs w:val="34"/>
    </w:rPr>
  </w:style>
  <w:style w:type="paragraph" w:styleId="Heading2">
    <w:name w:val="heading 2"/>
    <w:basedOn w:val="Normal"/>
    <w:next w:val="Normal"/>
    <w:uiPriority w:val="9"/>
    <w:qFormat/>
    <w:pPr>
      <w:keepNext/>
      <w:spacing w:before="240"/>
      <w:ind w:left="0" w:right="0"/>
      <w:jc w:val="left"/>
      <w:outlineLvl w:val="1"/>
    </w:pPr>
    <w:rPr>
      <w:b/>
      <w:bCs/>
      <w:sz w:val="28"/>
      <w:szCs w:val="28"/>
    </w:rPr>
  </w:style>
  <w:style w:type="paragraph" w:styleId="Heading3">
    <w:name w:val="heading 3"/>
    <w:basedOn w:val="Normal"/>
    <w:next w:val="Normal"/>
    <w:uiPriority w:val="9"/>
    <w:qFormat/>
    <w:pPr>
      <w:keepNext/>
      <w:spacing w:before="100" w:beforeAutospacing="1" w:after="100" w:afterAutospacing="1"/>
      <w:ind w:left="0" w:right="0"/>
      <w:jc w:val="left"/>
      <w:outlineLvl w:val="2"/>
    </w:pPr>
    <w:rPr>
      <w:b/>
      <w:bCs/>
      <w:sz w:val="24"/>
      <w:szCs w:val="27"/>
      <w:lang w:eastAsia="en-US"/>
    </w:rPr>
  </w:style>
  <w:style w:type="paragraph" w:styleId="Heading4">
    <w:name w:val="heading 4"/>
    <w:basedOn w:val="Normal"/>
    <w:next w:val="Normal"/>
    <w:uiPriority w:val="9"/>
    <w:qFormat/>
    <w:pPr>
      <w:keepNext/>
      <w:spacing w:line="200" w:lineRule="atLeast"/>
      <w:ind w:left="0" w:right="0"/>
      <w:jc w:val="both"/>
      <w:outlineLvl w:val="3"/>
    </w:pPr>
    <w:rPr>
      <w:b/>
      <w:bCs/>
      <w:szCs w:val="25"/>
    </w:rPr>
  </w:style>
  <w:style w:type="paragraph" w:styleId="Heading5">
    <w:name w:val="heading 5"/>
    <w:basedOn w:val="Normal"/>
    <w:next w:val="Normal"/>
    <w:uiPriority w:val="9"/>
    <w:qFormat/>
    <w:pPr>
      <w:keepNext/>
      <w:ind w:left="0" w:right="0"/>
      <w:jc w:val="both"/>
      <w:outlineLvl w:val="4"/>
    </w:pPr>
    <w:rPr>
      <w:b/>
      <w:bCs/>
      <w:szCs w:val="22"/>
    </w:rPr>
  </w:style>
  <w:style w:type="paragraph" w:styleId="Heading6">
    <w:name w:val="heading 6"/>
    <w:basedOn w:val="Normal"/>
    <w:next w:val="Normal"/>
    <w:uiPriority w:val="9"/>
    <w:qFormat/>
    <w:pPr>
      <w:keepNext/>
      <w:ind w:left="0" w:right="0"/>
      <w:jc w:val="center"/>
      <w:outlineLvl w:val="5"/>
    </w:pPr>
    <w:rPr>
      <w:sz w:val="36"/>
      <w:szCs w:val="36"/>
    </w:rPr>
  </w:style>
  <w:style w:type="paragraph" w:styleId="Heading7">
    <w:name w:val="heading 7"/>
    <w:basedOn w:val="Normal"/>
    <w:next w:val="Normal"/>
    <w:uiPriority w:val="9"/>
    <w:qFormat/>
    <w:pPr>
      <w:keepNext/>
      <w:ind w:left="0" w:right="0"/>
      <w:jc w:val="center"/>
      <w:outlineLvl w:val="6"/>
    </w:pPr>
    <w:rPr>
      <w:b/>
      <w:bCs/>
      <w:sz w:val="32"/>
      <w:szCs w:val="32"/>
    </w:rPr>
  </w:style>
  <w:style w:type="paragraph" w:styleId="Heading8">
    <w:name w:val="heading 8"/>
    <w:basedOn w:val="Normal"/>
    <w:next w:val="Normal"/>
    <w:uiPriority w:val="9"/>
    <w:qFormat/>
    <w:pPr>
      <w:keepNext/>
      <w:ind w:left="0" w:right="0"/>
      <w:jc w:val="both"/>
      <w:outlineLvl w:val="7"/>
    </w:pPr>
    <w:rPr>
      <w:b/>
      <w:bCs/>
      <w:sz w:val="24"/>
      <w:u w:val="single"/>
    </w:rPr>
  </w:style>
  <w:style w:type="character" w:default="1" w:styleId="DefaultParagraphFont">
    <w:name w:val="Default Paragraph Fon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styleId="Hyperlink">
    <w:name w:val="Hyperlink"/>
    <w:basedOn w:val="DefaultParagraphFont"/>
    <w:rPr>
      <w:rFonts w:ascii="Times New Roman" w:hAnsi="Times New Roman" w:cs="Times New Roman"/>
      <w:color w:val="0000FF"/>
      <w:u w:val="single"/>
    </w:rPr>
  </w:style>
  <w:style w:type="character" w:styleId="FollowedHyperlink">
    <w:name w:val="FollowedHyperlink"/>
    <w:basedOn w:val="DefaultParagraphFont"/>
    <w:rPr>
      <w:color w:val="800080"/>
      <w:u w:val="single"/>
    </w:rPr>
  </w:style>
  <w:style w:type="paragraph" w:styleId="TOC1">
    <w:name w:val="toc 1"/>
    <w:basedOn w:val="Normal"/>
    <w:next w:val="Normal"/>
    <w:autoRedefine/>
    <w:uiPriority w:val="39"/>
    <w:pPr>
      <w:ind w:left="0" w:right="0"/>
      <w:jc w:val="both"/>
    </w:pPr>
  </w:style>
  <w:style w:type="paragraph" w:styleId="TOC2">
    <w:name w:val="toc 2"/>
    <w:basedOn w:val="Normal"/>
    <w:next w:val="Normal"/>
    <w:autoRedefine/>
    <w:uiPriority w:val="39"/>
    <w:pPr>
      <w:ind w:left="200" w:right="0"/>
      <w:jc w:val="both"/>
    </w:pPr>
  </w:style>
  <w:style w:type="paragraph" w:styleId="TOC3">
    <w:name w:val="toc 3"/>
    <w:basedOn w:val="Normal"/>
    <w:next w:val="Normal"/>
    <w:autoRedefine/>
    <w:uiPriority w:val="39"/>
    <w:pPr>
      <w:ind w:left="400" w:right="0"/>
      <w:jc w:val="both"/>
    </w:pPr>
  </w:style>
  <w:style w:type="paragraph" w:styleId="TOC4">
    <w:name w:val="toc 4"/>
    <w:basedOn w:val="Normal"/>
    <w:next w:val="Normal"/>
    <w:autoRedefine/>
    <w:uiPriority w:val="39"/>
    <w:pPr>
      <w:ind w:left="600" w:right="0"/>
      <w:jc w:val="both"/>
    </w:pPr>
  </w:style>
  <w:style w:type="paragraph" w:styleId="TOC5">
    <w:name w:val="toc 5"/>
    <w:basedOn w:val="Normal"/>
    <w:next w:val="Normal"/>
    <w:autoRedefine/>
    <w:uiPriority w:val="39"/>
    <w:pPr>
      <w:ind w:left="800" w:right="0"/>
      <w:jc w:val="both"/>
    </w:pPr>
  </w:style>
  <w:style w:type="paragraph" w:styleId="TOC6">
    <w:name w:val="toc 6"/>
    <w:basedOn w:val="Normal"/>
    <w:next w:val="Normal"/>
    <w:autoRedefine/>
    <w:uiPriority w:val="39"/>
    <w:pPr>
      <w:ind w:left="1000" w:right="0"/>
      <w:jc w:val="both"/>
    </w:pPr>
  </w:style>
  <w:style w:type="paragraph" w:styleId="TOC7">
    <w:name w:val="toc 7"/>
    <w:basedOn w:val="Normal"/>
    <w:next w:val="Normal"/>
    <w:autoRedefine/>
    <w:uiPriority w:val="39"/>
    <w:pPr>
      <w:ind w:left="1200" w:right="0"/>
      <w:jc w:val="both"/>
    </w:pPr>
  </w:style>
  <w:style w:type="paragraph" w:styleId="TOC8">
    <w:name w:val="toc 8"/>
    <w:basedOn w:val="Normal"/>
    <w:next w:val="Normal"/>
    <w:autoRedefine/>
    <w:uiPriority w:val="39"/>
    <w:pPr>
      <w:ind w:left="1400" w:right="0"/>
      <w:jc w:val="both"/>
    </w:pPr>
  </w:style>
  <w:style w:type="paragraph" w:styleId="TOC9">
    <w:name w:val="toc 9"/>
    <w:basedOn w:val="Normal"/>
    <w:next w:val="Normal"/>
    <w:autoRedefine/>
    <w:uiPriority w:val="39"/>
    <w:pPr>
      <w:ind w:left="1600" w:right="0"/>
      <w:jc w:val="both"/>
    </w:pPr>
  </w:style>
  <w:style w:type="paragraph" w:styleId="FootnoteText">
    <w:name w:val="footnote text"/>
    <w:basedOn w:val="Normal"/>
    <w:pPr>
      <w:ind w:left="0" w:right="0"/>
      <w:jc w:val="both"/>
    </w:pPr>
    <w:rPr>
      <w:szCs w:val="22"/>
    </w:rPr>
  </w:style>
  <w:style w:type="paragraph" w:styleId="Header">
    <w:name w:val="header"/>
    <w:basedOn w:val="Normal"/>
    <w:pPr>
      <w:tabs>
        <w:tab w:val="center" w:pos="4153"/>
        <w:tab w:val="right" w:pos="8306"/>
      </w:tabs>
      <w:ind w:left="0" w:right="0"/>
      <w:jc w:val="both"/>
    </w:pPr>
    <w:rPr>
      <w:szCs w:val="22"/>
    </w:rPr>
  </w:style>
  <w:style w:type="paragraph" w:styleId="Footer">
    <w:name w:val="footer"/>
    <w:basedOn w:val="Normal"/>
    <w:pPr>
      <w:tabs>
        <w:tab w:val="center" w:pos="4153"/>
        <w:tab w:val="right" w:pos="8306"/>
      </w:tabs>
      <w:ind w:left="0" w:right="0"/>
      <w:jc w:val="both"/>
    </w:pPr>
    <w:rPr>
      <w:szCs w:val="22"/>
    </w:rPr>
  </w:style>
  <w:style w:type="paragraph" w:customStyle="1" w:styleId="heading15">
    <w:name w:val="heading 1.5"/>
    <w:basedOn w:val="Heading1"/>
    <w:pPr>
      <w:ind w:left="0" w:right="0"/>
      <w:jc w:val="left"/>
      <w:outlineLvl w:val="9"/>
    </w:pPr>
    <w:rPr>
      <w:sz w:val="28"/>
      <w:szCs w:val="30"/>
    </w:rPr>
  </w:style>
  <w:style w:type="paragraph" w:customStyle="1" w:styleId="a">
    <w:name w:val="בולד מפוסק"/>
    <w:basedOn w:val="Normal"/>
    <w:pPr>
      <w:ind w:left="0" w:right="0"/>
      <w:jc w:val="both"/>
    </w:pPr>
    <w:rPr>
      <w:b/>
      <w:bCs/>
      <w:spacing w:val="40"/>
      <w:szCs w:val="22"/>
    </w:rPr>
  </w:style>
  <w:style w:type="paragraph" w:customStyle="1" w:styleId="a0">
    <w:name w:val="בולד"/>
    <w:basedOn w:val="Normal"/>
    <w:pPr>
      <w:ind w:left="255" w:right="0"/>
      <w:jc w:val="both"/>
    </w:pPr>
    <w:rPr>
      <w:b/>
      <w:bCs/>
      <w:szCs w:val="23"/>
    </w:rPr>
  </w:style>
  <w:style w:type="paragraph" w:customStyle="1" w:styleId="a1">
    <w:name w:val="רגיל מוכנס"/>
    <w:basedOn w:val="Normal"/>
    <w:pPr>
      <w:ind w:left="284" w:right="284"/>
      <w:jc w:val="both"/>
    </w:pPr>
  </w:style>
  <w:style w:type="paragraph" w:customStyle="1" w:styleId="a2">
    <w:name w:val="רגיל מוגדל"/>
    <w:basedOn w:val="Normal"/>
    <w:pPr>
      <w:ind w:left="0" w:right="0"/>
      <w:jc w:val="both"/>
    </w:pPr>
  </w:style>
  <w:style w:type="paragraph" w:customStyle="1" w:styleId="a3">
    <w:name w:val="כוכבית"/>
    <w:basedOn w:val="Heading1"/>
    <w:pPr>
      <w:ind w:left="0" w:right="0"/>
      <w:jc w:val="center"/>
    </w:pPr>
    <w:rPr>
      <w:sz w:val="36"/>
      <w:szCs w:val="48"/>
    </w:rPr>
  </w:style>
  <w:style w:type="paragraph" w:customStyle="1" w:styleId="a4">
    <w:name w:val="ראש טבלה"/>
    <w:basedOn w:val="Normal"/>
    <w:pPr>
      <w:ind w:left="0" w:right="0"/>
      <w:jc w:val="both"/>
    </w:pPr>
    <w:rPr>
      <w:szCs w:val="18"/>
      <w:u w:val="single"/>
    </w:rPr>
  </w:style>
  <w:style w:type="paragraph" w:customStyle="1" w:styleId="a5">
    <w:name w:val="טקסט טבלה"/>
    <w:basedOn w:val="a4"/>
    <w:pPr>
      <w:ind w:left="0" w:right="0"/>
      <w:jc w:val="both"/>
    </w:pPr>
    <w:rPr>
      <w:szCs w:val="21"/>
      <w:u w:val="none"/>
    </w:rPr>
  </w:style>
  <w:style w:type="paragraph" w:customStyle="1" w:styleId="a6">
    <w:name w:val="שם משרד"/>
    <w:basedOn w:val="Heading1"/>
    <w:pPr>
      <w:pBdr>
        <w:bottom w:val="single" w:sz="4" w:space="1" w:color="auto"/>
      </w:pBdr>
      <w:ind w:left="0" w:right="0"/>
      <w:jc w:val="right"/>
    </w:pPr>
    <w:rPr>
      <w:b w:val="0"/>
      <w:bCs w:val="0"/>
      <w:szCs w:val="36"/>
    </w:rPr>
  </w:style>
  <w:style w:type="paragraph" w:customStyle="1" w:styleId="a7">
    <w:name w:val="פעולות ביקורת"/>
    <w:basedOn w:val="Heading2"/>
    <w:pPr>
      <w:spacing w:before="120" w:after="200"/>
      <w:ind w:left="0" w:right="-57"/>
      <w:jc w:val="left"/>
    </w:pPr>
    <w:rPr>
      <w:spacing w:val="40"/>
      <w:szCs w:val="30"/>
    </w:rPr>
  </w:style>
  <w:style w:type="paragraph" w:customStyle="1" w:styleId="a8">
    <w:name w:val="יחידת סמך"/>
    <w:basedOn w:val="a7"/>
    <w:pPr>
      <w:spacing w:before="160" w:after="360"/>
      <w:ind w:left="0" w:right="-57"/>
      <w:jc w:val="left"/>
    </w:pPr>
    <w:rPr>
      <w:spacing w:val="0"/>
      <w:szCs w:val="32"/>
    </w:rPr>
  </w:style>
  <w:style w:type="paragraph" w:customStyle="1" w:styleId="a9">
    <w:name w:val="פריאמבל"/>
    <w:basedOn w:val="a2"/>
    <w:pPr>
      <w:ind w:left="454" w:right="454"/>
      <w:jc w:val="both"/>
    </w:pPr>
  </w:style>
  <w:style w:type="paragraph" w:customStyle="1" w:styleId="a10">
    <w:name w:val="מלל מוצלל"/>
    <w:basedOn w:val="Normal"/>
    <w:pPr>
      <w:pBdr>
        <w:top w:val="single" w:sz="4" w:space="8" w:color="FFFFFF"/>
        <w:left w:val="single" w:sz="4" w:space="12" w:color="FFFFFF"/>
        <w:bottom w:val="single" w:sz="4" w:space="8" w:color="FFFFFF"/>
        <w:right w:val="single" w:sz="4" w:space="12" w:color="FFFFFF"/>
      </w:pBdr>
      <w:shd w:val="pct10" w:color="auto" w:fill="FFFFFF"/>
      <w:ind w:left="305" w:right="284"/>
      <w:jc w:val="both"/>
    </w:pPr>
  </w:style>
  <w:style w:type="paragraph" w:customStyle="1" w:styleId="a11">
    <w:name w:val="מלל תוכן עניינים"/>
    <w:basedOn w:val="Normal"/>
    <w:pPr>
      <w:spacing w:after="60"/>
      <w:ind w:left="159" w:right="0"/>
      <w:jc w:val="both"/>
    </w:pPr>
    <w:rPr>
      <w:kern w:val="28"/>
      <w:sz w:val="24"/>
    </w:rPr>
  </w:style>
  <w:style w:type="paragraph" w:customStyle="1" w:styleId="a12">
    <w:name w:val="כותרת תוכן עניינים"/>
    <w:basedOn w:val="Normal"/>
    <w:pPr>
      <w:spacing w:after="60"/>
      <w:ind w:left="159" w:right="0"/>
      <w:jc w:val="center"/>
    </w:pPr>
    <w:rPr>
      <w:b/>
      <w:bCs/>
      <w:kern w:val="28"/>
      <w:sz w:val="32"/>
      <w:szCs w:val="32"/>
    </w:rPr>
  </w:style>
  <w:style w:type="paragraph" w:customStyle="1" w:styleId="a13">
    <w:name w:val="מלל תוכן עניינים מודגש"/>
    <w:basedOn w:val="Normal"/>
    <w:pPr>
      <w:spacing w:after="60"/>
      <w:ind w:left="159" w:right="0"/>
      <w:jc w:val="both"/>
    </w:pPr>
    <w:rPr>
      <w:b/>
      <w:bCs/>
      <w:kern w:val="28"/>
      <w:sz w:val="28"/>
      <w:szCs w:val="28"/>
    </w:rPr>
  </w:style>
  <w:style w:type="paragraph" w:customStyle="1" w:styleId="-">
    <w:name w:val="רגיל-דוד"/>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bidi/>
      <w:adjustRightInd w:val="0"/>
      <w:spacing w:line="240" w:lineRule="atLeast"/>
      <w:ind w:left="0" w:right="0"/>
      <w:jc w:val="both"/>
    </w:pPr>
    <w:rPr>
      <w:b/>
      <w:bCs/>
      <w:sz w:val="24"/>
      <w:szCs w:val="24"/>
      <w:lang w:val="en-US" w:eastAsia="he-IL" w:bidi="he-IL"/>
    </w:rPr>
  </w:style>
  <w:style w:type="paragraph" w:customStyle="1" w:styleId="2">
    <w:name w:val="דויד2"/>
    <w:basedOn w:val="Normal"/>
    <w:next w:val="Normal"/>
    <w:pPr>
      <w:widowControl w:val="0"/>
      <w:spacing w:line="240" w:lineRule="atLeast"/>
      <w:ind w:left="0" w:right="0"/>
      <w:jc w:val="both"/>
    </w:pPr>
    <w:rPr>
      <w:szCs w:val="23"/>
    </w:rPr>
  </w:style>
  <w:style w:type="character" w:styleId="FootnoteReference">
    <w:name w:val="footnote reference"/>
    <w:basedOn w:val="DefaultParagraphFont"/>
    <w:rPr>
      <w:rFonts w:ascii="Times New Roman" w:hAnsi="Times New Roman" w:cs="Times New Roman"/>
      <w:vertAlign w:val="superscript"/>
    </w:rPr>
  </w:style>
  <w:style w:type="character" w:styleId="PageNumber">
    <w:name w:val="page number"/>
    <w:basedOn w:val="DefaultParagraphFont"/>
    <w:rPr>
      <w:rFonts w:ascii="Arial" w:hAnsi="Arial" w:cs="Arial"/>
      <w:sz w:val="24"/>
      <w:szCs w:val="24"/>
    </w:rPr>
  </w:style>
  <w:style w:type="character" w:styleId="EndnoteReference">
    <w:name w:val="endnote reference"/>
    <w:basedOn w:val="DefaultParagraphFont"/>
    <w:rPr>
      <w:rFonts w:ascii="Times New Roman" w:hAnsi="Times New Roman" w:cs="Times New Roman"/>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footnotes" Target="footnot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footer" Target="footer4.xml"/></Relationships>
</file>

<file path=word/_rels/settings.xml.rels>&#65279;<?xml version="1.0" encoding="utf-8" standalone="yes"?><Relationships xmlns="http://schemas.openxmlformats.org/package/2006/relationships"><Relationship Id="rId1" Type="http://schemas.openxmlformats.org/officeDocument/2006/relationships/attachedTemplate" Target="Normal" TargetMode="External"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0B202C6-2BFE-4944-8C9B-F360217046D6}"/>
</file>

<file path=customXml/itemProps2.xml><?xml version="1.0" encoding="utf-8"?>
<ds:datastoreItem xmlns:ds="http://schemas.openxmlformats.org/officeDocument/2006/customXml" ds:itemID="{DB25D3E4-AC35-409A-868F-89306ED66120}"/>
</file>

<file path=customXml/itemProps3.xml><?xml version="1.0" encoding="utf-8"?>
<ds:datastoreItem xmlns:ds="http://schemas.openxmlformats.org/officeDocument/2006/customXml" ds:itemID="{FF36CFC7-7DE1-46BF-B773-04FB12C9E0B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