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8311D8" w:rsidP="008311D8">
      <w:pPr>
        <w:spacing w:before="120" w:after="120" w:line="360" w:lineRule="auto"/>
        <w:jc w:val="both"/>
        <w:rPr>
          <w:rtl/>
        </w:rPr>
      </w:pPr>
      <w:bookmarkStart w:id="0" w:name="_GoBack"/>
      <w:bookmarkEnd w:id="0"/>
    </w:p>
    <w:p w:rsidR="008311D8" w:rsidRPr="008311D8" w:rsidP="008311D8">
      <w:pPr>
        <w:spacing w:before="120" w:after="120" w:line="360" w:lineRule="auto"/>
        <w:jc w:val="both"/>
        <w:rPr>
          <w:rtl/>
        </w:rPr>
      </w:pPr>
      <w:r w:rsidRPr="008311D8">
        <w:rPr>
          <w:rFonts w:hint="cs"/>
          <w:rtl/>
        </w:rPr>
        <w:t>מערכת ההשכלה הגבוהה בישראל היא אחת ממערכות התשתית החשובות והחיוניות ביותר למדינת ישראל. בשנת 1998 היה מספר הסטודנטים כפול ממספרם בתחילת העשור, עקב גלי העלייה ממדינות חבר העמים, הגידול בשנתונים של בוגרי כיתה י"ב ומקבלי תעודת בגרות, והגידול בביקוש להשכלה גבוהה.</w:t>
      </w:r>
    </w:p>
    <w:p w:rsidR="008311D8" w:rsidRPr="008311D8" w:rsidP="008311D8">
      <w:pPr>
        <w:spacing w:before="120" w:after="120" w:line="360" w:lineRule="auto"/>
        <w:jc w:val="both"/>
        <w:rPr>
          <w:rtl/>
        </w:rPr>
      </w:pPr>
      <w:r w:rsidRPr="008311D8">
        <w:rPr>
          <w:rFonts w:hint="cs"/>
          <w:rtl/>
        </w:rPr>
        <w:t>תנאי הכרחי לניהול תקין של מערכת היא קביעת סדרי דיווח אשר יאפשרו קבלת תמונת מצב כספי מלאה, על מנת לאתר את הבעיות העיקריות הטעונות טיפול. במערכת ההשכלה הגבוהה קיימות מספר בעיות תקציביות כבדות משקל, בעיקר בתחום הפנסיה התקציבית וזכויות אחרות של העובדים. רוב הבעיות לא ניתנות לפתרון בטווח הקצר. חשוב לטפל בהן מבעוד מועד ובראיה לטווח ארוך; כדי להבטיח את יציבותה ואת המשך תרומתה האיכותית לעתיד מדינת ישראל. להשגת מטרות אלה צריך להכין תכניות ותקציביים רב-שנתיים מתאימים ולשפר את סדרי התכנון והבקרה במוסדות להשכלה גבוהה, בתאגידים שלהם ובוועדה לתכנון ולתקצוב של המועצה להשכלה גבוהה. כן יש לחזק את מעמדו וסמכויותיו של נציב תלונות הסטודנטים.</w:t>
      </w:r>
    </w:p>
    <w:p w:rsidR="008311D8" w:rsidP="008311D8">
      <w:pPr>
        <w:spacing w:before="120" w:after="120" w:line="360" w:lineRule="auto"/>
        <w:jc w:val="both"/>
        <w:rPr>
          <w:rtl/>
        </w:rPr>
      </w:pPr>
    </w:p>
    <w:p w:rsidR="008311D8" w:rsidRPr="008311D8" w:rsidP="008311D8">
      <w:pPr>
        <w:spacing w:before="120" w:after="120" w:line="360" w:lineRule="auto"/>
        <w:jc w:val="both"/>
        <w:rPr>
          <w:rtl/>
        </w:rPr>
      </w:pPr>
    </w:p>
    <w:p w:rsidR="008311D8" w:rsidRPr="008311D8" w:rsidP="008311D8">
      <w:pPr>
        <w:spacing w:before="120" w:after="120" w:line="360" w:lineRule="auto"/>
        <w:ind w:left="2880" w:firstLine="720"/>
        <w:jc w:val="both"/>
        <w:rPr>
          <w:rtl/>
        </w:rPr>
      </w:pPr>
      <w:r w:rsidRPr="008311D8">
        <w:rPr>
          <w:rFonts w:hint="cs"/>
          <w:rtl/>
        </w:rPr>
        <w:t>אליעזר גולדברג</w:t>
      </w:r>
    </w:p>
    <w:p w:rsidR="008311D8" w:rsidRPr="008311D8" w:rsidP="008311D8">
      <w:pPr>
        <w:spacing w:before="120" w:after="120" w:line="360" w:lineRule="auto"/>
        <w:ind w:left="3600"/>
        <w:jc w:val="both"/>
        <w:rPr>
          <w:rtl/>
        </w:rPr>
      </w:pPr>
      <w:r w:rsidRPr="008311D8">
        <w:rPr>
          <w:rFonts w:hint="cs"/>
          <w:rtl/>
        </w:rPr>
        <w:t>מבקר המדינה</w:t>
      </w:r>
    </w:p>
    <w:p w:rsidR="008311D8" w:rsidRPr="008311D8" w:rsidP="008311D8">
      <w:pPr>
        <w:spacing w:before="120" w:after="120" w:line="360" w:lineRule="auto"/>
        <w:ind w:left="2880" w:firstLine="720"/>
        <w:jc w:val="both"/>
        <w:rPr>
          <w:rtl/>
        </w:rPr>
      </w:pPr>
      <w:r w:rsidRPr="008311D8">
        <w:rPr>
          <w:rFonts w:hint="cs"/>
          <w:rtl/>
        </w:rPr>
        <w:t>ונציב תלונות הציבור</w:t>
      </w:r>
    </w:p>
    <w:p w:rsidR="008311D8" w:rsidRPr="008311D8" w:rsidP="008311D8">
      <w:pPr>
        <w:spacing w:before="120" w:after="120" w:line="360" w:lineRule="auto"/>
        <w:jc w:val="both"/>
        <w:rPr>
          <w:rtl/>
        </w:rPr>
      </w:pPr>
      <w:r w:rsidRPr="008311D8">
        <w:rPr>
          <w:rFonts w:hint="cs"/>
          <w:rtl/>
        </w:rPr>
        <w:t>ירושלים, ניסן התשנ"ט</w:t>
      </w:r>
    </w:p>
    <w:p w:rsidR="008311D8" w:rsidRPr="008311D8" w:rsidP="008311D8">
      <w:pPr>
        <w:tabs>
          <w:tab w:val="left" w:pos="1388"/>
        </w:tabs>
        <w:spacing w:before="120" w:after="120" w:line="360" w:lineRule="auto"/>
        <w:jc w:val="both"/>
        <w:rPr>
          <w:rtl/>
        </w:rPr>
      </w:pPr>
      <w:r w:rsidRPr="008311D8">
        <w:rPr>
          <w:rFonts w:hint="cs"/>
          <w:rtl/>
        </w:rPr>
        <w:t xml:space="preserve"> אפריל 1999</w:t>
      </w:r>
    </w:p>
    <w:p w:rsidR="008311D8" w:rsidP="008311D8">
      <w:pPr>
        <w:spacing w:before="120" w:after="120" w:line="360" w:lineRule="auto"/>
        <w:jc w:val="both"/>
        <w:rPr>
          <w:rtl/>
        </w:rPr>
      </w:pPr>
    </w:p>
    <w:p w:rsidR="008311D8" w:rsidP="008311D8">
      <w:pPr>
        <w:spacing w:before="120" w:after="120" w:line="360" w:lineRule="auto"/>
        <w:jc w:val="both"/>
        <w:rPr>
          <w:rtl/>
        </w:rPr>
      </w:pPr>
    </w:p>
    <w:p w:rsidR="008311D8" w:rsidP="008311D8">
      <w:pPr>
        <w:spacing w:before="120" w:after="120" w:line="360" w:lineRule="auto"/>
        <w:jc w:val="both"/>
        <w:rPr>
          <w:rtl/>
        </w:rPr>
      </w:pPr>
    </w:p>
    <w:p w:rsidR="008311D8" w:rsidP="008311D8">
      <w:pPr>
        <w:spacing w:before="120" w:after="120" w:line="360" w:lineRule="auto"/>
        <w:jc w:val="both"/>
        <w:rPr>
          <w:rtl/>
        </w:rPr>
      </w:pPr>
    </w:p>
    <w:p w:rsidR="008311D8" w:rsidP="008311D8">
      <w:pPr>
        <w:spacing w:before="120" w:after="120" w:line="360" w:lineRule="auto"/>
        <w:jc w:val="both"/>
        <w:rPr>
          <w:rtl/>
        </w:rPr>
      </w:pPr>
      <w:r w:rsidRPr="008311D8">
        <w:rPr>
          <w:rFonts w:hint="cs"/>
          <w:rtl/>
        </w:rPr>
        <w:t>בקובץ זה מובאים דוחות ביקורת על הוועדה לתכנון ולתקצוב של המועצה להשכלה גבוהה (ות"ת) ועל שבעה מוסדות להשכלה גבוהה: האוניברסיטה העברית בירושלים, אוניברסיטת תל אביב, אוניברסיטת בר אילן, הטכניון - מכון טכנולוגי לישראל, אוניברסיטת חיפה, אוניברסיטת בן גוריון בנגב, ומכון ויצמן למדע.</w:t>
      </w:r>
    </w:p>
    <w:p w:rsidR="008311D8" w:rsidRPr="008311D8" w:rsidP="008311D8">
      <w:pPr>
        <w:spacing w:before="120" w:after="120" w:line="360" w:lineRule="auto"/>
        <w:jc w:val="both"/>
        <w:rPr>
          <w:rtl/>
        </w:rPr>
      </w:pPr>
    </w:p>
    <w:p w:rsidR="008311D8" w:rsidRPr="008311D8" w:rsidP="008311D8">
      <w:pPr>
        <w:spacing w:before="120" w:after="120" w:line="360" w:lineRule="auto"/>
        <w:jc w:val="both"/>
        <w:rPr>
          <w:rtl/>
        </w:rPr>
      </w:pPr>
      <w:r w:rsidRPr="008311D8">
        <w:rPr>
          <w:rFonts w:hint="cs"/>
          <w:rtl/>
        </w:rPr>
        <w:t>כל המוסדות האמורים, פרט למועצה להשכלה גבוהה, עומדים לביקורת המדינה מכוח סעיף 9(8) לחוק מבקר המדינה, התשי"ח- 1958 (נוסח משולב), שכן הם נתמכים על ידי הממשלה. המועצה להשכלה גבוהה עומדת לביקורת המדינה מכוח סעיף 9(6) לחוק מבקר המדינה.</w:t>
      </w:r>
    </w:p>
    <w:p w:rsidR="006729E8" w:rsidRPr="008311D8" w:rsidP="008311D8">
      <w:pPr>
        <w:spacing w:before="120" w:after="120" w:line="360" w:lineRule="auto"/>
        <w:jc w:val="both"/>
        <w:rPr>
          <w:rtl/>
        </w:rPr>
      </w:pPr>
    </w:p>
    <w:sectPr w:rsidSect="009C5625">
      <w:headerReference w:type="default" r:id="rId4"/>
      <w:pgSz w:w="11906" w:h="16838"/>
      <w:pgMar w:top="1276" w:right="1800" w:bottom="1418" w:left="1800" w:header="426"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BBC" w:rsidRPr="008311D8" w:rsidP="008311D8">
    <w:pPr>
      <w:spacing w:line="240" w:lineRule="auto"/>
      <w:rPr>
        <w:b/>
        <w:bCs/>
        <w:color w:val="A6A6A6" w:themeColor="background1" w:themeShade="A6"/>
        <w:sz w:val="20"/>
        <w:szCs w:val="20"/>
        <w:rtl/>
      </w:rPr>
    </w:pPr>
    <w:r w:rsidRPr="008311D8">
      <w:rPr>
        <w:rFonts w:hint="cs"/>
        <w:b/>
        <w:bCs/>
        <w:color w:val="A6A6A6" w:themeColor="background1" w:themeShade="A6"/>
        <w:rtl/>
      </w:rPr>
      <w:t>דוח על הביקורת במוסדות להשכלה גבוהה</w:t>
    </w:r>
    <w:r w:rsidRPr="008311D8" w:rsidR="00CD18F1">
      <w:rPr>
        <w:rFonts w:hint="cs"/>
        <w:b/>
        <w:bCs/>
        <w:color w:val="A6A6A6" w:themeColor="background1" w:themeShade="A6"/>
        <w:rtl/>
      </w:rPr>
      <w:tab/>
    </w:r>
    <w:r w:rsidRPr="008311D8" w:rsidR="00CD18F1">
      <w:rPr>
        <w:rFonts w:hint="cs"/>
        <w:b/>
        <w:bCs/>
        <w:color w:val="A6A6A6" w:themeColor="background1" w:themeShade="A6"/>
        <w:rtl/>
      </w:rPr>
      <w:tab/>
      <w:t xml:space="preserve">     </w:t>
    </w:r>
    <w:r w:rsidRPr="008311D8">
      <w:rPr>
        <w:rFonts w:hint="cs"/>
        <w:b/>
        <w:bCs/>
        <w:color w:val="A6A6A6" w:themeColor="background1" w:themeShade="A6"/>
        <w:rtl/>
      </w:rPr>
      <w:tab/>
    </w:r>
    <w:r w:rsidRPr="008311D8" w:rsidR="00CD18F1">
      <w:rPr>
        <w:rFonts w:hint="cs"/>
        <w:b/>
        <w:bCs/>
        <w:color w:val="A6A6A6" w:themeColor="background1" w:themeShade="A6"/>
        <w:rtl/>
      </w:rPr>
      <w:t xml:space="preserve">    </w:t>
    </w:r>
    <w:r w:rsidRPr="008311D8" w:rsidR="000C2D8A">
      <w:rPr>
        <w:rFonts w:hint="cs"/>
        <w:b/>
        <w:bCs/>
        <w:color w:val="A6A6A6" w:themeColor="background1" w:themeShade="A6"/>
        <w:rtl/>
      </w:rPr>
      <w:tab/>
      <w:t xml:space="preserve">    </w:t>
    </w:r>
    <w:r w:rsidRPr="008311D8">
      <w:rPr>
        <w:rFonts w:hint="cs"/>
        <w:b/>
        <w:bCs/>
        <w:color w:val="A6A6A6" w:themeColor="background1" w:themeShade="A6"/>
        <w:rtl/>
      </w:rPr>
      <w:t xml:space="preserve">שנת פרסום: </w:t>
    </w:r>
    <w:r w:rsidRPr="008311D8" w:rsidR="009C5625">
      <w:rPr>
        <w:rFonts w:hint="cs"/>
        <w:b/>
        <w:bCs/>
        <w:color w:val="A6A6A6" w:themeColor="background1" w:themeShade="A6"/>
        <w:rtl/>
      </w:rPr>
      <w:t>1999</w:t>
    </w:r>
  </w:p>
  <w:p w:rsidR="003C2525" w:rsidRPr="003C2525" w:rsidP="003C2525">
    <w:pPr>
      <w:spacing w:line="240" w:lineRule="auto"/>
      <w:jc w:val="center"/>
      <w:rPr>
        <w:b/>
        <w:bCs/>
        <w:color w:val="A6A6A6" w:themeColor="background1" w:themeShade="A6"/>
        <w:rtl/>
      </w:rPr>
    </w:pPr>
  </w:p>
  <w:p w:rsidR="008B022D" w:rsidRPr="000F2B28" w:rsidP="000A1BBC">
    <w:pPr>
      <w:tabs>
        <w:tab w:val="left" w:pos="340"/>
      </w:tabs>
      <w:spacing w:after="120" w:line="264" w:lineRule="exact"/>
      <w:jc w:val="both"/>
      <w:rPr>
        <w:color w:val="BFBFBF" w:themeColor="background1" w:themeShade="BF"/>
      </w:rPr>
    </w:pPr>
    <w:r>
      <w:rPr>
        <w:rFonts w:hint="cs"/>
        <w:b/>
        <w:bCs/>
        <w:color w:val="BFBFBF" w:themeColor="background1" w:themeShade="BF"/>
        <w:rtl/>
      </w:rPr>
      <w:tab/>
    </w:r>
    <w:r>
      <w:rPr>
        <w:rFonts w:hint="cs"/>
        <w:b/>
        <w:bCs/>
        <w:color w:val="BFBFBF" w:themeColor="background1" w:themeShade="BF"/>
        <w:rtl/>
      </w:rPr>
      <w:tab/>
    </w:r>
    <w:r>
      <w:rPr>
        <w:rFonts w:hint="cs"/>
        <w:b/>
        <w:bCs/>
        <w:color w:val="BFBFBF" w:themeColor="background1" w:themeShade="BF"/>
        <w:rtl/>
      </w:rPr>
      <w:tab/>
    </w:r>
    <w:r w:rsidRPr="000F2B28">
      <w:rPr>
        <w:rFonts w:hint="cs"/>
        <w:color w:val="BFBFBF" w:themeColor="background1" w:themeShade="BF"/>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A1BBC"/>
    <w:rsid w:val="000C2D8A"/>
    <w:rsid w:val="000F2B28"/>
    <w:rsid w:val="000F30F2"/>
    <w:rsid w:val="001D3FE9"/>
    <w:rsid w:val="002118ED"/>
    <w:rsid w:val="002B050A"/>
    <w:rsid w:val="003C2525"/>
    <w:rsid w:val="003C5578"/>
    <w:rsid w:val="003E4335"/>
    <w:rsid w:val="00517D55"/>
    <w:rsid w:val="00572967"/>
    <w:rsid w:val="005961F8"/>
    <w:rsid w:val="005B3002"/>
    <w:rsid w:val="005B4A59"/>
    <w:rsid w:val="00603B7C"/>
    <w:rsid w:val="00625823"/>
    <w:rsid w:val="00666D05"/>
    <w:rsid w:val="006729E8"/>
    <w:rsid w:val="006C0D67"/>
    <w:rsid w:val="006D02F1"/>
    <w:rsid w:val="00732684"/>
    <w:rsid w:val="007F5447"/>
    <w:rsid w:val="008311D8"/>
    <w:rsid w:val="008B022D"/>
    <w:rsid w:val="008F6C35"/>
    <w:rsid w:val="0091514A"/>
    <w:rsid w:val="009C5625"/>
    <w:rsid w:val="00A10F04"/>
    <w:rsid w:val="00A50D92"/>
    <w:rsid w:val="00A83D7F"/>
    <w:rsid w:val="00B0069C"/>
    <w:rsid w:val="00B94ACE"/>
    <w:rsid w:val="00C32807"/>
    <w:rsid w:val="00C527C0"/>
    <w:rsid w:val="00CD18F1"/>
    <w:rsid w:val="00DB2103"/>
    <w:rsid w:val="00DD7288"/>
    <w:rsid w:val="00EC68B3"/>
    <w:rsid w:val="00F057E7"/>
    <w:rsid w:val="00FF66D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
    <w:uiPriority w:val="9"/>
    <w:semiHidden/>
    <w:unhideWhenUsed/>
    <w:qFormat/>
    <w:rsid w:val="000C2D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4"/>
    <w:uiPriority w:val="9"/>
    <w:semiHidden/>
    <w:unhideWhenUsed/>
    <w:qFormat/>
    <w:rsid w:val="006258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semiHidden/>
    <w:unhideWhenUsed/>
    <w:qFormat/>
    <w:rsid w:val="005B300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7"/>
    <w:uiPriority w:val="9"/>
    <w:semiHidden/>
    <w:unhideWhenUsed/>
    <w:qFormat/>
    <w:rsid w:val="005B30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iPriority w:val="99"/>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 w:type="character" w:customStyle="1" w:styleId="5">
    <w:name w:val="כותרת 5 תו"/>
    <w:basedOn w:val="DefaultParagraphFont"/>
    <w:link w:val="Heading5"/>
    <w:uiPriority w:val="9"/>
    <w:semiHidden/>
    <w:rsid w:val="005B3002"/>
    <w:rPr>
      <w:rFonts w:asciiTheme="majorHAnsi" w:eastAsiaTheme="majorEastAsia" w:hAnsiTheme="majorHAnsi" w:cstheme="majorBidi"/>
      <w:color w:val="243F60" w:themeColor="accent1" w:themeShade="7F"/>
      <w:sz w:val="24"/>
      <w:szCs w:val="24"/>
    </w:rPr>
  </w:style>
  <w:style w:type="character" w:customStyle="1" w:styleId="7">
    <w:name w:val="כותרת 7 תו"/>
    <w:basedOn w:val="DefaultParagraphFont"/>
    <w:link w:val="Heading7"/>
    <w:uiPriority w:val="9"/>
    <w:semiHidden/>
    <w:rsid w:val="005B3002"/>
    <w:rPr>
      <w:rFonts w:asciiTheme="majorHAnsi" w:eastAsiaTheme="majorEastAsia" w:hAnsiTheme="majorHAnsi" w:cstheme="majorBidi"/>
      <w:i/>
      <w:iCs/>
      <w:color w:val="404040" w:themeColor="text1" w:themeTint="BF"/>
      <w:sz w:val="24"/>
      <w:szCs w:val="24"/>
    </w:rPr>
  </w:style>
  <w:style w:type="character" w:customStyle="1" w:styleId="4">
    <w:name w:val="כותרת 4 תו"/>
    <w:basedOn w:val="DefaultParagraphFont"/>
    <w:link w:val="Heading4"/>
    <w:uiPriority w:val="9"/>
    <w:semiHidden/>
    <w:rsid w:val="00625823"/>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a2"/>
    <w:semiHidden/>
    <w:unhideWhenUsed/>
    <w:rsid w:val="00A10F04"/>
    <w:pPr>
      <w:spacing w:line="200" w:lineRule="exact"/>
      <w:jc w:val="both"/>
    </w:pPr>
    <w:rPr>
      <w:rFonts w:asciiTheme="minorHAnsi" w:eastAsiaTheme="minorHAnsi" w:hAnsiTheme="minorHAnsi" w:cstheme="minorBidi"/>
      <w:sz w:val="20"/>
      <w:szCs w:val="20"/>
    </w:rPr>
  </w:style>
  <w:style w:type="character" w:customStyle="1" w:styleId="a2">
    <w:name w:val="טקסט הערת שוליים תו"/>
    <w:basedOn w:val="DefaultParagraphFont"/>
    <w:link w:val="FootnoteText"/>
    <w:semiHidden/>
    <w:rsid w:val="00A10F04"/>
    <w:rPr>
      <w:sz w:val="20"/>
      <w:szCs w:val="20"/>
    </w:rPr>
  </w:style>
  <w:style w:type="character" w:styleId="FootnoteReference">
    <w:name w:val="footnote reference"/>
    <w:basedOn w:val="DefaultParagraphFont"/>
    <w:semiHidden/>
    <w:unhideWhenUsed/>
    <w:rsid w:val="00A10F04"/>
    <w:rPr>
      <w:rFonts w:ascii="FrankRuehl" w:hAnsi="FrankRuehl" w:cs="FrankRuehl" w:hint="cs"/>
      <w:vertAlign w:val="superscript"/>
    </w:rPr>
  </w:style>
  <w:style w:type="character" w:customStyle="1" w:styleId="2">
    <w:name w:val="כותרת 2 תו"/>
    <w:basedOn w:val="DefaultParagraphFont"/>
    <w:link w:val="Heading2"/>
    <w:uiPriority w:val="9"/>
    <w:semiHidden/>
    <w:rsid w:val="000C2D8A"/>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semiHidden/>
    <w:unhideWhenUsed/>
    <w:rsid w:val="000C2D8A"/>
    <w:pPr>
      <w:autoSpaceDE w:val="0"/>
      <w:autoSpaceDN w:val="0"/>
      <w:spacing w:after="60" w:line="288" w:lineRule="auto"/>
      <w:jc w:val="both"/>
    </w:pPr>
    <w:rPr>
      <w:rFonts w:cs="Times New Roman"/>
      <w:sz w:val="20"/>
      <w:szCs w:val="22"/>
      <w:lang w:eastAsia="he-IL"/>
    </w:rPr>
  </w:style>
  <w:style w:type="paragraph" w:customStyle="1" w:styleId="QtxDos">
    <w:name w:val="QtxDos"/>
    <w:rsid w:val="000C2D8A"/>
    <w:pPr>
      <w:autoSpaceDE w:val="0"/>
      <w:autoSpaceDN w:val="0"/>
      <w:spacing w:after="0" w:line="240" w:lineRule="auto"/>
    </w:pPr>
    <w:rPr>
      <w:rFonts w:ascii="Arial" w:eastAsia="Times New Roman" w:hAnsi="Arial" w:cs="Arial"/>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theme" Target="theme/theme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96E807-93DA-492C-8D76-EDC8416A2DFB}"/>
</file>

<file path=customXml/itemProps2.xml><?xml version="1.0" encoding="utf-8"?>
<ds:datastoreItem xmlns:ds="http://schemas.openxmlformats.org/officeDocument/2006/customXml" ds:itemID="{7BFAC99B-40A3-4A90-A723-4E5328084807}"/>
</file>

<file path=customXml/itemProps3.xml><?xml version="1.0" encoding="utf-8"?>
<ds:datastoreItem xmlns:ds="http://schemas.openxmlformats.org/officeDocument/2006/customXml" ds:itemID="{1594BD09-2230-4610-AC41-643AF71AD30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