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C24203" w:rsidP="00C24203">
      <w:pPr>
        <w:rPr>
          <w:rFonts w:cs="FrankRuehl"/>
          <w:sz w:val="18"/>
          <w:szCs w:val="18"/>
        </w:rPr>
      </w:pPr>
      <w:bookmarkStart w:id="0" w:name="_GoBack"/>
      <w:bookmarkEnd w:id="0"/>
    </w:p>
    <w:p w:rsidR="00C24203" w:rsidP="00C24203">
      <w:pPr>
        <w:rPr>
          <w:rFonts w:cs="FrankRuehl"/>
          <w:sz w:val="18"/>
          <w:szCs w:val="18"/>
          <w:rtl/>
        </w:rPr>
      </w:pPr>
    </w:p>
    <w:p w:rsidR="00C24203" w:rsidP="00C24203">
      <w:pPr>
        <w:spacing w:before="120" w:after="120" w:line="360" w:lineRule="auto"/>
        <w:jc w:val="both"/>
        <w:rPr>
          <w:rtl/>
        </w:rPr>
      </w:pPr>
    </w:p>
    <w:p w:rsidR="00C24203" w:rsidP="00C24203">
      <w:pPr>
        <w:spacing w:before="120" w:after="120" w:line="360" w:lineRule="auto"/>
        <w:jc w:val="both"/>
        <w:rPr>
          <w:rtl/>
        </w:rPr>
      </w:pPr>
    </w:p>
    <w:p w:rsidR="00C24203" w:rsidRPr="00C24203" w:rsidP="00C24203">
      <w:pPr>
        <w:spacing w:before="120" w:after="120" w:line="360" w:lineRule="auto"/>
        <w:jc w:val="both"/>
        <w:rPr>
          <w:rtl/>
        </w:rPr>
      </w:pPr>
      <w:r w:rsidRPr="00C24203">
        <w:rPr>
          <w:rFonts w:hint="cs"/>
          <w:rtl/>
        </w:rPr>
        <w:t>דין וחשבון זה של מבקר המדינה מסכם ביקורת שנעשתה בחברה הישראלית לביטוח סיכוני סחר חוץ בע"מ על מתן ערבויות ליצואנים; בדיקות השלמה נעשו במשרד האוצר ובמשרד התעשייה והמסחר. אחד מפרקי הדוח עוסק במתן ערבות אשראי קונים לחברה בחו"ל.</w:t>
      </w:r>
    </w:p>
    <w:p w:rsidR="00C24203" w:rsidRPr="00C24203" w:rsidP="00C24203">
      <w:pPr>
        <w:spacing w:before="120" w:after="120" w:line="360" w:lineRule="auto"/>
        <w:jc w:val="both"/>
        <w:rPr>
          <w:rtl/>
        </w:rPr>
      </w:pPr>
    </w:p>
    <w:p w:rsidR="00C24203" w:rsidRPr="00C24203" w:rsidP="00C24203">
      <w:pPr>
        <w:spacing w:before="120" w:after="120" w:line="360" w:lineRule="auto"/>
        <w:jc w:val="both"/>
        <w:rPr>
          <w:rtl/>
        </w:rPr>
      </w:pPr>
      <w:r w:rsidRPr="00C24203">
        <w:rPr>
          <w:rFonts w:hint="cs"/>
          <w:rtl/>
        </w:rPr>
        <w:t>החברה הישראלית לביטוח סיכוני סחר חוץ בע"מ עומדת לביקורת מבקר המדינה לפי סעיף 9 (5) לחוק מבקר המדינה, התשי"ח1958- [נוסח משולב], בהיותה גוף שהממשלה משתתפת בהנהלתו. החברה היא חברה ממשלתית כמשמעותה בחוק החברות הממשלתיות, התשל"ה1975-. שר התעשייה והמסחר אחראי לענייניה לפי חוק זה, ובידו, יחד עם ראש הממשלה, הסמכויות המפורטות בחוק בענייני החברה.</w:t>
      </w:r>
    </w:p>
    <w:p w:rsidR="00C24203" w:rsidRPr="00C24203" w:rsidP="00C24203">
      <w:pPr>
        <w:spacing w:before="120" w:after="120" w:line="360" w:lineRule="auto"/>
        <w:jc w:val="both"/>
        <w:rPr>
          <w:rtl/>
        </w:rPr>
      </w:pPr>
    </w:p>
    <w:p w:rsidR="00C24203" w:rsidRPr="00C24203" w:rsidP="00C24203">
      <w:pPr>
        <w:spacing w:before="120" w:after="120" w:line="360" w:lineRule="auto"/>
        <w:jc w:val="both"/>
        <w:rPr>
          <w:rtl/>
        </w:rPr>
      </w:pPr>
      <w:r w:rsidRPr="00C24203">
        <w:rPr>
          <w:rFonts w:hint="cs"/>
          <w:rtl/>
        </w:rPr>
        <w:t>בשנים 1996-1993 הציג משרד מבקר המדינה לפני החברה, משרד האוצר, משרד התעשייה והמסחר ורשות החברות הממשלתיות במסמכים מפורטים את הליקויים שהוא העלה בהפעלת תכנית הערבויות. כתוצאה מליקויים אלה הגיעו התביעות שבסס"ח שילמה לבנקים בשנים 1996-1990 בשל ערבויות שנתנה או חידשה באותן שנים לסך כולל של כ- 88.2 מיליון דולר, והשתתפות המדינה בכיסוי התביעות האלה הגיעה לכ- 33.2 מיליון דולר.</w:t>
      </w:r>
    </w:p>
    <w:p w:rsidR="00C24203" w:rsidRPr="00C24203" w:rsidP="00C24203">
      <w:pPr>
        <w:spacing w:before="120" w:after="120" w:line="360" w:lineRule="auto"/>
        <w:jc w:val="both"/>
        <w:rPr>
          <w:rtl/>
        </w:rPr>
      </w:pPr>
    </w:p>
    <w:p w:rsidR="00C24203" w:rsidRPr="00C24203" w:rsidP="00C24203">
      <w:pPr>
        <w:spacing w:before="120" w:after="120" w:line="360" w:lineRule="auto"/>
        <w:jc w:val="both"/>
        <w:rPr>
          <w:rtl/>
        </w:rPr>
      </w:pPr>
      <w:r w:rsidRPr="00C24203">
        <w:rPr>
          <w:rFonts w:hint="cs"/>
          <w:rtl/>
        </w:rPr>
        <w:t>בדוח זה מרוכזים ממצאי הביקורת העיקריים הנוגעים לאופן הפעלתה של תכנית הערבויות, וכן הצעדים שננקטו בעקבותיהם על ידי החברה ומשרד האוצר עד 1998.</w:t>
      </w:r>
    </w:p>
    <w:p w:rsidR="00C24203" w:rsidRPr="00C24203" w:rsidP="00C24203">
      <w:pPr>
        <w:spacing w:before="120" w:after="120" w:line="360" w:lineRule="auto"/>
        <w:jc w:val="both"/>
        <w:rPr>
          <w:rtl/>
        </w:rPr>
      </w:pPr>
    </w:p>
    <w:p w:rsidR="006729E8" w:rsidRPr="00C24203" w:rsidP="00C24203">
      <w:pPr>
        <w:spacing w:before="120" w:after="120" w:line="360" w:lineRule="auto"/>
        <w:jc w:val="both"/>
        <w:rPr>
          <w:rtl/>
        </w:rPr>
      </w:pPr>
    </w:p>
    <w:sectPr w:rsidSect="00672FCC">
      <w:headerReference w:type="default" r:id="rId5"/>
      <w:pgSz w:w="11906" w:h="16838"/>
      <w:pgMar w:top="993" w:right="1800" w:bottom="851" w:left="1800" w:header="426"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4203" w:rsidRPr="00C24203" w:rsidP="00C24203">
    <w:pPr>
      <w:tabs>
        <w:tab w:val="left" w:pos="5385"/>
      </w:tabs>
      <w:spacing w:line="360" w:lineRule="auto"/>
      <w:rPr>
        <w:b/>
        <w:bCs/>
        <w:color w:val="A6A6A6" w:themeColor="background1" w:themeShade="A6"/>
        <w:rtl/>
      </w:rPr>
    </w:pPr>
    <w:r w:rsidRPr="00C24203">
      <w:rPr>
        <w:rFonts w:hint="cs"/>
        <w:b/>
        <w:bCs/>
        <w:color w:val="A6A6A6" w:themeColor="background1" w:themeShade="A6"/>
        <w:rtl/>
      </w:rPr>
      <w:t xml:space="preserve">דוח על הביקורת בחברה הישראלית לביטוח סיכוני סחר חוץ בע"מ  </w:t>
    </w:r>
    <w:r w:rsidRPr="00C24203">
      <w:rPr>
        <w:rFonts w:hint="cs"/>
        <w:b/>
        <w:bCs/>
        <w:color w:val="A6A6A6" w:themeColor="background1" w:themeShade="A6"/>
        <w:rtl/>
      </w:rPr>
      <w:tab/>
      <w:t xml:space="preserve">    שנת פרסום: 1999</w:t>
    </w:r>
  </w:p>
  <w:p w:rsidR="000A1BBC" w:rsidRPr="00C24203" w:rsidP="00C24203">
    <w:pPr>
      <w:spacing w:line="360" w:lineRule="auto"/>
      <w:rPr>
        <w:b/>
        <w:bCs/>
        <w:color w:val="A6A6A6" w:themeColor="background1" w:themeShade="A6"/>
        <w:sz w:val="22"/>
        <w:szCs w:val="22"/>
        <w:rtl/>
      </w:rPr>
    </w:pPr>
    <w:r w:rsidRPr="00C24203">
      <w:rPr>
        <w:rFonts w:hint="cs"/>
        <w:b/>
        <w:bCs/>
        <w:color w:val="A6A6A6" w:themeColor="background1" w:themeShade="A6"/>
        <w:sz w:val="22"/>
        <w:szCs w:val="22"/>
        <w:rtl/>
      </w:rPr>
      <w:t>מתן ערבויות ליצואנים</w:t>
    </w:r>
    <w:r w:rsidRPr="00C24203" w:rsidR="00CD18F1">
      <w:rPr>
        <w:rFonts w:hint="cs"/>
        <w:b/>
        <w:bCs/>
        <w:color w:val="A6A6A6" w:themeColor="background1" w:themeShade="A6"/>
        <w:sz w:val="22"/>
        <w:szCs w:val="22"/>
        <w:rtl/>
      </w:rPr>
      <w:tab/>
      <w:t xml:space="preserve">     </w:t>
    </w:r>
    <w:r w:rsidRPr="00C24203">
      <w:rPr>
        <w:rFonts w:hint="cs"/>
        <w:b/>
        <w:bCs/>
        <w:color w:val="A6A6A6" w:themeColor="background1" w:themeShade="A6"/>
        <w:sz w:val="22"/>
        <w:szCs w:val="22"/>
        <w:rtl/>
      </w:rPr>
      <w:tab/>
    </w:r>
    <w:r w:rsidRPr="00C24203" w:rsidR="00463D1D">
      <w:rPr>
        <w:rFonts w:hint="cs"/>
        <w:b/>
        <w:bCs/>
        <w:color w:val="A6A6A6" w:themeColor="background1" w:themeShade="A6"/>
        <w:sz w:val="22"/>
        <w:szCs w:val="22"/>
        <w:rtl/>
      </w:rPr>
      <w:tab/>
    </w:r>
    <w:r w:rsidRPr="00C24203" w:rsidR="00CD18F1">
      <w:rPr>
        <w:rFonts w:hint="cs"/>
        <w:b/>
        <w:bCs/>
        <w:color w:val="A6A6A6" w:themeColor="background1" w:themeShade="A6"/>
        <w:sz w:val="22"/>
        <w:szCs w:val="22"/>
        <w:rtl/>
      </w:rPr>
      <w:t xml:space="preserve">    </w:t>
    </w:r>
  </w:p>
  <w:p w:rsidR="008B022D" w:rsidRPr="000F2B28" w:rsidP="000A1BBC">
    <w:pPr>
      <w:tabs>
        <w:tab w:val="left" w:pos="340"/>
      </w:tabs>
      <w:spacing w:after="120" w:line="264" w:lineRule="exact"/>
      <w:jc w:val="both"/>
      <w:rPr>
        <w:color w:val="BFBFBF" w:themeColor="background1" w:themeShade="BF"/>
      </w:rPr>
    </w:pPr>
    <w:r>
      <w:rPr>
        <w:rFonts w:hint="cs"/>
        <w:b/>
        <w:bCs/>
        <w:color w:val="BFBFBF" w:themeColor="background1" w:themeShade="BF"/>
        <w:rtl/>
      </w:rPr>
      <w:tab/>
    </w:r>
    <w:r>
      <w:rPr>
        <w:rFonts w:hint="cs"/>
        <w:b/>
        <w:bCs/>
        <w:color w:val="BFBFBF" w:themeColor="background1" w:themeShade="BF"/>
        <w:rtl/>
      </w:rPr>
      <w:tab/>
    </w:r>
    <w:r>
      <w:rPr>
        <w:rFonts w:hint="cs"/>
        <w:b/>
        <w:bCs/>
        <w:color w:val="BFBFBF" w:themeColor="background1" w:themeShade="BF"/>
        <w:rtl/>
      </w:rPr>
      <w:tab/>
    </w:r>
    <w:r w:rsidRPr="000F2B28">
      <w:rPr>
        <w:rFonts w:hint="cs"/>
        <w:color w:val="BFBFBF" w:themeColor="background1" w:themeShade="BF"/>
        <w:rt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55060"/>
    <w:rsid w:val="000A1BBC"/>
    <w:rsid w:val="000F2B28"/>
    <w:rsid w:val="002118ED"/>
    <w:rsid w:val="002B050A"/>
    <w:rsid w:val="003841D8"/>
    <w:rsid w:val="003C2525"/>
    <w:rsid w:val="003C5578"/>
    <w:rsid w:val="003E4335"/>
    <w:rsid w:val="00463D1D"/>
    <w:rsid w:val="00517D55"/>
    <w:rsid w:val="00572967"/>
    <w:rsid w:val="005B3002"/>
    <w:rsid w:val="00603B7C"/>
    <w:rsid w:val="00625823"/>
    <w:rsid w:val="00666D05"/>
    <w:rsid w:val="006729E8"/>
    <w:rsid w:val="00672FCC"/>
    <w:rsid w:val="006C0D67"/>
    <w:rsid w:val="006D02F1"/>
    <w:rsid w:val="00732684"/>
    <w:rsid w:val="007F5447"/>
    <w:rsid w:val="008B022D"/>
    <w:rsid w:val="008F6C35"/>
    <w:rsid w:val="00A10F04"/>
    <w:rsid w:val="00A311EA"/>
    <w:rsid w:val="00A50D92"/>
    <w:rsid w:val="00A83D7F"/>
    <w:rsid w:val="00B94ACE"/>
    <w:rsid w:val="00BA22EC"/>
    <w:rsid w:val="00C24203"/>
    <w:rsid w:val="00C32807"/>
    <w:rsid w:val="00C527C0"/>
    <w:rsid w:val="00CD18F1"/>
    <w:rsid w:val="00D01692"/>
    <w:rsid w:val="00DB2103"/>
    <w:rsid w:val="00DD7288"/>
    <w:rsid w:val="00E21652"/>
    <w:rsid w:val="00EC68B3"/>
    <w:rsid w:val="00F057E7"/>
    <w:rsid w:val="00F06B86"/>
    <w:rsid w:val="00FF66DA"/>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1">
    <w:name w:val="heading 1"/>
    <w:basedOn w:val="Normal"/>
    <w:next w:val="Normal"/>
    <w:link w:val="1"/>
    <w:uiPriority w:val="9"/>
    <w:qFormat/>
    <w:rsid w:val="00B94A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4"/>
    <w:uiPriority w:val="9"/>
    <w:semiHidden/>
    <w:unhideWhenUsed/>
    <w:qFormat/>
    <w:rsid w:val="006258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
    <w:uiPriority w:val="9"/>
    <w:semiHidden/>
    <w:unhideWhenUsed/>
    <w:qFormat/>
    <w:rsid w:val="005B3002"/>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7"/>
    <w:uiPriority w:val="9"/>
    <w:semiHidden/>
    <w:unhideWhenUsed/>
    <w:qFormat/>
    <w:rsid w:val="005B3002"/>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9"/>
    <w:uiPriority w:val="9"/>
    <w:qFormat/>
    <w:rsid w:val="00572967"/>
    <w:pPr>
      <w:keepNext/>
      <w:spacing w:after="200" w:line="276" w:lineRule="auto"/>
      <w:jc w:val="both"/>
      <w:outlineLvl w:val="8"/>
    </w:pPr>
    <w:rPr>
      <w:rFonts w:asciiTheme="minorHAnsi" w:eastAsiaTheme="minorHAnsi" w:hAnsiTheme="minorHAnsi" w:cstheme="min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iPriority w:val="99"/>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character" w:customStyle="1" w:styleId="9">
    <w:name w:val="כותרת 9 תו"/>
    <w:basedOn w:val="DefaultParagraphFont"/>
    <w:link w:val="Heading9"/>
    <w:uiPriority w:val="9"/>
    <w:rsid w:val="00572967"/>
    <w:rPr>
      <w:b/>
      <w:bCs/>
      <w:sz w:val="28"/>
      <w:szCs w:val="26"/>
    </w:rPr>
  </w:style>
  <w:style w:type="paragraph" w:styleId="Caption">
    <w:name w:val="caption"/>
    <w:basedOn w:val="Normal"/>
    <w:next w:val="Normal"/>
    <w:uiPriority w:val="35"/>
    <w:semiHidden/>
    <w:unhideWhenUsed/>
    <w:qFormat/>
    <w:rsid w:val="00B94ACE"/>
    <w:pPr>
      <w:tabs>
        <w:tab w:val="left" w:pos="1021"/>
        <w:tab w:val="center" w:pos="5131"/>
      </w:tabs>
      <w:spacing w:line="280" w:lineRule="exact"/>
    </w:pPr>
    <w:rPr>
      <w:b/>
      <w:bCs/>
      <w:sz w:val="28"/>
      <w:szCs w:val="28"/>
    </w:rPr>
  </w:style>
  <w:style w:type="character" w:customStyle="1" w:styleId="1">
    <w:name w:val="כותרת 1 תו"/>
    <w:basedOn w:val="DefaultParagraphFont"/>
    <w:link w:val="Heading1"/>
    <w:uiPriority w:val="9"/>
    <w:rsid w:val="00B94ACE"/>
    <w:rPr>
      <w:rFonts w:asciiTheme="majorHAnsi" w:eastAsiaTheme="majorEastAsia" w:hAnsiTheme="majorHAnsi" w:cstheme="majorBidi"/>
      <w:b/>
      <w:bCs/>
      <w:color w:val="365F91" w:themeColor="accent1" w:themeShade="BF"/>
      <w:sz w:val="28"/>
      <w:szCs w:val="28"/>
    </w:rPr>
  </w:style>
  <w:style w:type="character" w:customStyle="1" w:styleId="5">
    <w:name w:val="כותרת 5 תו"/>
    <w:basedOn w:val="DefaultParagraphFont"/>
    <w:link w:val="Heading5"/>
    <w:uiPriority w:val="9"/>
    <w:semiHidden/>
    <w:rsid w:val="005B3002"/>
    <w:rPr>
      <w:rFonts w:asciiTheme="majorHAnsi" w:eastAsiaTheme="majorEastAsia" w:hAnsiTheme="majorHAnsi" w:cstheme="majorBidi"/>
      <w:color w:val="243F60" w:themeColor="accent1" w:themeShade="7F"/>
      <w:sz w:val="24"/>
      <w:szCs w:val="24"/>
    </w:rPr>
  </w:style>
  <w:style w:type="character" w:customStyle="1" w:styleId="7">
    <w:name w:val="כותרת 7 תו"/>
    <w:basedOn w:val="DefaultParagraphFont"/>
    <w:link w:val="Heading7"/>
    <w:uiPriority w:val="9"/>
    <w:semiHidden/>
    <w:rsid w:val="005B3002"/>
    <w:rPr>
      <w:rFonts w:asciiTheme="majorHAnsi" w:eastAsiaTheme="majorEastAsia" w:hAnsiTheme="majorHAnsi" w:cstheme="majorBidi"/>
      <w:i/>
      <w:iCs/>
      <w:color w:val="404040" w:themeColor="text1" w:themeTint="BF"/>
      <w:sz w:val="24"/>
      <w:szCs w:val="24"/>
    </w:rPr>
  </w:style>
  <w:style w:type="character" w:customStyle="1" w:styleId="4">
    <w:name w:val="כותרת 4 תו"/>
    <w:basedOn w:val="DefaultParagraphFont"/>
    <w:link w:val="Heading4"/>
    <w:uiPriority w:val="9"/>
    <w:semiHidden/>
    <w:rsid w:val="00625823"/>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a2"/>
    <w:semiHidden/>
    <w:unhideWhenUsed/>
    <w:rsid w:val="00A10F04"/>
    <w:pPr>
      <w:spacing w:line="200" w:lineRule="exact"/>
      <w:jc w:val="both"/>
    </w:pPr>
    <w:rPr>
      <w:rFonts w:asciiTheme="minorHAnsi" w:eastAsiaTheme="minorHAnsi" w:hAnsiTheme="minorHAnsi" w:cstheme="minorBidi"/>
      <w:sz w:val="20"/>
      <w:szCs w:val="20"/>
    </w:rPr>
  </w:style>
  <w:style w:type="character" w:customStyle="1" w:styleId="a2">
    <w:name w:val="טקסט הערת שוליים תו"/>
    <w:basedOn w:val="DefaultParagraphFont"/>
    <w:link w:val="FootnoteText"/>
    <w:semiHidden/>
    <w:rsid w:val="00A10F04"/>
    <w:rPr>
      <w:sz w:val="20"/>
      <w:szCs w:val="20"/>
    </w:rPr>
  </w:style>
  <w:style w:type="character" w:styleId="FootnoteReference">
    <w:name w:val="footnote reference"/>
    <w:basedOn w:val="DefaultParagraphFont"/>
    <w:semiHidden/>
    <w:unhideWhenUsed/>
    <w:rsid w:val="00A10F04"/>
    <w:rPr>
      <w:rFonts w:ascii="FrankRuehl" w:hAnsi="FrankRuehl" w:cs="FrankRuehl" w:hint="cs"/>
      <w:vertAlign w:val="superscript"/>
    </w:rPr>
  </w:style>
  <w:style w:type="paragraph" w:customStyle="1" w:styleId="a3">
    <w:name w:val="רגיל מוגדל"/>
    <w:basedOn w:val="Normal"/>
    <w:rsid w:val="00672FCC"/>
    <w:pPr>
      <w:spacing w:line="288" w:lineRule="auto"/>
      <w:jc w:val="both"/>
    </w:pPr>
    <w:rPr>
      <w:rFonts w:cs="Times New Roman"/>
      <w:noProof/>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customXml" Target="../customXml/item4.xml"/><Relationship Id="rId4" Type="http://schemas.openxmlformats.org/officeDocument/2006/relationships/customXml" Target="../customXml/item1.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5FD0D4-1B84-4F8A-A9FE-D0D891802052}">
  <ds:schemaRefs>
    <ds:schemaRef ds:uri="http://schemas.openxmlformats.org/officeDocument/2006/bibliography"/>
  </ds:schemaRefs>
</ds:datastoreItem>
</file>

<file path=customXml/itemProps2.xml><?xml version="1.0" encoding="utf-8"?>
<ds:datastoreItem xmlns:ds="http://schemas.openxmlformats.org/officeDocument/2006/customXml" ds:itemID="{B2094AFF-602F-4B65-A351-15B6D50EA417}"/>
</file>

<file path=customXml/itemProps3.xml><?xml version="1.0" encoding="utf-8"?>
<ds:datastoreItem xmlns:ds="http://schemas.openxmlformats.org/officeDocument/2006/customXml" ds:itemID="{75E7FE98-F29E-46A9-9496-7A478D37A8B0}"/>
</file>

<file path=customXml/itemProps4.xml><?xml version="1.0" encoding="utf-8"?>
<ds:datastoreItem xmlns:ds="http://schemas.openxmlformats.org/officeDocument/2006/customXml" ds:itemID="{E1FB0D4F-CEB2-40C3-A194-C84BE706A7E4}"/>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