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C7275E" w:rsidP="00C7275E">
      <w:pPr>
        <w:rPr>
          <w:rtl/>
        </w:rPr>
      </w:pPr>
      <w:bookmarkStart w:id="0" w:name="_GoBack"/>
      <w:bookmarkEnd w:id="0"/>
    </w:p>
    <w:p w:rsidR="00C7275E" w:rsidP="00C7275E">
      <w:pPr>
        <w:rPr>
          <w:rtl/>
        </w:rPr>
      </w:pPr>
    </w:p>
    <w:p w:rsidR="00C7275E" w:rsidP="00C7275E">
      <w:pPr>
        <w:rPr>
          <w:rtl/>
        </w:rPr>
      </w:pPr>
    </w:p>
    <w:p w:rsidR="00C7275E" w:rsidP="00C7275E">
      <w:pPr>
        <w:rPr>
          <w:rtl/>
        </w:rPr>
      </w:pPr>
    </w:p>
    <w:p w:rsidR="00C7275E" w:rsidP="00C7275E">
      <w:pPr>
        <w:rPr>
          <w:rtl/>
        </w:rPr>
      </w:pPr>
    </w:p>
    <w:p w:rsidR="00C7275E" w:rsidP="00C7275E">
      <w:pPr>
        <w:rPr>
          <w:rtl/>
        </w:rPr>
      </w:pPr>
    </w:p>
    <w:p w:rsidR="00C7275E" w:rsidP="00C7275E">
      <w:pPr>
        <w:rPr>
          <w:rtl/>
        </w:rPr>
      </w:pPr>
    </w:p>
    <w:p w:rsidR="00C7275E" w:rsidP="00C7275E">
      <w:pPr>
        <w:rPr>
          <w:rtl/>
        </w:rPr>
      </w:pPr>
    </w:p>
    <w:p w:rsidR="00C7275E" w:rsidP="00C7275E">
      <w:pPr>
        <w:rPr>
          <w:rtl/>
        </w:rPr>
      </w:pPr>
    </w:p>
    <w:p w:rsidR="00C7275E" w:rsidP="00C7275E">
      <w:pPr>
        <w:spacing w:before="120" w:after="240" w:line="480" w:lineRule="auto"/>
        <w:jc w:val="both"/>
        <w:rPr>
          <w:rtl/>
        </w:rPr>
      </w:pPr>
      <w:r>
        <w:rPr>
          <w:rFonts w:hint="cs"/>
          <w:rtl/>
        </w:rPr>
        <w:t>דין וחשבון זה של מבקר המדינה מסכם את הביקורת על פעולות</w:t>
      </w:r>
      <w:r>
        <w:rPr>
          <w:rFonts w:hint="cs"/>
        </w:rPr>
        <w:t xml:space="preserve"> </w:t>
      </w:r>
      <w:r>
        <w:rPr>
          <w:rFonts w:hint="cs"/>
          <w:rtl/>
        </w:rPr>
        <w:t>החטיבה להתיישבות של ההסתדרות הציונית העולמית. נבדקו</w:t>
      </w:r>
      <w:r>
        <w:rPr>
          <w:rFonts w:hint="cs"/>
        </w:rPr>
        <w:t xml:space="preserve"> </w:t>
      </w:r>
      <w:r>
        <w:rPr>
          <w:rFonts w:hint="cs"/>
          <w:rtl/>
        </w:rPr>
        <w:t>בעיקר נושאים אלה: הסיוע שנותנת החטיבה, מתקציב המדינה,</w:t>
      </w:r>
      <w:r>
        <w:rPr>
          <w:rFonts w:hint="cs"/>
        </w:rPr>
        <w:t xml:space="preserve"> </w:t>
      </w:r>
      <w:r>
        <w:rPr>
          <w:rFonts w:hint="cs"/>
          <w:rtl/>
        </w:rPr>
        <w:t>למתיישבים ביהודה, בשומרון, בחבל עזה ובגולן; סדרי</w:t>
      </w:r>
      <w:r>
        <w:rPr>
          <w:rFonts w:hint="cs"/>
        </w:rPr>
        <w:t xml:space="preserve"> </w:t>
      </w:r>
      <w:r>
        <w:rPr>
          <w:rFonts w:hint="cs"/>
          <w:rtl/>
        </w:rPr>
        <w:t>ההתקשרות בין הממשלה לבין ההסתדרות הציונית העולמית</w:t>
      </w:r>
      <w:r>
        <w:rPr>
          <w:rFonts w:hint="cs"/>
        </w:rPr>
        <w:t xml:space="preserve"> </w:t>
      </w:r>
      <w:r>
        <w:rPr>
          <w:rFonts w:hint="cs"/>
          <w:rtl/>
        </w:rPr>
        <w:t>והחטיבה, לקיום פעולות ההתיישבות; וסדרי הפיקוח והבקרה על</w:t>
      </w:r>
      <w:r>
        <w:rPr>
          <w:rFonts w:hint="cs"/>
        </w:rPr>
        <w:t xml:space="preserve"> </w:t>
      </w:r>
      <w:r>
        <w:rPr>
          <w:rFonts w:hint="cs"/>
          <w:rtl/>
        </w:rPr>
        <w:t>פעולות החטיבה</w:t>
      </w:r>
      <w:r>
        <w:t xml:space="preserve"> .</w:t>
      </w:r>
    </w:p>
    <w:p w:rsidR="00C7275E" w:rsidP="00C7275E">
      <w:pPr>
        <w:spacing w:before="120" w:after="240" w:line="480" w:lineRule="auto"/>
        <w:jc w:val="both"/>
        <w:rPr>
          <w:rtl/>
        </w:rPr>
      </w:pPr>
      <w:r>
        <w:rPr>
          <w:rFonts w:hint="cs"/>
          <w:rtl/>
        </w:rPr>
        <w:t>החטיבה עומדת לביקורת מבקר המדינה על פי סעיף 9 (8) לחוק</w:t>
      </w:r>
      <w:r>
        <w:rPr>
          <w:rFonts w:hint="cs"/>
        </w:rPr>
        <w:t xml:space="preserve"> </w:t>
      </w:r>
      <w:r>
        <w:rPr>
          <w:rFonts w:hint="cs"/>
          <w:rtl/>
        </w:rPr>
        <w:t>מבקר המדינה, התשי"ח</w:t>
      </w:r>
      <w:r>
        <w:t xml:space="preserve"> -</w:t>
      </w:r>
      <w:r>
        <w:rPr>
          <w:rFonts w:hint="cs"/>
          <w:rtl/>
        </w:rPr>
        <w:t>1958 [נוסח משולב], ובאוקטובר</w:t>
      </w:r>
      <w:r>
        <w:rPr>
          <w:rFonts w:hint="cs"/>
        </w:rPr>
        <w:t xml:space="preserve"> </w:t>
      </w:r>
      <w:r>
        <w:rPr>
          <w:rFonts w:hint="cs"/>
          <w:rtl/>
        </w:rPr>
        <w:t>1995, החליטה מבקרת המדינה דאז להפעיל את ביקורת המדינה</w:t>
      </w:r>
      <w:r>
        <w:rPr>
          <w:rFonts w:hint="cs"/>
        </w:rPr>
        <w:t xml:space="preserve"> </w:t>
      </w:r>
      <w:r>
        <w:rPr>
          <w:rFonts w:hint="cs"/>
          <w:rtl/>
        </w:rPr>
        <w:t>על החטיבה</w:t>
      </w:r>
      <w:r>
        <w:t xml:space="preserve"> .</w:t>
      </w:r>
    </w:p>
    <w:p w:rsidR="006729E8" w:rsidRPr="00C7275E" w:rsidP="00C7275E">
      <w:pPr>
        <w:spacing w:before="120" w:after="240" w:line="480" w:lineRule="auto"/>
        <w:rPr>
          <w:rtl/>
        </w:rPr>
      </w:pPr>
      <w:r>
        <w:rPr>
          <w:rFonts w:hint="cs"/>
          <w:rtl/>
        </w:rPr>
        <w:br w:type="page"/>
      </w:r>
    </w:p>
    <w:sectPr w:rsidSect="00672FCC">
      <w:headerReference w:type="default" r:id="rId5"/>
      <w:pgSz w:w="11906" w:h="16838"/>
      <w:pgMar w:top="993" w:right="1800" w:bottom="851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275E" w:rsidP="00C24203">
    <w:pPr>
      <w:tabs>
        <w:tab w:val="left" w:pos="5385"/>
      </w:tabs>
      <w:spacing w:line="360" w:lineRule="auto"/>
      <w:rPr>
        <w:b/>
        <w:bCs/>
        <w:color w:val="A6A6A6" w:themeColor="background1" w:themeShade="A6"/>
        <w:rtl/>
      </w:rPr>
    </w:pPr>
    <w:r w:rsidRPr="00C7275E">
      <w:rPr>
        <w:b/>
        <w:bCs/>
        <w:color w:val="A6A6A6" w:themeColor="background1" w:themeShade="A6"/>
        <w:rtl/>
      </w:rPr>
      <w:t xml:space="preserve">דוח על הביקורת בעניין הסיוע הממשלתי לפיתוח ההתיישבות </w:t>
    </w:r>
    <w:r>
      <w:rPr>
        <w:rFonts w:hint="cs"/>
        <w:b/>
        <w:bCs/>
        <w:color w:val="A6A6A6" w:themeColor="background1" w:themeShade="A6"/>
        <w:rtl/>
      </w:rPr>
      <w:t xml:space="preserve">   </w:t>
    </w:r>
    <w:r>
      <w:rPr>
        <w:rFonts w:hint="cs"/>
        <w:b/>
        <w:bCs/>
        <w:color w:val="A6A6A6" w:themeColor="background1" w:themeShade="A6"/>
        <w:rtl/>
      </w:rPr>
      <w:tab/>
    </w:r>
    <w:r>
      <w:rPr>
        <w:rFonts w:hint="cs"/>
        <w:b/>
        <w:bCs/>
        <w:color w:val="A6A6A6" w:themeColor="background1" w:themeShade="A6"/>
        <w:rtl/>
      </w:rPr>
      <w:tab/>
    </w:r>
    <w:r w:rsidRPr="00C24203">
      <w:rPr>
        <w:rFonts w:hint="cs"/>
        <w:b/>
        <w:bCs/>
        <w:color w:val="A6A6A6" w:themeColor="background1" w:themeShade="A6"/>
        <w:rtl/>
      </w:rPr>
      <w:t>שנת פרסום: 1999</w:t>
    </w:r>
  </w:p>
  <w:p w:rsidR="00C24203" w:rsidRPr="00C24203" w:rsidP="00C7275E">
    <w:pPr>
      <w:tabs>
        <w:tab w:val="left" w:pos="5385"/>
      </w:tabs>
      <w:spacing w:line="360" w:lineRule="auto"/>
      <w:rPr>
        <w:b/>
        <w:bCs/>
        <w:color w:val="A6A6A6" w:themeColor="background1" w:themeShade="A6"/>
        <w:rtl/>
      </w:rPr>
    </w:pPr>
    <w:r w:rsidRPr="00C7275E">
      <w:rPr>
        <w:b/>
        <w:bCs/>
        <w:color w:val="A6A6A6" w:themeColor="background1" w:themeShade="A6"/>
        <w:rtl/>
      </w:rPr>
      <w:t>החדשה באזורי יש"ע והגולן</w:t>
    </w:r>
    <w:r w:rsidRPr="00C24203">
      <w:rPr>
        <w:rFonts w:hint="cs"/>
        <w:b/>
        <w:bCs/>
        <w:color w:val="A6A6A6" w:themeColor="background1" w:themeShade="A6"/>
        <w:rtl/>
      </w:rPr>
      <w:t xml:space="preserve">  </w:t>
    </w:r>
    <w:r w:rsidRPr="00C24203">
      <w:rPr>
        <w:rFonts w:hint="cs"/>
        <w:b/>
        <w:bCs/>
        <w:color w:val="A6A6A6" w:themeColor="background1" w:themeShade="A6"/>
        <w:rtl/>
      </w:rPr>
      <w:tab/>
      <w:t xml:space="preserve">    </w:t>
    </w:r>
  </w:p>
  <w:p w:rsidR="008B022D" w:rsidRPr="000F2B28" w:rsidP="000A1BBC">
    <w:pPr>
      <w:tabs>
        <w:tab w:val="left" w:pos="340"/>
      </w:tabs>
      <w:spacing w:after="120" w:line="264" w:lineRule="exact"/>
      <w:jc w:val="both"/>
      <w:rPr>
        <w:color w:val="BFBFBF" w:themeColor="background1" w:themeShade="BF"/>
      </w:rPr>
    </w:pPr>
    <w:r>
      <w:rPr>
        <w:rFonts w:hint="cs"/>
        <w:b/>
        <w:bCs/>
        <w:color w:val="BFBFBF" w:themeColor="background1" w:themeShade="BF"/>
        <w:rtl/>
      </w:rPr>
      <w:tab/>
    </w:r>
    <w:r>
      <w:rPr>
        <w:rFonts w:hint="cs"/>
        <w:b/>
        <w:bCs/>
        <w:color w:val="BFBFBF" w:themeColor="background1" w:themeShade="BF"/>
        <w:rtl/>
      </w:rPr>
      <w:tab/>
    </w:r>
    <w:r>
      <w:rPr>
        <w:rFonts w:hint="cs"/>
        <w:b/>
        <w:bCs/>
        <w:color w:val="BFBFBF" w:themeColor="background1" w:themeShade="BF"/>
        <w:rtl/>
      </w:rPr>
      <w:tab/>
    </w:r>
    <w:r w:rsidRPr="000F2B28">
      <w:rPr>
        <w:rFonts w:hint="cs"/>
        <w:color w:val="BFBFBF" w:themeColor="background1" w:themeShade="BF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55060"/>
    <w:rsid w:val="000A1BBC"/>
    <w:rsid w:val="000F2B28"/>
    <w:rsid w:val="002118ED"/>
    <w:rsid w:val="002B050A"/>
    <w:rsid w:val="003841D8"/>
    <w:rsid w:val="003C2525"/>
    <w:rsid w:val="003C5578"/>
    <w:rsid w:val="003E4335"/>
    <w:rsid w:val="00463D1D"/>
    <w:rsid w:val="00517D55"/>
    <w:rsid w:val="00572967"/>
    <w:rsid w:val="005B3002"/>
    <w:rsid w:val="00603B7C"/>
    <w:rsid w:val="00625823"/>
    <w:rsid w:val="00666D05"/>
    <w:rsid w:val="006729E8"/>
    <w:rsid w:val="00672FCC"/>
    <w:rsid w:val="006C0D67"/>
    <w:rsid w:val="006D02F1"/>
    <w:rsid w:val="00732684"/>
    <w:rsid w:val="007F5447"/>
    <w:rsid w:val="008B022D"/>
    <w:rsid w:val="008F6C35"/>
    <w:rsid w:val="00A10F04"/>
    <w:rsid w:val="00A311EA"/>
    <w:rsid w:val="00A50D92"/>
    <w:rsid w:val="00A83D7F"/>
    <w:rsid w:val="00B94ACE"/>
    <w:rsid w:val="00BA22EC"/>
    <w:rsid w:val="00C24203"/>
    <w:rsid w:val="00C32807"/>
    <w:rsid w:val="00C527C0"/>
    <w:rsid w:val="00C7275E"/>
    <w:rsid w:val="00CD18F1"/>
    <w:rsid w:val="00D01692"/>
    <w:rsid w:val="00DB2103"/>
    <w:rsid w:val="00DD7288"/>
    <w:rsid w:val="00E21652"/>
    <w:rsid w:val="00E62A74"/>
    <w:rsid w:val="00EC68B3"/>
    <w:rsid w:val="00F057E7"/>
    <w:rsid w:val="00F06B86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semiHidden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semiHidden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paragraph" w:customStyle="1" w:styleId="a3">
    <w:name w:val="רגיל מוגדל"/>
    <w:basedOn w:val="Normal"/>
    <w:rsid w:val="00672FCC"/>
    <w:pPr>
      <w:spacing w:line="288" w:lineRule="auto"/>
      <w:jc w:val="both"/>
    </w:pPr>
    <w:rPr>
      <w:rFonts w:cs="Times New Roman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1D5977-80D1-489A-8CF4-D14BD8548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1825BC-2CCA-4293-9B2F-4AC80A93A75E}"/>
</file>

<file path=customXml/itemProps3.xml><?xml version="1.0" encoding="utf-8"?>
<ds:datastoreItem xmlns:ds="http://schemas.openxmlformats.org/officeDocument/2006/customXml" ds:itemID="{DE9C0C9B-223E-45E2-B8D9-7C42D7E8E4A3}"/>
</file>

<file path=customXml/itemProps4.xml><?xml version="1.0" encoding="utf-8"?>
<ds:datastoreItem xmlns:ds="http://schemas.openxmlformats.org/officeDocument/2006/customXml" ds:itemID="{CE25BDA0-8798-4643-A70A-82DFA48ACFC0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