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C4343" w:rsidRPr="009C4343" w:rsidP="009C4343">
      <w:pPr>
        <w:spacing w:before="120" w:after="120" w:line="360" w:lineRule="auto"/>
        <w:jc w:val="both"/>
      </w:pPr>
      <w:bookmarkStart w:id="0" w:name="_GoBack"/>
      <w:bookmarkEnd w:id="0"/>
    </w:p>
    <w:p w:rsidR="009C4343" w:rsidRPr="009C4343" w:rsidP="009C4343">
      <w:pPr>
        <w:spacing w:before="120" w:after="120" w:line="360" w:lineRule="auto"/>
        <w:jc w:val="both"/>
        <w:rPr>
          <w:rtl/>
        </w:rPr>
      </w:pPr>
    </w:p>
    <w:p w:rsidR="009C4343" w:rsidRPr="009C4343" w:rsidP="009C4343">
      <w:pPr>
        <w:spacing w:before="120" w:after="120" w:line="360" w:lineRule="auto"/>
        <w:jc w:val="both"/>
        <w:rPr>
          <w:rtl/>
        </w:rPr>
      </w:pPr>
      <w:r w:rsidRPr="009C4343">
        <w:rPr>
          <w:rFonts w:hint="cs"/>
          <w:rtl/>
        </w:rPr>
        <w:t>בדוח זה מובאים ממצאי ביקורת בשני נושאים שנבדקו במספר גופים.</w:t>
      </w:r>
    </w:p>
    <w:p w:rsidR="009C4343" w:rsidRPr="009C4343" w:rsidP="009C4343">
      <w:pPr>
        <w:spacing w:before="120" w:after="120" w:line="360" w:lineRule="auto"/>
        <w:jc w:val="both"/>
        <w:rPr>
          <w:rtl/>
        </w:rPr>
      </w:pPr>
      <w:r w:rsidRPr="009C4343">
        <w:rPr>
          <w:rFonts w:hint="cs"/>
          <w:rtl/>
        </w:rPr>
        <w:t>הנושא הראשון דן ב</w:t>
      </w:r>
      <w:r w:rsidRPr="009C4343">
        <w:rPr>
          <w:rFonts w:hint="cs"/>
          <w:b/>
          <w:bCs/>
          <w:rtl/>
        </w:rPr>
        <w:t>מחקרים באוניברסיטאות במימון גורמי חוץ</w:t>
      </w:r>
      <w:r w:rsidRPr="009C4343">
        <w:rPr>
          <w:rFonts w:hint="cs"/>
          <w:rtl/>
        </w:rPr>
        <w:t>. הביקורת על ניהול המחקר והפיתוח המדעי מסוג זה שנעשתה בשלוש אוניברסיטאות העלתה, כי במקרים רבים הרישום החשבונאי והדיווח הכספי למממנים נעשים באופן שאינו מתיישב עם סדרי מינהל תקין. גם הבקרה על ההוצאות לא היתה מספקת. ראוי שהאוניברסיטאות ישפרו את מערכות ניהול הכספים ויקפידו על אמינות הדיווחים ועל רישום ודיווח לפי כללי חשבונאות מקובלים.</w:t>
      </w:r>
    </w:p>
    <w:p w:rsidR="009C4343" w:rsidRPr="009C4343" w:rsidP="009C4343">
      <w:pPr>
        <w:spacing w:before="120" w:after="120" w:line="360" w:lineRule="auto"/>
        <w:jc w:val="both"/>
        <w:rPr>
          <w:rtl/>
        </w:rPr>
      </w:pPr>
      <w:r w:rsidRPr="009C4343">
        <w:rPr>
          <w:rFonts w:hint="cs"/>
          <w:rtl/>
        </w:rPr>
        <w:t xml:space="preserve">הנושא השני עניינו </w:t>
      </w:r>
      <w:r w:rsidRPr="009C4343">
        <w:rPr>
          <w:rFonts w:hint="cs"/>
          <w:b/>
          <w:bCs/>
          <w:rtl/>
        </w:rPr>
        <w:t>שמירת איכות הסביבה בחברות תשתית האנרגיה</w:t>
      </w:r>
      <w:r w:rsidRPr="009C4343">
        <w:rPr>
          <w:rFonts w:hint="cs"/>
          <w:rtl/>
        </w:rPr>
        <w:t>. הביקורת העלתה, כי אירעו מקרים שבהם תשע חברות תשתית האנרגיה</w:t>
      </w:r>
      <w:r w:rsidRPr="009C4343">
        <w:rPr>
          <w:rFonts w:hint="cs"/>
          <w:b/>
          <w:bCs/>
          <w:rtl/>
        </w:rPr>
        <w:t xml:space="preserve"> </w:t>
      </w:r>
      <w:r w:rsidRPr="009C4343">
        <w:rPr>
          <w:rFonts w:hint="cs"/>
          <w:rtl/>
        </w:rPr>
        <w:t xml:space="preserve">שנבדקו, זיהמו את הסביבה כתוצאה מאי-הקפדה על קיום הוראות החוק ותנאי רשיון העסק שלהן; חלקן אף פעלו ללא רשיון עסק. הגופים הממשלתיים והמקומיים המופקדים על שמירת הסביבה לא מימשו את סמכויותיהם בצורה אפקטיבית; הסמכויות בתחום זה מפוצלות בין גופי שלטון רבים, ובעניינים חשובים יש מחלוקות זה שנים רבות, במיוחד בין </w:t>
      </w:r>
      <w:r w:rsidRPr="009C4343">
        <w:rPr>
          <w:rFonts w:hint="cs"/>
          <w:b/>
          <w:bCs/>
          <w:rtl/>
        </w:rPr>
        <w:t>המשרד לאיכות הסביבה</w:t>
      </w:r>
      <w:r w:rsidRPr="009C4343">
        <w:rPr>
          <w:rFonts w:hint="cs"/>
          <w:rtl/>
        </w:rPr>
        <w:t xml:space="preserve"> לבין </w:t>
      </w:r>
      <w:r w:rsidRPr="009C4343">
        <w:rPr>
          <w:rFonts w:hint="cs"/>
          <w:b/>
          <w:bCs/>
          <w:rtl/>
        </w:rPr>
        <w:t>נציבות המים</w:t>
      </w:r>
      <w:r w:rsidRPr="009C4343">
        <w:rPr>
          <w:rFonts w:hint="cs"/>
          <w:rtl/>
        </w:rPr>
        <w:t>. תיקון נזקים הנגרמים מזיהום אורך זמן רב ודורש השקעה כספית גדולה בהרבה מהעלות למניעת זיהומים. כדי להגן על איכות הסביבה יש משנה חשיבות למניעת זיהומים מלכתחילה תוך הקפדה על מילוי הוראות החוק.</w:t>
      </w:r>
    </w:p>
    <w:p w:rsidR="009C4343" w:rsidRPr="009C4343" w:rsidP="009C4343">
      <w:pPr>
        <w:spacing w:before="120" w:after="120" w:line="360" w:lineRule="auto"/>
        <w:jc w:val="both"/>
        <w:rPr>
          <w:rtl/>
        </w:rPr>
      </w:pPr>
    </w:p>
    <w:p w:rsidR="009C4343" w:rsidRPr="009C4343" w:rsidP="009C4343">
      <w:pPr>
        <w:spacing w:before="120" w:after="120" w:line="360" w:lineRule="auto"/>
        <w:ind w:left="3686"/>
        <w:jc w:val="both"/>
        <w:rPr>
          <w:rtl/>
        </w:rPr>
      </w:pPr>
      <w:r w:rsidRPr="009C4343">
        <w:rPr>
          <w:noProof/>
        </w:rPr>
        <w:drawing>
          <wp:inline distT="0" distB="0" distL="0" distR="0">
            <wp:extent cx="1820545" cy="550545"/>
            <wp:effectExtent l="0" t="0" r="0" b="0"/>
            <wp:docPr id="2" name="תמונה 2" descr="E_Gold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56906" name="Picture 3" descr="E_Goldber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0545" cy="550545"/>
                    </a:xfrm>
                    <a:prstGeom prst="rect">
                      <a:avLst/>
                    </a:prstGeom>
                    <a:noFill/>
                    <a:ln>
                      <a:noFill/>
                    </a:ln>
                  </pic:spPr>
                </pic:pic>
              </a:graphicData>
            </a:graphic>
          </wp:inline>
        </w:drawing>
      </w:r>
    </w:p>
    <w:p w:rsidR="009C4343" w:rsidRPr="009C4343" w:rsidP="009C4343">
      <w:pPr>
        <w:tabs>
          <w:tab w:val="left" w:pos="1021"/>
          <w:tab w:val="center" w:pos="5131"/>
        </w:tabs>
        <w:spacing w:before="120" w:after="120" w:line="360" w:lineRule="auto"/>
        <w:jc w:val="both"/>
        <w:rPr>
          <w:b/>
          <w:bCs/>
          <w:rtl/>
        </w:rPr>
      </w:pPr>
      <w:r w:rsidRPr="009C4343">
        <w:rPr>
          <w:rFonts w:hint="cs"/>
          <w:b/>
          <w:bCs/>
          <w:rtl/>
        </w:rPr>
        <w:tab/>
      </w:r>
      <w:r w:rsidRPr="009C4343">
        <w:rPr>
          <w:rFonts w:hint="cs"/>
          <w:b/>
          <w:bCs/>
          <w:rtl/>
        </w:rPr>
        <w:tab/>
        <w:t>אליעזר גולדברג</w:t>
      </w:r>
    </w:p>
    <w:p w:rsidR="009C4343" w:rsidRPr="009C4343" w:rsidP="009C4343">
      <w:pPr>
        <w:tabs>
          <w:tab w:val="left" w:pos="1021"/>
          <w:tab w:val="center" w:pos="5131"/>
        </w:tabs>
        <w:spacing w:before="120" w:after="120" w:line="360" w:lineRule="auto"/>
        <w:jc w:val="both"/>
        <w:rPr>
          <w:rtl/>
        </w:rPr>
      </w:pPr>
      <w:r w:rsidRPr="009C4343">
        <w:rPr>
          <w:rFonts w:hint="cs"/>
          <w:rtl/>
        </w:rPr>
        <w:tab/>
      </w:r>
      <w:r w:rsidRPr="009C4343">
        <w:rPr>
          <w:rFonts w:hint="cs"/>
          <w:rtl/>
        </w:rPr>
        <w:tab/>
        <w:t>מבקר המדינה</w:t>
      </w:r>
    </w:p>
    <w:p w:rsidR="009C4343" w:rsidRPr="009C4343" w:rsidP="009C4343">
      <w:pPr>
        <w:tabs>
          <w:tab w:val="left" w:pos="997"/>
          <w:tab w:val="center" w:pos="5131"/>
        </w:tabs>
        <w:spacing w:before="120" w:after="120" w:line="360" w:lineRule="auto"/>
        <w:jc w:val="both"/>
        <w:rPr>
          <w:rtl/>
        </w:rPr>
      </w:pPr>
    </w:p>
    <w:p w:rsidR="009C4343" w:rsidRPr="009C4343" w:rsidP="009C4343">
      <w:pPr>
        <w:tabs>
          <w:tab w:val="left" w:pos="997"/>
          <w:tab w:val="center" w:pos="5131"/>
        </w:tabs>
        <w:spacing w:before="120" w:after="120" w:line="360" w:lineRule="auto"/>
        <w:jc w:val="both"/>
        <w:rPr>
          <w:rtl/>
        </w:rPr>
      </w:pPr>
      <w:r w:rsidRPr="009C4343">
        <w:rPr>
          <w:rFonts w:hint="cs"/>
          <w:rtl/>
        </w:rPr>
        <w:t>ירושלים,</w:t>
      </w:r>
      <w:r w:rsidRPr="009C4343">
        <w:rPr>
          <w:rFonts w:hint="cs"/>
          <w:rtl/>
        </w:rPr>
        <w:tab/>
        <w:t>אב תשס"ד</w:t>
      </w:r>
    </w:p>
    <w:p w:rsidR="009C4343" w:rsidRPr="009C4343" w:rsidP="009C4343">
      <w:pPr>
        <w:tabs>
          <w:tab w:val="left" w:pos="997"/>
          <w:tab w:val="center" w:pos="5131"/>
        </w:tabs>
        <w:spacing w:before="120" w:after="120" w:line="360" w:lineRule="auto"/>
        <w:jc w:val="both"/>
        <w:rPr>
          <w:rtl/>
        </w:rPr>
      </w:pPr>
      <w:r w:rsidRPr="009C4343">
        <w:rPr>
          <w:rFonts w:hint="cs"/>
          <w:rtl/>
        </w:rPr>
        <w:tab/>
        <w:t>אוגוסט 2004</w:t>
      </w:r>
    </w:p>
    <w:p w:rsidR="009C4343" w:rsidRPr="009C4343" w:rsidP="009C4343">
      <w:pPr>
        <w:spacing w:before="120" w:after="120" w:line="360" w:lineRule="auto"/>
        <w:jc w:val="both"/>
      </w:pPr>
    </w:p>
    <w:p w:rsidR="00A278A4" w:rsidRPr="009C4343" w:rsidP="009C4343">
      <w:pPr>
        <w:spacing w:before="120" w:after="120" w:line="360" w:lineRule="auto"/>
        <w:jc w:val="both"/>
      </w:pPr>
    </w:p>
    <w:sectPr w:rsidSect="008722A7">
      <w:headerReference w:type="default" r:id="rId5"/>
      <w:pgSz w:w="11906" w:h="16838"/>
      <w:pgMar w:top="1276" w:right="1416" w:bottom="851" w:left="1800" w:header="567"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343" w:rsidRPr="008722A7" w:rsidP="009C4343">
    <w:pPr>
      <w:pStyle w:val="PlainText"/>
      <w:spacing w:line="240" w:lineRule="auto"/>
      <w:rPr>
        <w:rFonts w:ascii="Times New Roman" w:hAnsi="Times New Roman" w:cs="David"/>
        <w:b/>
        <w:bCs/>
        <w:color w:val="A6A6A6" w:themeColor="background1" w:themeShade="A6"/>
        <w:sz w:val="24"/>
        <w:szCs w:val="24"/>
      </w:rPr>
    </w:pPr>
    <w:r w:rsidRPr="009C4343">
      <w:rPr>
        <w:rFonts w:ascii="Times New Roman" w:hAnsi="Times New Roman" w:cs="David" w:hint="cs"/>
        <w:b/>
        <w:bCs/>
        <w:color w:val="A6A6A6" w:themeColor="background1" w:themeShade="A6"/>
        <w:sz w:val="24"/>
        <w:szCs w:val="24"/>
        <w:rtl/>
      </w:rPr>
      <w:t xml:space="preserve">דוחות ביקורת על: </w:t>
    </w:r>
    <w:r>
      <w:rPr>
        <w:rFonts w:ascii="Times New Roman" w:hAnsi="Times New Roman" w:cs="David" w:hint="cs"/>
        <w:b/>
        <w:bCs/>
        <w:color w:val="A6A6A6" w:themeColor="background1" w:themeShade="A6"/>
        <w:sz w:val="24"/>
        <w:szCs w:val="24"/>
        <w:rtl/>
      </w:rPr>
      <w:tab/>
    </w:r>
    <w:r>
      <w:rPr>
        <w:rFonts w:ascii="Times New Roman" w:hAnsi="Times New Roman" w:cs="David" w:hint="cs"/>
        <w:b/>
        <w:bCs/>
        <w:color w:val="A6A6A6" w:themeColor="background1" w:themeShade="A6"/>
        <w:sz w:val="24"/>
        <w:szCs w:val="24"/>
        <w:rtl/>
      </w:rPr>
      <w:tab/>
    </w:r>
    <w:r>
      <w:rPr>
        <w:rFonts w:ascii="Times New Roman" w:hAnsi="Times New Roman" w:cs="David" w:hint="cs"/>
        <w:b/>
        <w:bCs/>
        <w:color w:val="A6A6A6" w:themeColor="background1" w:themeShade="A6"/>
        <w:sz w:val="24"/>
        <w:szCs w:val="24"/>
        <w:rtl/>
      </w:rPr>
      <w:tab/>
    </w:r>
    <w:r>
      <w:rPr>
        <w:rFonts w:ascii="Times New Roman" w:hAnsi="Times New Roman" w:cs="David" w:hint="cs"/>
        <w:b/>
        <w:bCs/>
        <w:color w:val="A6A6A6" w:themeColor="background1" w:themeShade="A6"/>
        <w:sz w:val="24"/>
        <w:szCs w:val="24"/>
        <w:rtl/>
      </w:rPr>
      <w:tab/>
    </w:r>
    <w:r>
      <w:rPr>
        <w:rFonts w:ascii="Times New Roman" w:hAnsi="Times New Roman" w:cs="David" w:hint="cs"/>
        <w:b/>
        <w:bCs/>
        <w:color w:val="A6A6A6" w:themeColor="background1" w:themeShade="A6"/>
        <w:sz w:val="24"/>
        <w:szCs w:val="24"/>
        <w:rtl/>
      </w:rPr>
      <w:tab/>
    </w:r>
    <w:r>
      <w:rPr>
        <w:rFonts w:ascii="Times New Roman" w:hAnsi="Times New Roman" w:cs="David" w:hint="cs"/>
        <w:b/>
        <w:bCs/>
        <w:color w:val="A6A6A6" w:themeColor="background1" w:themeShade="A6"/>
        <w:sz w:val="24"/>
        <w:szCs w:val="24"/>
        <w:rtl/>
      </w:rPr>
      <w:tab/>
    </w:r>
    <w:r>
      <w:rPr>
        <w:rFonts w:ascii="Times New Roman" w:hAnsi="Times New Roman" w:cs="David" w:hint="cs"/>
        <w:b/>
        <w:bCs/>
        <w:color w:val="A6A6A6" w:themeColor="background1" w:themeShade="A6"/>
        <w:sz w:val="24"/>
        <w:szCs w:val="24"/>
        <w:rtl/>
      </w:rPr>
      <w:tab/>
      <w:t xml:space="preserve">          </w:t>
    </w:r>
    <w:r w:rsidRPr="008722A7">
      <w:rPr>
        <w:rFonts w:ascii="Times New Roman" w:hAnsi="Times New Roman" w:cs="David" w:hint="cs"/>
        <w:b/>
        <w:bCs/>
        <w:color w:val="A6A6A6" w:themeColor="background1" w:themeShade="A6"/>
        <w:sz w:val="24"/>
        <w:szCs w:val="24"/>
        <w:rtl/>
      </w:rPr>
      <w:t>שנת פרסום: 200</w:t>
    </w:r>
    <w:r>
      <w:rPr>
        <w:rFonts w:ascii="Times New Roman" w:hAnsi="Times New Roman" w:cs="David" w:hint="cs"/>
        <w:b/>
        <w:bCs/>
        <w:color w:val="A6A6A6" w:themeColor="background1" w:themeShade="A6"/>
        <w:sz w:val="24"/>
        <w:szCs w:val="24"/>
        <w:rtl/>
      </w:rPr>
      <w:t>4</w:t>
    </w:r>
  </w:p>
  <w:p w:rsidR="009C4343" w:rsidRPr="009C4343" w:rsidP="009C4343">
    <w:pPr>
      <w:spacing w:before="60" w:after="60" w:line="240" w:lineRule="auto"/>
      <w:rPr>
        <w:b/>
        <w:bCs/>
        <w:color w:val="A6A6A6" w:themeColor="background1" w:themeShade="A6"/>
        <w:sz w:val="20"/>
        <w:szCs w:val="20"/>
        <w:rtl/>
        <w:lang w:eastAsia="he-IL"/>
      </w:rPr>
    </w:pPr>
    <w:r w:rsidRPr="009C4343">
      <w:rPr>
        <w:rFonts w:hint="cs"/>
        <w:b/>
        <w:bCs/>
        <w:color w:val="A6A6A6" w:themeColor="background1" w:themeShade="A6"/>
        <w:sz w:val="20"/>
        <w:szCs w:val="20"/>
        <w:rtl/>
        <w:lang w:eastAsia="he-IL"/>
      </w:rPr>
      <w:t>מחקרים באוניברסיטאות במימון גורמי חוץ</w:t>
    </w:r>
  </w:p>
  <w:p w:rsidR="008B022D" w:rsidRPr="008722A7" w:rsidP="009C4343">
    <w:pPr>
      <w:pStyle w:val="PlainText"/>
      <w:spacing w:before="60" w:after="60" w:line="240" w:lineRule="auto"/>
      <w:rPr>
        <w:rFonts w:ascii="Times New Roman" w:hAnsi="Times New Roman" w:cs="David"/>
        <w:b/>
        <w:bCs/>
        <w:color w:val="A6A6A6" w:themeColor="background1" w:themeShade="A6"/>
        <w:sz w:val="24"/>
        <w:szCs w:val="24"/>
      </w:rPr>
    </w:pPr>
    <w:r w:rsidRPr="009C4343">
      <w:rPr>
        <w:rFonts w:ascii="Times New Roman" w:hAnsi="Times New Roman" w:cs="David" w:hint="cs"/>
        <w:b/>
        <w:bCs/>
        <w:color w:val="A6A6A6" w:themeColor="background1" w:themeShade="A6"/>
        <w:rtl/>
      </w:rPr>
      <w:t>שמירת איכות הסביבה בחברות תשתית האנרגיה</w:t>
    </w:r>
    <w:r w:rsidRPr="008722A7" w:rsidR="002B4828">
      <w:rPr>
        <w:rFonts w:ascii="Times New Roman" w:hAnsi="Times New Roman" w:cs="David" w:hint="cs"/>
        <w:b/>
        <w:bCs/>
        <w:color w:val="A6A6A6" w:themeColor="background1" w:themeShade="A6"/>
        <w:sz w:val="24"/>
        <w:szCs w:val="24"/>
        <w:rtl/>
      </w:rPr>
      <w:tab/>
    </w:r>
    <w:r w:rsidRPr="008722A7" w:rsidR="00EA3771">
      <w:rPr>
        <w:rFonts w:ascii="Times New Roman" w:hAnsi="Times New Roman" w:cs="David" w:hint="cs"/>
        <w:b/>
        <w:bCs/>
        <w:color w:val="A6A6A6" w:themeColor="background1" w:themeShade="A6"/>
        <w:sz w:val="24"/>
        <w:szCs w:val="24"/>
        <w:rtl/>
      </w:rPr>
      <w:t xml:space="preserve">   </w:t>
    </w:r>
    <w:r w:rsidRPr="008722A7" w:rsidR="00351C65">
      <w:rPr>
        <w:rFonts w:ascii="Times New Roman" w:hAnsi="Times New Roman" w:cs="David" w:hint="cs"/>
        <w:b/>
        <w:bCs/>
        <w:color w:val="A6A6A6" w:themeColor="background1" w:themeShade="A6"/>
        <w:sz w:val="24"/>
        <w:szCs w:val="24"/>
        <w:rtl/>
      </w:rPr>
      <w:t xml:space="preserve">   </w:t>
    </w:r>
    <w:r w:rsidR="008722A7">
      <w:rPr>
        <w:rFonts w:ascii="Times New Roman" w:hAnsi="Times New Roman" w:cs="David" w:hint="cs"/>
        <w:b/>
        <w:bCs/>
        <w:color w:val="A6A6A6" w:themeColor="background1" w:themeShade="A6"/>
        <w:sz w:val="24"/>
        <w:szCs w:val="24"/>
        <w:rtl/>
      </w:rPr>
      <w:tab/>
    </w:r>
    <w:r w:rsidR="008722A7">
      <w:rPr>
        <w:rFonts w:ascii="Times New Roman" w:hAnsi="Times New Roman" w:cs="David" w:hint="cs"/>
        <w:b/>
        <w:bCs/>
        <w:color w:val="A6A6A6" w:themeColor="background1" w:themeShade="A6"/>
        <w:sz w:val="24"/>
        <w:szCs w:val="24"/>
        <w:rtl/>
      </w:rPr>
      <w:tab/>
      <w:t xml:space="preserve">   </w:t>
    </w:r>
    <w:r w:rsidR="008722A7">
      <w:rPr>
        <w:rFonts w:ascii="Times New Roman" w:hAnsi="Times New Roman" w:cs="David" w:hint="cs"/>
        <w:b/>
        <w:bCs/>
        <w:color w:val="A6A6A6" w:themeColor="background1" w:themeShade="A6"/>
        <w:sz w:val="24"/>
        <w:szCs w:val="24"/>
        <w:rt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4FCD"/>
    <w:rsid w:val="00130FF9"/>
    <w:rsid w:val="002317B7"/>
    <w:rsid w:val="002B4828"/>
    <w:rsid w:val="00320495"/>
    <w:rsid w:val="00321744"/>
    <w:rsid w:val="00340F95"/>
    <w:rsid w:val="00351C65"/>
    <w:rsid w:val="003A1C99"/>
    <w:rsid w:val="00494C18"/>
    <w:rsid w:val="004D261D"/>
    <w:rsid w:val="005642A1"/>
    <w:rsid w:val="006C0D67"/>
    <w:rsid w:val="006F27A1"/>
    <w:rsid w:val="00732684"/>
    <w:rsid w:val="008722A7"/>
    <w:rsid w:val="008B022D"/>
    <w:rsid w:val="00912522"/>
    <w:rsid w:val="009C4343"/>
    <w:rsid w:val="00A278A4"/>
    <w:rsid w:val="00B05881"/>
    <w:rsid w:val="00C467EB"/>
    <w:rsid w:val="00C71197"/>
    <w:rsid w:val="00C9566A"/>
    <w:rsid w:val="00D1719A"/>
    <w:rsid w:val="00E43393"/>
    <w:rsid w:val="00EA3771"/>
    <w:rsid w:val="00EC68B3"/>
    <w:rsid w:val="00F26F85"/>
    <w:rsid w:val="00F57712"/>
    <w:rsid w:val="00F677E5"/>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3">
    <w:name w:val="heading 3"/>
    <w:basedOn w:val="Normal"/>
    <w:next w:val="Normal"/>
    <w:link w:val="3"/>
    <w:uiPriority w:val="9"/>
    <w:semiHidden/>
    <w:unhideWhenUsed/>
    <w:qFormat/>
    <w:rsid w:val="00F677E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5"/>
    <w:qFormat/>
    <w:rsid w:val="00F677E5"/>
    <w:pPr>
      <w:keepNext/>
      <w:widowControl w:val="0"/>
      <w:spacing w:after="120"/>
      <w:jc w:val="center"/>
      <w:outlineLvl w:val="4"/>
    </w:pPr>
    <w:rPr>
      <w:b/>
      <w:bCs/>
      <w:sz w:val="96"/>
      <w:szCs w:val="96"/>
      <w:lang w:eastAsia="he-IL"/>
    </w:rPr>
  </w:style>
  <w:style w:type="paragraph" w:styleId="Heading6">
    <w:name w:val="heading 6"/>
    <w:basedOn w:val="Normal"/>
    <w:next w:val="Normal"/>
    <w:link w:val="6"/>
    <w:qFormat/>
    <w:rsid w:val="00F677E5"/>
    <w:pPr>
      <w:keepNext/>
      <w:widowControl w:val="0"/>
      <w:spacing w:after="120" w:line="240" w:lineRule="atLeast"/>
      <w:jc w:val="center"/>
      <w:outlineLvl w:val="5"/>
    </w:pPr>
    <w:rPr>
      <w:b/>
      <w:bCs/>
      <w:sz w:val="52"/>
      <w:szCs w:val="52"/>
      <w:lang w:eastAsia="he-IL"/>
    </w:rPr>
  </w:style>
  <w:style w:type="paragraph" w:styleId="Heading7">
    <w:name w:val="heading 7"/>
    <w:basedOn w:val="Normal"/>
    <w:next w:val="Normal"/>
    <w:link w:val="7"/>
    <w:uiPriority w:val="9"/>
    <w:unhideWhenUsed/>
    <w:qFormat/>
    <w:rsid w:val="00F577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uiPriority w:val="9"/>
    <w:unhideWhenUsed/>
    <w:qFormat/>
    <w:rsid w:val="00F677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9"/>
    <w:uiPriority w:val="9"/>
    <w:semiHidden/>
    <w:unhideWhenUsed/>
    <w:qFormat/>
    <w:rsid w:val="00F577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character" w:customStyle="1" w:styleId="5">
    <w:name w:val="כותרת 5 תו"/>
    <w:basedOn w:val="DefaultParagraphFont"/>
    <w:link w:val="Heading5"/>
    <w:rsid w:val="00F677E5"/>
    <w:rPr>
      <w:rFonts w:ascii="Times New Roman" w:eastAsia="Times New Roman" w:hAnsi="Times New Roman" w:cs="David"/>
      <w:b/>
      <w:bCs/>
      <w:sz w:val="96"/>
      <w:szCs w:val="96"/>
      <w:lang w:eastAsia="he-IL"/>
    </w:rPr>
  </w:style>
  <w:style w:type="character" w:customStyle="1" w:styleId="6">
    <w:name w:val="כותרת 6 תו"/>
    <w:basedOn w:val="DefaultParagraphFont"/>
    <w:link w:val="Heading6"/>
    <w:rsid w:val="00F677E5"/>
    <w:rPr>
      <w:rFonts w:ascii="Times New Roman" w:eastAsia="Times New Roman" w:hAnsi="Times New Roman" w:cs="David"/>
      <w:b/>
      <w:bCs/>
      <w:sz w:val="52"/>
      <w:szCs w:val="52"/>
      <w:lang w:eastAsia="he-IL"/>
    </w:rPr>
  </w:style>
  <w:style w:type="paragraph" w:customStyle="1" w:styleId="KOT1">
    <w:name w:val="KOT1"/>
    <w:basedOn w:val="Normal"/>
    <w:rsid w:val="00F677E5"/>
    <w:pPr>
      <w:spacing w:line="400" w:lineRule="exact"/>
      <w:jc w:val="center"/>
    </w:pPr>
    <w:rPr>
      <w:b/>
      <w:bCs/>
      <w:sz w:val="36"/>
      <w:szCs w:val="36"/>
      <w:lang w:eastAsia="he-IL"/>
    </w:rPr>
  </w:style>
  <w:style w:type="character" w:customStyle="1" w:styleId="3">
    <w:name w:val="כותרת 3 תו"/>
    <w:basedOn w:val="DefaultParagraphFont"/>
    <w:link w:val="Heading3"/>
    <w:uiPriority w:val="9"/>
    <w:semiHidden/>
    <w:rsid w:val="00F677E5"/>
    <w:rPr>
      <w:rFonts w:asciiTheme="majorHAnsi" w:eastAsiaTheme="majorEastAsia" w:hAnsiTheme="majorHAnsi" w:cstheme="majorBidi"/>
      <w:b/>
      <w:bCs/>
      <w:color w:val="4F81BD" w:themeColor="accent1"/>
      <w:sz w:val="24"/>
      <w:szCs w:val="24"/>
    </w:rPr>
  </w:style>
  <w:style w:type="character" w:customStyle="1" w:styleId="8">
    <w:name w:val="כותרת 8 תו"/>
    <w:basedOn w:val="DefaultParagraphFont"/>
    <w:link w:val="Heading8"/>
    <w:uiPriority w:val="9"/>
    <w:rsid w:val="00F677E5"/>
    <w:rPr>
      <w:rFonts w:asciiTheme="majorHAnsi" w:eastAsiaTheme="majorEastAsia" w:hAnsiTheme="majorHAnsi" w:cstheme="majorBidi"/>
      <w:color w:val="404040" w:themeColor="text1" w:themeTint="BF"/>
      <w:sz w:val="20"/>
      <w:szCs w:val="20"/>
    </w:rPr>
  </w:style>
  <w:style w:type="character" w:customStyle="1" w:styleId="7">
    <w:name w:val="כותרת 7 תו"/>
    <w:basedOn w:val="DefaultParagraphFont"/>
    <w:link w:val="Heading7"/>
    <w:uiPriority w:val="9"/>
    <w:rsid w:val="00F57712"/>
    <w:rPr>
      <w:rFonts w:asciiTheme="majorHAnsi" w:eastAsiaTheme="majorEastAsia" w:hAnsiTheme="majorHAnsi" w:cstheme="majorBidi"/>
      <w:i/>
      <w:iCs/>
      <w:color w:val="404040" w:themeColor="text1" w:themeTint="BF"/>
      <w:sz w:val="24"/>
      <w:szCs w:val="24"/>
    </w:rPr>
  </w:style>
  <w:style w:type="character" w:styleId="PageNumber">
    <w:name w:val="page number"/>
    <w:basedOn w:val="DefaultParagraphFont"/>
    <w:rsid w:val="00F57712"/>
  </w:style>
  <w:style w:type="character" w:customStyle="1" w:styleId="9">
    <w:name w:val="כותרת 9 תו"/>
    <w:basedOn w:val="DefaultParagraphFont"/>
    <w:link w:val="Heading9"/>
    <w:uiPriority w:val="9"/>
    <w:semiHidden/>
    <w:rsid w:val="00F57712"/>
    <w:rPr>
      <w:rFonts w:asciiTheme="majorHAnsi" w:eastAsiaTheme="majorEastAsia" w:hAnsiTheme="majorHAnsi" w:cstheme="majorBidi"/>
      <w:i/>
      <w:iCs/>
      <w:color w:val="404040" w:themeColor="text1" w:themeTint="BF"/>
      <w:sz w:val="20"/>
      <w:szCs w:val="20"/>
    </w:rPr>
  </w:style>
  <w:style w:type="paragraph" w:customStyle="1" w:styleId="PATIAH">
    <w:name w:val="PATIAH"/>
    <w:basedOn w:val="Normal"/>
    <w:rsid w:val="00F26F85"/>
    <w:pPr>
      <w:spacing w:after="120" w:line="260" w:lineRule="exact"/>
      <w:jc w:val="both"/>
    </w:pPr>
    <w:rPr>
      <w:sz w:val="20"/>
      <w:lang w:eastAsia="he-IL"/>
    </w:rPr>
  </w:style>
  <w:style w:type="paragraph" w:styleId="PlainText">
    <w:name w:val="Plain Text"/>
    <w:basedOn w:val="Normal"/>
    <w:link w:val="a5"/>
    <w:unhideWhenUsed/>
    <w:rsid w:val="008722A7"/>
    <w:pPr>
      <w:widowControl w:val="0"/>
      <w:spacing w:line="312" w:lineRule="auto"/>
      <w:jc w:val="both"/>
    </w:pPr>
    <w:rPr>
      <w:rFonts w:ascii="Courier New" w:hAnsi="Courier New" w:cs="Courier New"/>
      <w:sz w:val="20"/>
      <w:szCs w:val="20"/>
      <w:lang w:eastAsia="he-IL"/>
    </w:rPr>
  </w:style>
  <w:style w:type="character" w:customStyle="1" w:styleId="a5">
    <w:name w:val="טקסט רגיל תו"/>
    <w:basedOn w:val="DefaultParagraphFont"/>
    <w:link w:val="PlainText"/>
    <w:rsid w:val="008722A7"/>
    <w:rPr>
      <w:rFonts w:ascii="Courier New" w:eastAsia="Times New Roman"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wmf"/><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27244-12D7-4766-9D1E-4C4E675E89B4}"/>
</file>

<file path=customXml/itemProps2.xml><?xml version="1.0" encoding="utf-8"?>
<ds:datastoreItem xmlns:ds="http://schemas.openxmlformats.org/officeDocument/2006/customXml" ds:itemID="{33F428F1-C059-4FA8-BC90-D665D1BACFB3}"/>
</file>

<file path=customXml/itemProps3.xml><?xml version="1.0" encoding="utf-8"?>
<ds:datastoreItem xmlns:ds="http://schemas.openxmlformats.org/officeDocument/2006/customXml" ds:itemID="{EE9D0ACE-BCDF-48D3-AD1C-ABF32810205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