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spacing w:after="120"/>
        <w:rPr>
          <w:rtl/>
        </w:rPr>
      </w:pPr>
      <w:bookmarkStart w:id="0" w:name="_GoBack"/>
      <w:bookmarkEnd w:id="0"/>
      <w:r>
        <w:rPr>
          <w:rFonts w:hint="cs"/>
          <w:rtl/>
        </w:rPr>
        <w:t xml:space="preserve">שחיקת </w:t>
      </w:r>
      <w:r>
        <w:rPr>
          <w:rtl/>
        </w:rPr>
        <w:t>כבוד האדם</w:t>
      </w:r>
      <w:r>
        <w:rPr>
          <w:rtl/>
        </w:rPr>
        <w:br/>
      </w:r>
      <w:r>
        <w:rPr>
          <w:rFonts w:hint="cs"/>
          <w:rtl/>
        </w:rPr>
        <w:t>ההגנה על ערך כבוד האדם בפרספקטיבה של האומבודסמן ההונגרי הראשון (1995-2001)</w:t>
      </w:r>
    </w:p>
    <w:p w:rsidR="00000000">
      <w:pPr>
        <w:autoSpaceDE w:val="0"/>
        <w:autoSpaceDN w:val="0"/>
        <w:adjustRightInd w:val="0"/>
        <w:spacing w:after="120" w:line="268" w:lineRule="exact"/>
        <w:jc w:val="center"/>
        <w:rPr>
          <w:rFonts w:cs="David" w:hint="cs"/>
          <w:b/>
          <w:bCs/>
          <w:noProof w:val="0"/>
          <w:sz w:val="24"/>
          <w:rtl/>
          <w:lang w:eastAsia="en-US"/>
        </w:rPr>
      </w:pPr>
      <w:r>
        <w:rPr>
          <w:rFonts w:cs="David" w:hint="cs"/>
          <w:b/>
          <w:bCs/>
          <w:noProof w:val="0"/>
          <w:sz w:val="24"/>
          <w:rtl/>
          <w:lang w:eastAsia="en-US"/>
        </w:rPr>
        <w:t xml:space="preserve">קטלין </w:t>
      </w:r>
      <w:r>
        <w:rPr>
          <w:rFonts w:cs="David" w:hint="cs"/>
          <w:b/>
          <w:bCs/>
          <w:noProof w:val="0"/>
          <w:sz w:val="24"/>
          <w:rtl/>
          <w:lang w:eastAsia="en-US"/>
        </w:rPr>
        <w:t>גונצול</w:t>
      </w:r>
      <w:r>
        <w:rPr>
          <w:rFonts w:ascii="Symbol" w:hAnsi="Symbol" w:cs="David"/>
          <w:b/>
          <w:bCs/>
          <w:noProof w:val="0"/>
          <w:sz w:val="24"/>
          <w:vertAlign w:val="superscript"/>
          <w:rtl/>
          <w:lang w:eastAsia="en-US"/>
        </w:rPr>
        <w:footnoteReference w:customMarkFollows="1" w:id="2"/>
        <w:t xml:space="preserve">*</w:t>
      </w:r>
    </w:p>
    <w:p w:rsidR="00000000">
      <w:pPr>
        <w:spacing w:after="120" w:line="264" w:lineRule="exact"/>
        <w:jc w:val="both"/>
        <w:rPr>
          <w:rFonts w:cs="David" w:hint="cs"/>
          <w:sz w:val="24"/>
          <w:rtl/>
        </w:rPr>
      </w:pPr>
    </w:p>
    <w:p w:rsidR="00000000">
      <w:pPr>
        <w:spacing w:after="120" w:line="264" w:lineRule="exact"/>
        <w:jc w:val="both"/>
        <w:rPr>
          <w:rFonts w:cs="David" w:hint="cs"/>
          <w:sz w:val="24"/>
          <w:rtl/>
        </w:rPr>
      </w:pPr>
      <w:r>
        <w:rPr>
          <w:rFonts w:cs="David" w:hint="cs"/>
          <w:sz w:val="24"/>
          <w:rtl/>
        </w:rPr>
        <w:t>בחרתי כנושא מאמרי את "השחיקה בערך כבוד האדם". לפני עשר שנים האמין העם בהונגריה, לזמן קצר, שעוד בימי חיינו יתממשו החופש, השוויון והביטחון הסוציאלי. כבו</w:t>
      </w:r>
      <w:r>
        <w:rPr>
          <w:rFonts w:cs="David" w:hint="cs"/>
          <w:sz w:val="24"/>
          <w:rtl/>
        </w:rPr>
        <w:t>דנו כבני אדם ייכון, עם הפיכתנו ממעמד של אזרחים "פרטיים" למעמד של אזרחי מדינה. במקום זאת, נוכחנו לדעת שאצלנו - בקצה מזרח-אירופה - הדמוקרטיה, המודרניזציה והרווחה החברתית במובנה הרחב, יכולות להיות מנותקות זו מזו. תקוותינו ביחס לערך כבוד האדם לא יכלו להתגשם במ</w:t>
      </w:r>
      <w:r>
        <w:rPr>
          <w:rFonts w:cs="David" w:hint="cs"/>
          <w:sz w:val="24"/>
          <w:rtl/>
        </w:rPr>
        <w:t>לואן ובעניין זה ציפו לנו אולי האכזבות הקשות ביותר. במשך שש שנים שימשתי נציבת זכויות האזרח של האסיפה הלאומית. על פי הניסיון שצברתי, ערך כבוד האדם קשור כמעט תמיד עם זכות אדם חוקתית אחרת. אנסה להאיר רק כמה מקשרים אלה:</w:t>
      </w:r>
    </w:p>
    <w:p w:rsidR="00000000">
      <w:pPr>
        <w:spacing w:after="120" w:line="264" w:lineRule="exact"/>
        <w:jc w:val="both"/>
        <w:rPr>
          <w:rFonts w:cs="David" w:hint="cs"/>
          <w:sz w:val="24"/>
          <w:rtl/>
        </w:rPr>
      </w:pPr>
      <w:r>
        <w:rPr>
          <w:rFonts w:cs="David" w:hint="cs"/>
          <w:sz w:val="24"/>
          <w:rtl/>
        </w:rPr>
        <w:t xml:space="preserve">העיקרון הבסיסי בחוקה קובע, שלכל אדם זכות </w:t>
      </w:r>
      <w:r>
        <w:rPr>
          <w:rFonts w:cs="David" w:hint="cs"/>
          <w:sz w:val="24"/>
          <w:rtl/>
        </w:rPr>
        <w:t>מולדת לחיים ולכבוד ולא ניתן לשלול אותה מאף אחד באופן שרירותי.</w:t>
      </w:r>
    </w:p>
    <w:p w:rsidR="00000000">
      <w:pPr>
        <w:spacing w:after="120" w:line="264" w:lineRule="exact"/>
        <w:jc w:val="both"/>
        <w:rPr>
          <w:rFonts w:cs="David"/>
          <w:sz w:val="24"/>
          <w:rtl/>
        </w:rPr>
      </w:pPr>
      <w:r>
        <w:rPr>
          <w:rFonts w:cs="David" w:hint="cs"/>
          <w:sz w:val="24"/>
          <w:rtl/>
        </w:rPr>
        <w:t>אסו</w:t>
      </w:r>
      <w:r>
        <w:rPr>
          <w:rFonts w:cs="David"/>
          <w:sz w:val="24"/>
          <w:rtl/>
        </w:rPr>
        <w:t xml:space="preserve">ר לענות איש, לנהוג בו או להעניש אותו באופן אכזרי, בלתי אנושי ומשפיל. </w:t>
      </w:r>
      <w:r>
        <w:rPr>
          <w:rFonts w:cs="David" w:hint="cs"/>
          <w:sz w:val="24"/>
          <w:rtl/>
        </w:rPr>
        <w:t xml:space="preserve">בעת </w:t>
      </w:r>
      <w:r>
        <w:rPr>
          <w:rFonts w:cs="David"/>
          <w:sz w:val="24"/>
          <w:rtl/>
        </w:rPr>
        <w:t>שבית המשפט הקונסטיטוציוני ברפובליקה ההונגרית הע</w:t>
      </w:r>
      <w:r>
        <w:rPr>
          <w:rFonts w:cs="David" w:hint="cs"/>
          <w:sz w:val="24"/>
          <w:rtl/>
        </w:rPr>
        <w:t>מיד</w:t>
      </w:r>
      <w:r>
        <w:rPr>
          <w:rFonts w:cs="David"/>
          <w:sz w:val="24"/>
          <w:rtl/>
        </w:rPr>
        <w:t xml:space="preserve"> את הדברים הנזכרים, ב-1990, כזכות בסיסית </w:t>
      </w:r>
      <w:r>
        <w:rPr>
          <w:rFonts w:cs="David" w:hint="cs"/>
          <w:sz w:val="24"/>
          <w:rtl/>
        </w:rPr>
        <w:t xml:space="preserve">שאיננה ניתנת להפרה, </w:t>
      </w:r>
      <w:r>
        <w:rPr>
          <w:rFonts w:cs="David"/>
          <w:sz w:val="24"/>
          <w:rtl/>
        </w:rPr>
        <w:t xml:space="preserve">והכריז </w:t>
      </w:r>
      <w:r>
        <w:rPr>
          <w:rFonts w:cs="David"/>
          <w:sz w:val="24"/>
          <w:rtl/>
        </w:rPr>
        <w:t>על עונש המוות כמנוגד לחוקה, הוא גם הצהיר, שהזכות לחיי אדם ולכבוד אנ</w:t>
      </w:r>
      <w:r>
        <w:rPr>
          <w:rFonts w:cs="David" w:hint="cs"/>
          <w:sz w:val="24"/>
          <w:rtl/>
        </w:rPr>
        <w:t>ו</w:t>
      </w:r>
      <w:r>
        <w:rPr>
          <w:rFonts w:cs="David"/>
          <w:sz w:val="24"/>
          <w:rtl/>
        </w:rPr>
        <w:t>שי</w:t>
      </w:r>
      <w:r>
        <w:rPr>
          <w:rFonts w:cs="David" w:hint="cs"/>
          <w:sz w:val="24"/>
          <w:rtl/>
        </w:rPr>
        <w:t>,</w:t>
      </w:r>
      <w:r>
        <w:rPr>
          <w:rFonts w:cs="David"/>
          <w:sz w:val="24"/>
          <w:rtl/>
        </w:rPr>
        <w:t xml:space="preserve"> בתור ערך מוחלט</w:t>
      </w:r>
      <w:r>
        <w:rPr>
          <w:rFonts w:cs="David" w:hint="cs"/>
          <w:sz w:val="24"/>
          <w:rtl/>
        </w:rPr>
        <w:t>,</w:t>
      </w:r>
      <w:r>
        <w:rPr>
          <w:rFonts w:cs="David"/>
          <w:sz w:val="24"/>
          <w:rtl/>
        </w:rPr>
        <w:t xml:space="preserve"> משמעה הצבת גבול בפני כוח הענישה של המדינה. על כן</w:t>
      </w:r>
      <w:r>
        <w:rPr>
          <w:rFonts w:cs="David" w:hint="cs"/>
          <w:sz w:val="24"/>
          <w:rtl/>
        </w:rPr>
        <w:t>,</w:t>
      </w:r>
      <w:r>
        <w:rPr>
          <w:rFonts w:cs="David"/>
          <w:sz w:val="24"/>
          <w:rtl/>
        </w:rPr>
        <w:t xml:space="preserve"> הדבר גם מחייב את הרשויות אשר נותנות תוקף לכוח הענישה של המדינה. </w:t>
      </w:r>
      <w:r>
        <w:rPr>
          <w:rFonts w:cs="David" w:hint="cs"/>
          <w:sz w:val="24"/>
          <w:rtl/>
        </w:rPr>
        <w:t>בתחום זה מוטל על המדינה "צו עשה" לממש את ערך כבוד האדם</w:t>
      </w:r>
      <w:r>
        <w:rPr>
          <w:rFonts w:cs="David" w:hint="cs"/>
          <w:sz w:val="24"/>
          <w:rtl/>
        </w:rPr>
        <w:t xml:space="preserve">. </w:t>
      </w:r>
      <w:r>
        <w:rPr>
          <w:rFonts w:cs="David"/>
          <w:sz w:val="24"/>
          <w:rtl/>
        </w:rPr>
        <w:t>הניסיון שלי</w:t>
      </w:r>
      <w:r>
        <w:rPr>
          <w:rFonts w:cs="David" w:hint="cs"/>
          <w:sz w:val="24"/>
          <w:rtl/>
        </w:rPr>
        <w:t xml:space="preserve"> מלמד, שבניגוד לצו זה פוגעת המדינה באופן ע</w:t>
      </w:r>
      <w:r>
        <w:rPr>
          <w:rFonts w:cs="David"/>
          <w:sz w:val="24"/>
          <w:rtl/>
        </w:rPr>
        <w:t>מוק וחמור ב</w:t>
      </w:r>
      <w:r>
        <w:rPr>
          <w:rFonts w:cs="David" w:hint="cs"/>
          <w:sz w:val="24"/>
          <w:rtl/>
        </w:rPr>
        <w:t xml:space="preserve">ערך </w:t>
      </w:r>
      <w:r>
        <w:rPr>
          <w:rFonts w:cs="David"/>
          <w:sz w:val="24"/>
          <w:rtl/>
        </w:rPr>
        <w:t>כבוד האדם:</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 xml:space="preserve">אם בהעדר </w:t>
      </w:r>
      <w:r>
        <w:rPr>
          <w:rFonts w:cs="David" w:hint="cs"/>
          <w:sz w:val="24"/>
          <w:rtl/>
        </w:rPr>
        <w:t>אמצעים הולמים</w:t>
      </w:r>
      <w:r>
        <w:rPr>
          <w:rFonts w:cs="David"/>
          <w:sz w:val="24"/>
          <w:rtl/>
        </w:rPr>
        <w:t xml:space="preserve"> מעבירים השוטרים </w:t>
      </w:r>
      <w:r>
        <w:rPr>
          <w:rFonts w:cs="David" w:hint="cs"/>
          <w:sz w:val="24"/>
          <w:rtl/>
        </w:rPr>
        <w:t xml:space="preserve">את החשוד </w:t>
      </w:r>
      <w:r>
        <w:rPr>
          <w:rFonts w:cs="David"/>
          <w:sz w:val="24"/>
          <w:rtl/>
        </w:rPr>
        <w:t>אל בניין המשטרה</w:t>
      </w:r>
      <w:r>
        <w:rPr>
          <w:rFonts w:cs="David" w:hint="cs"/>
          <w:sz w:val="24"/>
          <w:rtl/>
        </w:rPr>
        <w:t xml:space="preserve"> בתא המטען של רכב פרטי;</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 xml:space="preserve">אם לאחר 8 חודשי </w:t>
      </w:r>
      <w:r>
        <w:rPr>
          <w:rFonts w:cs="David" w:hint="cs"/>
          <w:sz w:val="24"/>
          <w:rtl/>
        </w:rPr>
        <w:t xml:space="preserve">מעצר, אין החשוד מכיר את </w:t>
      </w:r>
      <w:r>
        <w:rPr>
          <w:rFonts w:cs="David"/>
          <w:sz w:val="24"/>
          <w:rtl/>
        </w:rPr>
        <w:t>הסניגור אשר מונה לו (כאן נפגע</w:t>
      </w:r>
      <w:r>
        <w:rPr>
          <w:rFonts w:cs="David" w:hint="cs"/>
          <w:sz w:val="24"/>
          <w:rtl/>
        </w:rPr>
        <w:t>ו</w:t>
      </w:r>
      <w:r>
        <w:rPr>
          <w:rFonts w:cs="David"/>
          <w:sz w:val="24"/>
          <w:rtl/>
        </w:rPr>
        <w:t>ת גם הזכות להנ</w:t>
      </w:r>
      <w:r>
        <w:rPr>
          <w:rFonts w:cs="David"/>
          <w:sz w:val="24"/>
          <w:rtl/>
        </w:rPr>
        <w:t xml:space="preserve">חת חזקת החפות </w:t>
      </w:r>
      <w:r>
        <w:rPr>
          <w:rFonts w:cs="David" w:hint="cs"/>
          <w:sz w:val="24"/>
          <w:rtl/>
        </w:rPr>
        <w:t xml:space="preserve">והזכות להגנה, </w:t>
      </w:r>
      <w:r>
        <w:rPr>
          <w:rFonts w:cs="David"/>
          <w:sz w:val="24"/>
          <w:rtl/>
        </w:rPr>
        <w:t>שה</w:t>
      </w:r>
      <w:r>
        <w:rPr>
          <w:rFonts w:cs="David" w:hint="cs"/>
          <w:sz w:val="24"/>
          <w:rtl/>
        </w:rPr>
        <w:t>ן</w:t>
      </w:r>
      <w:r>
        <w:rPr>
          <w:rFonts w:cs="David"/>
          <w:sz w:val="24"/>
          <w:rtl/>
        </w:rPr>
        <w:t xml:space="preserve"> עקרו</w:t>
      </w:r>
      <w:r>
        <w:rPr>
          <w:rFonts w:cs="David" w:hint="cs"/>
          <w:sz w:val="24"/>
          <w:rtl/>
        </w:rPr>
        <w:t>נות</w:t>
      </w:r>
      <w:r>
        <w:rPr>
          <w:rFonts w:cs="David"/>
          <w:sz w:val="24"/>
          <w:rtl/>
        </w:rPr>
        <w:t xml:space="preserve"> קונסטיטוציוני</w:t>
      </w:r>
      <w:r>
        <w:rPr>
          <w:rFonts w:cs="David" w:hint="cs"/>
          <w:sz w:val="24"/>
          <w:rtl/>
        </w:rPr>
        <w:t>ים</w:t>
      </w:r>
      <w:r>
        <w:rPr>
          <w:rFonts w:cs="David"/>
          <w:sz w:val="24"/>
          <w:rtl/>
        </w:rPr>
        <w:t xml:space="preserve"> בסיסי</w:t>
      </w:r>
      <w:r>
        <w:rPr>
          <w:rFonts w:cs="David" w:hint="cs"/>
          <w:sz w:val="24"/>
          <w:rtl/>
        </w:rPr>
        <w:t>ים</w:t>
      </w:r>
      <w:r>
        <w:rPr>
          <w:rFonts w:cs="David"/>
          <w:sz w:val="24"/>
          <w:rtl/>
        </w:rPr>
        <w:t>)</w:t>
      </w:r>
      <w:r>
        <w:rPr>
          <w:rFonts w:cs="David" w:hint="cs"/>
          <w:sz w:val="24"/>
          <w:rtl/>
        </w:rPr>
        <w:t>;</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אם הליך החקירה</w:t>
      </w:r>
      <w:r>
        <w:rPr>
          <w:rFonts w:cs="David" w:hint="cs"/>
          <w:sz w:val="24"/>
          <w:rtl/>
        </w:rPr>
        <w:t xml:space="preserve"> בתנאי מעצר</w:t>
      </w:r>
      <w:r>
        <w:rPr>
          <w:rFonts w:cs="David"/>
          <w:sz w:val="24"/>
          <w:rtl/>
        </w:rPr>
        <w:t xml:space="preserve"> מתמשך שנים ללא סיבה</w:t>
      </w:r>
      <w:r>
        <w:rPr>
          <w:rFonts w:cs="David" w:hint="cs"/>
          <w:sz w:val="24"/>
          <w:rtl/>
        </w:rPr>
        <w:t>;</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 xml:space="preserve">אם </w:t>
      </w:r>
      <w:r>
        <w:rPr>
          <w:rFonts w:cs="David" w:hint="cs"/>
          <w:sz w:val="24"/>
          <w:rtl/>
        </w:rPr>
        <w:t>אין רואים באדם</w:t>
      </w:r>
      <w:r>
        <w:rPr>
          <w:rFonts w:cs="David"/>
          <w:sz w:val="24"/>
          <w:rtl/>
        </w:rPr>
        <w:t xml:space="preserve"> הנפגע מ</w:t>
      </w:r>
      <w:r>
        <w:rPr>
          <w:rFonts w:cs="David" w:hint="cs"/>
          <w:sz w:val="24"/>
          <w:rtl/>
        </w:rPr>
        <w:t>מעשה פשע צד ל</w:t>
      </w:r>
      <w:r>
        <w:rPr>
          <w:rFonts w:cs="David"/>
          <w:sz w:val="24"/>
          <w:rtl/>
        </w:rPr>
        <w:t>הליך ה</w:t>
      </w:r>
      <w:r>
        <w:rPr>
          <w:rFonts w:cs="David" w:hint="cs"/>
          <w:sz w:val="24"/>
          <w:rtl/>
        </w:rPr>
        <w:t>פלילי</w:t>
      </w:r>
      <w:r>
        <w:rPr>
          <w:rFonts w:cs="David"/>
          <w:sz w:val="24"/>
          <w:rtl/>
        </w:rPr>
        <w:t>, והוא אפילו לא מקבל הודעה על תוצאות החקירה</w:t>
      </w:r>
      <w:r>
        <w:rPr>
          <w:rFonts w:cs="David" w:hint="cs"/>
          <w:sz w:val="24"/>
          <w:rtl/>
        </w:rPr>
        <w:t>,</w:t>
      </w:r>
      <w:r>
        <w:rPr>
          <w:rFonts w:cs="David"/>
          <w:sz w:val="24"/>
          <w:rtl/>
        </w:rPr>
        <w:t xml:space="preserve"> שוללים </w:t>
      </w:r>
      <w:r>
        <w:rPr>
          <w:rFonts w:cs="David" w:hint="cs"/>
          <w:sz w:val="24"/>
          <w:rtl/>
        </w:rPr>
        <w:t xml:space="preserve">בכך </w:t>
      </w:r>
      <w:r>
        <w:rPr>
          <w:rFonts w:cs="David"/>
          <w:sz w:val="24"/>
          <w:rtl/>
        </w:rPr>
        <w:t xml:space="preserve">את </w:t>
      </w:r>
      <w:r>
        <w:rPr>
          <w:rFonts w:cs="David" w:hint="cs"/>
          <w:sz w:val="24"/>
          <w:rtl/>
        </w:rPr>
        <w:t xml:space="preserve">מימוש זכויותיו בהליך </w:t>
      </w:r>
      <w:r>
        <w:rPr>
          <w:rFonts w:cs="David"/>
          <w:sz w:val="24"/>
          <w:rtl/>
        </w:rPr>
        <w:t>הפרוצדורלי</w:t>
      </w:r>
      <w:r>
        <w:rPr>
          <w:rFonts w:cs="David" w:hint="cs"/>
          <w:sz w:val="24"/>
          <w:rtl/>
        </w:rPr>
        <w:t>;</w:t>
      </w:r>
    </w:p>
    <w:p w:rsidR="00000000">
      <w:pPr>
        <w:pStyle w:val="BodyText"/>
        <w:spacing w:after="120" w:line="264" w:lineRule="exact"/>
        <w:rPr>
          <w:rFonts w:cs="David"/>
          <w:i w:val="0"/>
          <w:iCs w:val="0"/>
          <w:sz w:val="24"/>
          <w:rtl/>
        </w:rPr>
      </w:pPr>
      <w:r>
        <w:rPr>
          <w:rFonts w:cs="David"/>
          <w:i w:val="0"/>
          <w:iCs w:val="0"/>
          <w:sz w:val="24"/>
          <w:rtl/>
        </w:rPr>
        <w:t>כבוד האדם נפגע באופן חמור בקרב אלה ש</w:t>
      </w:r>
      <w:r>
        <w:rPr>
          <w:rFonts w:cs="David" w:hint="cs"/>
          <w:i w:val="0"/>
          <w:iCs w:val="0"/>
          <w:sz w:val="24"/>
          <w:rtl/>
        </w:rPr>
        <w:t xml:space="preserve">מתוקף מצבם </w:t>
      </w:r>
      <w:r>
        <w:rPr>
          <w:rFonts w:cs="David"/>
          <w:i w:val="0"/>
          <w:iCs w:val="0"/>
          <w:sz w:val="24"/>
          <w:rtl/>
        </w:rPr>
        <w:t>הם חסרי ישע במיוחד</w:t>
      </w:r>
      <w:r>
        <w:rPr>
          <w:rFonts w:cs="David" w:hint="cs"/>
          <w:i w:val="0"/>
          <w:iCs w:val="0"/>
          <w:sz w:val="24"/>
          <w:rtl/>
        </w:rPr>
        <w:t>;</w:t>
      </w:r>
      <w:r>
        <w:rPr>
          <w:rFonts w:cs="David"/>
          <w:i w:val="0"/>
          <w:iCs w:val="0"/>
          <w:sz w:val="24"/>
          <w:rtl/>
        </w:rPr>
        <w:t xml:space="preserve"> </w:t>
      </w:r>
    </w:p>
    <w:p w:rsidR="00000000">
      <w:pPr>
        <w:spacing w:after="120" w:line="264" w:lineRule="exact"/>
        <w:jc w:val="both"/>
        <w:rPr>
          <w:rFonts w:cs="David" w:hint="cs"/>
          <w:sz w:val="24"/>
          <w:rtl/>
        </w:rPr>
      </w:pPr>
      <w:r>
        <w:rPr>
          <w:rFonts w:cs="David" w:hint="cs"/>
          <w:spacing w:val="-2"/>
          <w:sz w:val="24"/>
          <w:rtl/>
        </w:rPr>
        <w:t>-</w:t>
      </w:r>
      <w:r>
        <w:rPr>
          <w:rFonts w:cs="David" w:hint="cs"/>
          <w:spacing w:val="-2"/>
          <w:sz w:val="24"/>
          <w:rtl/>
        </w:rPr>
        <w:tab/>
        <w:t>אם משכנים את המהגרים הבלתי חוקיים - נשים, גברים וטף זרים זה לזה</w:t>
      </w:r>
      <w:r>
        <w:rPr>
          <w:rFonts w:cs="David" w:hint="cs"/>
          <w:sz w:val="24"/>
          <w:rtl/>
        </w:rPr>
        <w:t xml:space="preserve"> -במקום אחד בצוותא;</w:t>
      </w:r>
    </w:p>
    <w:p w:rsidR="00000000">
      <w:pPr>
        <w:spacing w:after="120" w:line="264" w:lineRule="exact"/>
        <w:jc w:val="both"/>
        <w:rPr>
          <w:rFonts w:cs="David"/>
          <w:sz w:val="24"/>
          <w:rtl/>
        </w:rPr>
      </w:pPr>
      <w:r>
        <w:rPr>
          <w:rFonts w:cs="David"/>
          <w:sz w:val="24"/>
          <w:rtl/>
        </w:rPr>
        <w:t>-</w:t>
      </w:r>
      <w:r>
        <w:rPr>
          <w:rFonts w:cs="David" w:hint="cs"/>
          <w:sz w:val="24"/>
          <w:rtl/>
        </w:rPr>
        <w:tab/>
      </w:r>
      <w:r>
        <w:rPr>
          <w:rFonts w:cs="David"/>
          <w:sz w:val="24"/>
          <w:rtl/>
        </w:rPr>
        <w:t xml:space="preserve">אם במוסדות המטפלים בזקנים אין </w:t>
      </w:r>
      <w:r>
        <w:rPr>
          <w:rFonts w:cs="David" w:hint="cs"/>
          <w:sz w:val="24"/>
          <w:rtl/>
        </w:rPr>
        <w:t xml:space="preserve">ארוניות </w:t>
      </w:r>
      <w:r>
        <w:rPr>
          <w:rFonts w:cs="David"/>
          <w:sz w:val="24"/>
          <w:rtl/>
        </w:rPr>
        <w:t>הניתנות ל</w:t>
      </w:r>
      <w:r>
        <w:rPr>
          <w:rFonts w:cs="David" w:hint="cs"/>
          <w:sz w:val="24"/>
          <w:rtl/>
        </w:rPr>
        <w:t>נעיל</w:t>
      </w:r>
      <w:r>
        <w:rPr>
          <w:rFonts w:cs="David"/>
          <w:sz w:val="24"/>
          <w:rtl/>
        </w:rPr>
        <w:t xml:space="preserve">ה, שבהן הם יוכלו לשמור את </w:t>
      </w:r>
      <w:r>
        <w:rPr>
          <w:rFonts w:cs="David" w:hint="cs"/>
          <w:sz w:val="24"/>
          <w:rtl/>
        </w:rPr>
        <w:t>חפציהם ומסמכיהם האישיי</w:t>
      </w:r>
      <w:r>
        <w:rPr>
          <w:rFonts w:cs="David" w:hint="cs"/>
          <w:sz w:val="24"/>
          <w:rtl/>
        </w:rPr>
        <w:t>ם,</w:t>
      </w:r>
      <w:r>
        <w:rPr>
          <w:rFonts w:cs="David"/>
          <w:sz w:val="24"/>
          <w:rtl/>
        </w:rPr>
        <w:t xml:space="preserve"> </w:t>
      </w:r>
      <w:r>
        <w:rPr>
          <w:rFonts w:cs="David" w:hint="cs"/>
          <w:sz w:val="24"/>
          <w:rtl/>
        </w:rPr>
        <w:t xml:space="preserve">החשובים </w:t>
      </w:r>
      <w:r>
        <w:rPr>
          <w:rFonts w:cs="David"/>
          <w:sz w:val="24"/>
          <w:rtl/>
        </w:rPr>
        <w:t xml:space="preserve">להם </w:t>
      </w:r>
      <w:r>
        <w:rPr>
          <w:rFonts w:cs="David" w:hint="cs"/>
          <w:sz w:val="24"/>
          <w:rtl/>
        </w:rPr>
        <w:t>כל כך;</w:t>
      </w:r>
    </w:p>
    <w:p w:rsidR="00000000">
      <w:pPr>
        <w:spacing w:after="120" w:line="264" w:lineRule="exact"/>
        <w:jc w:val="both"/>
        <w:rPr>
          <w:rFonts w:cs="David" w:hint="cs"/>
          <w:sz w:val="24"/>
          <w:rtl/>
        </w:rPr>
      </w:pPr>
      <w:r>
        <w:rPr>
          <w:rFonts w:cs="David"/>
          <w:sz w:val="24"/>
          <w:rtl/>
        </w:rPr>
        <w:t>-</w:t>
      </w:r>
      <w:r>
        <w:rPr>
          <w:rFonts w:cs="David" w:hint="cs"/>
          <w:sz w:val="24"/>
          <w:rtl/>
        </w:rPr>
        <w:tab/>
        <w:t xml:space="preserve">אם </w:t>
      </w:r>
      <w:r>
        <w:rPr>
          <w:rFonts w:cs="David"/>
          <w:sz w:val="24"/>
          <w:rtl/>
        </w:rPr>
        <w:t xml:space="preserve">למוגבלי התנועה אין גישה פיזית אל בנייני ציבור, וכך הם אינם מסוגלים להסדיר את ענייניהם היומיומיים, הם לא יכולים לתקשר, </w:t>
      </w:r>
      <w:r>
        <w:rPr>
          <w:rFonts w:cs="David" w:hint="cs"/>
          <w:sz w:val="24"/>
          <w:rtl/>
        </w:rPr>
        <w:t>ו</w:t>
      </w:r>
      <w:r>
        <w:rPr>
          <w:rFonts w:cs="David"/>
          <w:sz w:val="24"/>
          <w:rtl/>
        </w:rPr>
        <w:t>הם סגורים ב</w:t>
      </w:r>
      <w:r>
        <w:rPr>
          <w:rFonts w:cs="David" w:hint="cs"/>
          <w:sz w:val="24"/>
          <w:rtl/>
        </w:rPr>
        <w:t xml:space="preserve">ין </w:t>
      </w:r>
      <w:r>
        <w:rPr>
          <w:rFonts w:cs="David"/>
          <w:sz w:val="24"/>
          <w:rtl/>
        </w:rPr>
        <w:t xml:space="preserve">כותלי ביתם, ובמקרה של זימון לבית משפט </w:t>
      </w:r>
      <w:r>
        <w:rPr>
          <w:rFonts w:cs="David" w:hint="cs"/>
          <w:sz w:val="24"/>
          <w:rtl/>
        </w:rPr>
        <w:t>נושא</w:t>
      </w:r>
      <w:r>
        <w:rPr>
          <w:rFonts w:cs="David"/>
          <w:sz w:val="24"/>
          <w:rtl/>
        </w:rPr>
        <w:t xml:space="preserve">ים אותם </w:t>
      </w:r>
      <w:r>
        <w:rPr>
          <w:rFonts w:cs="David" w:hint="cs"/>
          <w:sz w:val="24"/>
          <w:rtl/>
        </w:rPr>
        <w:t>בידיים אל</w:t>
      </w:r>
      <w:r>
        <w:rPr>
          <w:rFonts w:cs="David"/>
          <w:sz w:val="24"/>
          <w:rtl/>
        </w:rPr>
        <w:t xml:space="preserve"> אולם הדיונים</w:t>
      </w:r>
      <w:r>
        <w:rPr>
          <w:rFonts w:cs="David" w:hint="cs"/>
          <w:sz w:val="24"/>
          <w:rtl/>
        </w:rPr>
        <w:t>;</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 xml:space="preserve">אם מטילים בבית הספר </w:t>
      </w:r>
      <w:r>
        <w:rPr>
          <w:rFonts w:cs="David"/>
          <w:sz w:val="24"/>
          <w:rtl/>
        </w:rPr>
        <w:t xml:space="preserve">עונש גופני </w:t>
      </w:r>
      <w:r>
        <w:rPr>
          <w:rFonts w:cs="David" w:hint="cs"/>
          <w:sz w:val="24"/>
          <w:rtl/>
        </w:rPr>
        <w:t>על</w:t>
      </w:r>
      <w:r>
        <w:rPr>
          <w:rFonts w:cs="David"/>
          <w:sz w:val="24"/>
          <w:rtl/>
        </w:rPr>
        <w:t xml:space="preserve"> תלמידים</w:t>
      </w:r>
      <w:r>
        <w:rPr>
          <w:rFonts w:cs="David" w:hint="cs"/>
          <w:sz w:val="24"/>
          <w:rtl/>
        </w:rPr>
        <w:t xml:space="preserve"> חסרי הגנה ואין גורם בבית הספר ומחוצה לו שיכול להגן עליהם;</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אם חייל</w:t>
      </w:r>
      <w:r>
        <w:rPr>
          <w:rFonts w:cs="David" w:hint="cs"/>
          <w:sz w:val="24"/>
          <w:rtl/>
        </w:rPr>
        <w:t xml:space="preserve"> בשירות קבע</w:t>
      </w:r>
      <w:r>
        <w:rPr>
          <w:rFonts w:cs="David"/>
          <w:sz w:val="24"/>
          <w:rtl/>
        </w:rPr>
        <w:t xml:space="preserve">, שוטר </w:t>
      </w:r>
      <w:r>
        <w:rPr>
          <w:rFonts w:cs="David" w:hint="cs"/>
          <w:sz w:val="24"/>
          <w:rtl/>
        </w:rPr>
        <w:t xml:space="preserve">או עובד ציבור אחר </w:t>
      </w:r>
      <w:r>
        <w:rPr>
          <w:rFonts w:cs="David"/>
          <w:sz w:val="24"/>
          <w:rtl/>
        </w:rPr>
        <w:t>המופקד</w:t>
      </w:r>
      <w:r>
        <w:rPr>
          <w:rFonts w:cs="David" w:hint="cs"/>
          <w:sz w:val="24"/>
          <w:rtl/>
        </w:rPr>
        <w:t>ים</w:t>
      </w:r>
      <w:r>
        <w:rPr>
          <w:rFonts w:cs="David"/>
          <w:sz w:val="24"/>
          <w:rtl/>
        </w:rPr>
        <w:t xml:space="preserve"> על </w:t>
      </w:r>
      <w:r>
        <w:rPr>
          <w:rFonts w:cs="David" w:hint="cs"/>
          <w:sz w:val="24"/>
          <w:rtl/>
        </w:rPr>
        <w:t xml:space="preserve">מערכת האכיפה </w:t>
      </w:r>
      <w:r>
        <w:rPr>
          <w:rFonts w:cs="David"/>
          <w:sz w:val="24"/>
          <w:rtl/>
        </w:rPr>
        <w:t>נאל</w:t>
      </w:r>
      <w:r>
        <w:rPr>
          <w:rFonts w:cs="David" w:hint="cs"/>
          <w:sz w:val="24"/>
          <w:rtl/>
        </w:rPr>
        <w:t>צים</w:t>
      </w:r>
      <w:r>
        <w:rPr>
          <w:rFonts w:cs="David"/>
          <w:sz w:val="24"/>
          <w:rtl/>
        </w:rPr>
        <w:t xml:space="preserve"> לשם פרנסת</w:t>
      </w:r>
      <w:r>
        <w:rPr>
          <w:rFonts w:cs="David" w:hint="cs"/>
          <w:sz w:val="24"/>
          <w:rtl/>
        </w:rPr>
        <w:t>ם</w:t>
      </w:r>
      <w:r>
        <w:rPr>
          <w:rFonts w:cs="David"/>
          <w:sz w:val="24"/>
          <w:rtl/>
        </w:rPr>
        <w:t xml:space="preserve"> לעסוק </w:t>
      </w:r>
      <w:r>
        <w:rPr>
          <w:rFonts w:cs="David" w:hint="cs"/>
          <w:sz w:val="24"/>
          <w:rtl/>
        </w:rPr>
        <w:t xml:space="preserve">שלא כחוק, </w:t>
      </w:r>
      <w:r>
        <w:rPr>
          <w:rFonts w:cs="David"/>
          <w:sz w:val="24"/>
          <w:rtl/>
        </w:rPr>
        <w:t>בזמנ</w:t>
      </w:r>
      <w:r>
        <w:rPr>
          <w:rFonts w:cs="David" w:hint="cs"/>
          <w:sz w:val="24"/>
          <w:rtl/>
        </w:rPr>
        <w:t>ם</w:t>
      </w:r>
      <w:r>
        <w:rPr>
          <w:rFonts w:cs="David"/>
          <w:sz w:val="24"/>
          <w:rtl/>
        </w:rPr>
        <w:t xml:space="preserve"> הפנוי </w:t>
      </w:r>
      <w:r>
        <w:rPr>
          <w:rFonts w:cs="David" w:hint="cs"/>
          <w:sz w:val="24"/>
          <w:rtl/>
        </w:rPr>
        <w:t>ו</w:t>
      </w:r>
      <w:r>
        <w:rPr>
          <w:rFonts w:cs="David"/>
          <w:sz w:val="24"/>
          <w:rtl/>
        </w:rPr>
        <w:t>המועט</w:t>
      </w:r>
      <w:r>
        <w:rPr>
          <w:rFonts w:cs="David" w:hint="cs"/>
          <w:sz w:val="24"/>
          <w:rtl/>
        </w:rPr>
        <w:t>,</w:t>
      </w:r>
      <w:r>
        <w:rPr>
          <w:rFonts w:cs="David"/>
          <w:sz w:val="24"/>
          <w:rtl/>
        </w:rPr>
        <w:t xml:space="preserve"> בעבודה </w:t>
      </w:r>
      <w:r>
        <w:rPr>
          <w:rFonts w:cs="David" w:hint="cs"/>
          <w:sz w:val="24"/>
          <w:rtl/>
        </w:rPr>
        <w:t>נוספת.</w:t>
      </w:r>
    </w:p>
    <w:p w:rsidR="00000000">
      <w:pPr>
        <w:spacing w:after="120" w:line="264" w:lineRule="exact"/>
        <w:jc w:val="both"/>
        <w:rPr>
          <w:rFonts w:cs="David" w:hint="cs"/>
          <w:sz w:val="24"/>
          <w:rtl/>
        </w:rPr>
      </w:pPr>
      <w:r>
        <w:rPr>
          <w:rFonts w:cs="David"/>
          <w:sz w:val="24"/>
          <w:rtl/>
        </w:rPr>
        <w:t xml:space="preserve">בדמוקרטיות החדשות </w:t>
      </w:r>
      <w:r>
        <w:rPr>
          <w:rFonts w:cs="David" w:hint="cs"/>
          <w:sz w:val="24"/>
          <w:rtl/>
        </w:rPr>
        <w:t xml:space="preserve">שזה עתה נולדו </w:t>
      </w:r>
      <w:r>
        <w:rPr>
          <w:rFonts w:cs="David"/>
          <w:sz w:val="24"/>
          <w:rtl/>
        </w:rPr>
        <w:t xml:space="preserve">עלול </w:t>
      </w:r>
      <w:r>
        <w:rPr>
          <w:rFonts w:cs="David" w:hint="cs"/>
          <w:sz w:val="24"/>
          <w:rtl/>
        </w:rPr>
        <w:t>ע</w:t>
      </w:r>
      <w:r>
        <w:rPr>
          <w:rFonts w:cs="David" w:hint="cs"/>
          <w:sz w:val="24"/>
          <w:rtl/>
        </w:rPr>
        <w:t xml:space="preserve">רך </w:t>
      </w:r>
      <w:r>
        <w:rPr>
          <w:rFonts w:cs="David"/>
          <w:sz w:val="24"/>
          <w:rtl/>
        </w:rPr>
        <w:t xml:space="preserve">כבוד האדם להתנגש עם זכויות </w:t>
      </w:r>
      <w:r>
        <w:rPr>
          <w:rFonts w:cs="David" w:hint="cs"/>
          <w:sz w:val="24"/>
          <w:rtl/>
        </w:rPr>
        <w:t>מוגנות</w:t>
      </w:r>
      <w:r>
        <w:rPr>
          <w:rFonts w:cs="David" w:hint="cs"/>
          <w:i/>
          <w:iCs/>
          <w:sz w:val="24"/>
          <w:rtl/>
        </w:rPr>
        <w:t xml:space="preserve"> </w:t>
      </w:r>
      <w:r>
        <w:rPr>
          <w:rFonts w:cs="David"/>
          <w:sz w:val="24"/>
          <w:rtl/>
        </w:rPr>
        <w:t>אחרות, אשר נראות בלתי מוגבלות, כגון חופש הביטוי או חופש העיתונות. על כך כתב פטר קנדה בספרו "הסדר השביר של הרפובליקה"</w:t>
      </w:r>
      <w:r>
        <w:rPr>
          <w:rFonts w:cs="David" w:hint="cs"/>
          <w:sz w:val="24"/>
          <w:rtl/>
        </w:rPr>
        <w:t>: "... אין לראות לא את חופש הביטוי, ולא את כבוד האדם כאלוהות שאסור לפגוע בה...".</w:t>
      </w:r>
      <w:r>
        <w:rPr>
          <w:rStyle w:val="FootnoteReference"/>
          <w:rFonts w:cs="David"/>
          <w:sz w:val="24"/>
          <w:rtl/>
        </w:rPr>
        <w:footnoteReference w:id="3"/>
      </w:r>
      <w:r>
        <w:rPr>
          <w:rFonts w:cs="David" w:hint="cs"/>
          <w:sz w:val="24"/>
          <w:rtl/>
        </w:rPr>
        <w:t xml:space="preserve"> </w:t>
      </w:r>
      <w:r>
        <w:rPr>
          <w:rFonts w:cs="David"/>
          <w:sz w:val="24"/>
          <w:rtl/>
        </w:rPr>
        <w:t xml:space="preserve">דעתו </w:t>
      </w:r>
      <w:r>
        <w:rPr>
          <w:rFonts w:cs="David" w:hint="cs"/>
          <w:sz w:val="24"/>
          <w:rtl/>
        </w:rPr>
        <w:t>עולה בקנה אחד עם</w:t>
      </w:r>
      <w:r>
        <w:rPr>
          <w:rFonts w:cs="David" w:hint="cs"/>
          <w:sz w:val="24"/>
          <w:rtl/>
        </w:rPr>
        <w:t xml:space="preserve"> ה</w:t>
      </w:r>
      <w:r>
        <w:rPr>
          <w:rFonts w:cs="David"/>
          <w:sz w:val="24"/>
          <w:rtl/>
        </w:rPr>
        <w:t>פרקטיקה שלנו</w:t>
      </w:r>
      <w:r>
        <w:rPr>
          <w:rFonts w:cs="David" w:hint="cs"/>
          <w:sz w:val="24"/>
          <w:rtl/>
        </w:rPr>
        <w:t>.</w:t>
      </w:r>
    </w:p>
    <w:p w:rsidR="00000000">
      <w:pPr>
        <w:spacing w:after="120" w:line="264" w:lineRule="exact"/>
        <w:jc w:val="both"/>
        <w:rPr>
          <w:rFonts w:cs="David"/>
          <w:sz w:val="24"/>
          <w:rtl/>
        </w:rPr>
      </w:pPr>
      <w:r>
        <w:rPr>
          <w:rFonts w:cs="David" w:hint="cs"/>
          <w:sz w:val="24"/>
          <w:rtl/>
        </w:rPr>
        <w:t>לעיתים</w:t>
      </w:r>
      <w:r>
        <w:rPr>
          <w:rFonts w:cs="David"/>
          <w:sz w:val="24"/>
          <w:rtl/>
        </w:rPr>
        <w:t xml:space="preserve">, ניתן גם להגביל את חופש הביטוי והעיתונות, אם החופש </w:t>
      </w:r>
      <w:r>
        <w:rPr>
          <w:rFonts w:cs="David" w:hint="cs"/>
          <w:sz w:val="24"/>
          <w:rtl/>
        </w:rPr>
        <w:t>הופך ל</w:t>
      </w:r>
      <w:r>
        <w:rPr>
          <w:rFonts w:cs="David"/>
          <w:sz w:val="24"/>
          <w:rtl/>
        </w:rPr>
        <w:t xml:space="preserve">חופש פרוע </w:t>
      </w:r>
      <w:r>
        <w:rPr>
          <w:rFonts w:cs="David" w:hint="cs"/>
          <w:sz w:val="24"/>
          <w:rtl/>
        </w:rPr>
        <w:t>ה</w:t>
      </w:r>
      <w:r>
        <w:rPr>
          <w:rFonts w:cs="David"/>
          <w:sz w:val="24"/>
          <w:rtl/>
        </w:rPr>
        <w:t>פוגע באופן חמור או מסכן את כבודם של אחרים</w:t>
      </w:r>
      <w:r>
        <w:rPr>
          <w:rFonts w:cs="David" w:hint="cs"/>
          <w:sz w:val="24"/>
          <w:rtl/>
        </w:rPr>
        <w:t>,</w:t>
      </w:r>
      <w:r>
        <w:rPr>
          <w:rFonts w:cs="David"/>
          <w:sz w:val="24"/>
          <w:rtl/>
        </w:rPr>
        <w:t xml:space="preserve"> למשל </w:t>
      </w:r>
      <w:r>
        <w:rPr>
          <w:rFonts w:cs="David" w:hint="cs"/>
          <w:sz w:val="24"/>
          <w:rtl/>
        </w:rPr>
        <w:t xml:space="preserve">על רקע </w:t>
      </w:r>
      <w:r>
        <w:rPr>
          <w:rFonts w:cs="David"/>
          <w:sz w:val="24"/>
          <w:rtl/>
        </w:rPr>
        <w:t xml:space="preserve">אתני </w:t>
      </w:r>
      <w:r>
        <w:rPr>
          <w:rFonts w:cs="David" w:hint="cs"/>
          <w:sz w:val="24"/>
          <w:rtl/>
        </w:rPr>
        <w:t xml:space="preserve">או </w:t>
      </w:r>
      <w:r>
        <w:rPr>
          <w:rFonts w:cs="David"/>
          <w:sz w:val="24"/>
          <w:rtl/>
        </w:rPr>
        <w:t xml:space="preserve">גזעי, או בשל </w:t>
      </w:r>
      <w:r>
        <w:rPr>
          <w:rFonts w:cs="David" w:hint="cs"/>
          <w:sz w:val="24"/>
          <w:rtl/>
        </w:rPr>
        <w:t>היותם קבוצת מיעוט בחברה</w:t>
      </w:r>
      <w:r>
        <w:rPr>
          <w:rFonts w:cs="David"/>
          <w:sz w:val="24"/>
          <w:rtl/>
        </w:rPr>
        <w:t>.</w:t>
      </w:r>
      <w:r>
        <w:rPr>
          <w:rFonts w:cs="David" w:hint="cs"/>
          <w:sz w:val="24"/>
          <w:rtl/>
        </w:rPr>
        <w:t xml:space="preserve"> כדי לשמור</w:t>
      </w:r>
      <w:r>
        <w:rPr>
          <w:rFonts w:cs="David"/>
          <w:sz w:val="24"/>
          <w:rtl/>
        </w:rPr>
        <w:t xml:space="preserve"> על כבודם של אחרים</w:t>
      </w:r>
      <w:r>
        <w:rPr>
          <w:rFonts w:cs="David" w:hint="cs"/>
          <w:sz w:val="24"/>
          <w:rtl/>
        </w:rPr>
        <w:t xml:space="preserve"> יש לקבוע גבולות גם לסובלנות, ואף במח</w:t>
      </w:r>
      <w:r>
        <w:rPr>
          <w:rFonts w:cs="David" w:hint="cs"/>
          <w:sz w:val="24"/>
          <w:rtl/>
        </w:rPr>
        <w:t>יר פגיעה בזכויות האדם המוגנות ביותר</w:t>
      </w:r>
      <w:r>
        <w:rPr>
          <w:rFonts w:cs="David"/>
          <w:sz w:val="24"/>
          <w:rtl/>
        </w:rPr>
        <w:t xml:space="preserve">. </w:t>
      </w:r>
    </w:p>
    <w:p w:rsidR="00000000">
      <w:pPr>
        <w:spacing w:after="120" w:line="264" w:lineRule="exact"/>
        <w:jc w:val="both"/>
        <w:rPr>
          <w:rFonts w:cs="David"/>
          <w:sz w:val="24"/>
          <w:rtl/>
        </w:rPr>
      </w:pPr>
      <w:r>
        <w:rPr>
          <w:rFonts w:cs="David" w:hint="cs"/>
          <w:sz w:val="24"/>
          <w:rtl/>
        </w:rPr>
        <w:t>הגבלות אלה באות לא רק כדי להגן על הקבוצות החלשות והפגיעות בחברה</w:t>
      </w:r>
      <w:r>
        <w:rPr>
          <w:rFonts w:cs="David"/>
          <w:sz w:val="24"/>
          <w:rtl/>
        </w:rPr>
        <w:t xml:space="preserve">, אלא </w:t>
      </w:r>
      <w:r>
        <w:rPr>
          <w:rFonts w:cs="David" w:hint="cs"/>
          <w:sz w:val="24"/>
          <w:rtl/>
        </w:rPr>
        <w:t xml:space="preserve">הן מתחייבות מהחיים בצוותא </w:t>
      </w:r>
      <w:r>
        <w:rPr>
          <w:rFonts w:cs="David"/>
          <w:sz w:val="24"/>
          <w:rtl/>
        </w:rPr>
        <w:t xml:space="preserve">בחברה ההולכת ונעשית יותר הטרוגנית. </w:t>
      </w:r>
      <w:r>
        <w:rPr>
          <w:rFonts w:cs="David" w:hint="cs"/>
          <w:sz w:val="24"/>
          <w:rtl/>
        </w:rPr>
        <w:t>החובה לשמור ע</w:t>
      </w:r>
      <w:r>
        <w:rPr>
          <w:rFonts w:cs="David"/>
          <w:sz w:val="24"/>
          <w:rtl/>
        </w:rPr>
        <w:t xml:space="preserve">ל </w:t>
      </w:r>
      <w:r>
        <w:rPr>
          <w:rFonts w:cs="David" w:hint="cs"/>
          <w:sz w:val="24"/>
          <w:rtl/>
        </w:rPr>
        <w:t>ה</w:t>
      </w:r>
      <w:r>
        <w:rPr>
          <w:rFonts w:cs="David"/>
          <w:sz w:val="24"/>
          <w:rtl/>
        </w:rPr>
        <w:t xml:space="preserve">איזון בין שתי זכויות </w:t>
      </w:r>
      <w:r>
        <w:rPr>
          <w:rFonts w:cs="David" w:hint="cs"/>
          <w:sz w:val="24"/>
          <w:rtl/>
        </w:rPr>
        <w:t>מוגנות אלה</w:t>
      </w:r>
      <w:r>
        <w:rPr>
          <w:rFonts w:cs="David"/>
          <w:sz w:val="24"/>
          <w:rtl/>
        </w:rPr>
        <w:t xml:space="preserve"> </w:t>
      </w:r>
      <w:r>
        <w:rPr>
          <w:rFonts w:cs="David"/>
          <w:sz w:val="24"/>
        </w:rPr>
        <w:t>–</w:t>
      </w:r>
      <w:r>
        <w:rPr>
          <w:rFonts w:cs="David"/>
          <w:sz w:val="24"/>
          <w:rtl/>
        </w:rPr>
        <w:t xml:space="preserve"> </w:t>
      </w:r>
      <w:r>
        <w:rPr>
          <w:rFonts w:cs="David" w:hint="cs"/>
          <w:sz w:val="24"/>
          <w:rtl/>
        </w:rPr>
        <w:t>חופש הביטוי וכבוד האדם - מוטלת על המדי</w:t>
      </w:r>
      <w:r>
        <w:rPr>
          <w:rFonts w:cs="David" w:hint="cs"/>
          <w:sz w:val="24"/>
          <w:rtl/>
        </w:rPr>
        <w:t>נה</w:t>
      </w:r>
      <w:r>
        <w:rPr>
          <w:rFonts w:cs="David"/>
          <w:sz w:val="24"/>
          <w:rtl/>
        </w:rPr>
        <w:t xml:space="preserve">. </w:t>
      </w:r>
    </w:p>
    <w:p w:rsidR="00000000">
      <w:pPr>
        <w:spacing w:after="120" w:line="264" w:lineRule="exact"/>
        <w:jc w:val="both"/>
        <w:rPr>
          <w:rFonts w:cs="David" w:hint="cs"/>
          <w:sz w:val="24"/>
          <w:rtl/>
        </w:rPr>
      </w:pPr>
    </w:p>
    <w:p w:rsidR="00000000">
      <w:pPr>
        <w:pStyle w:val="KOT2"/>
        <w:rPr>
          <w:rFonts w:hint="cs"/>
          <w:rtl/>
        </w:rPr>
      </w:pPr>
      <w:r>
        <w:rPr>
          <w:rFonts w:hint="cs"/>
          <w:rtl/>
        </w:rPr>
        <w:t>קיפוח סוציאלי מההיבט של כבוד האדם:</w:t>
      </w:r>
    </w:p>
    <w:p w:rsidR="00000000">
      <w:pPr>
        <w:spacing w:after="120" w:line="264" w:lineRule="exact"/>
        <w:jc w:val="both"/>
        <w:rPr>
          <w:rFonts w:cs="David" w:hint="cs"/>
          <w:sz w:val="24"/>
          <w:rtl/>
        </w:rPr>
      </w:pPr>
      <w:r>
        <w:rPr>
          <w:rFonts w:cs="David"/>
          <w:sz w:val="24"/>
          <w:rtl/>
        </w:rPr>
        <w:t xml:space="preserve">התפתחות החברה במערב אירופה וההתנסויות שלנו ב-10 השנים האחרונות הוכיחו, שלצד </w:t>
      </w:r>
      <w:r>
        <w:rPr>
          <w:rFonts w:cs="David" w:hint="cs"/>
          <w:sz w:val="24"/>
          <w:rtl/>
        </w:rPr>
        <w:t xml:space="preserve">המעבר לכלכלת שוק, ההתחשבות בעניינים סוציאליים אף </w:t>
      </w:r>
      <w:r>
        <w:rPr>
          <w:rFonts w:cs="David"/>
          <w:sz w:val="24"/>
          <w:rtl/>
        </w:rPr>
        <w:t xml:space="preserve">היא משימה שאין להזניחה. </w:t>
      </w:r>
      <w:r>
        <w:rPr>
          <w:rFonts w:cs="David" w:hint="cs"/>
          <w:sz w:val="24"/>
          <w:rtl/>
        </w:rPr>
        <w:t>השלמת המעבר לכלכלת שוק טומנת בחובה סיכון חמור לפגיעה סיטונית בכבוד</w:t>
      </w:r>
      <w:r>
        <w:rPr>
          <w:rFonts w:cs="David" w:hint="cs"/>
          <w:sz w:val="24"/>
          <w:rtl/>
        </w:rPr>
        <w:t xml:space="preserve"> האדם ומחייבת את עיצובה הסוציאלי של כלכלת השוק. הראשונה מובילה לחברה אותה תיאר דיקנס, ואילו השנייה לזו אשר עליה מדברים הרומנים של סולז'ניצין.</w:t>
      </w:r>
    </w:p>
    <w:p w:rsidR="00000000">
      <w:pPr>
        <w:spacing w:after="120" w:line="264" w:lineRule="exact"/>
        <w:jc w:val="both"/>
        <w:rPr>
          <w:rFonts w:cs="David"/>
          <w:sz w:val="24"/>
          <w:rtl/>
        </w:rPr>
      </w:pPr>
      <w:r>
        <w:rPr>
          <w:rFonts w:cs="David" w:hint="cs"/>
          <w:sz w:val="24"/>
          <w:rtl/>
        </w:rPr>
        <w:t>כ</w:t>
      </w:r>
      <w:r>
        <w:rPr>
          <w:rFonts w:cs="David"/>
          <w:sz w:val="24"/>
          <w:rtl/>
        </w:rPr>
        <w:t xml:space="preserve">-20% מהתלונות אשר נבחנות </w:t>
      </w:r>
      <w:r>
        <w:rPr>
          <w:rFonts w:cs="David" w:hint="cs"/>
          <w:sz w:val="24"/>
          <w:rtl/>
        </w:rPr>
        <w:t>ב</w:t>
      </w:r>
      <w:r>
        <w:rPr>
          <w:rFonts w:cs="David"/>
          <w:sz w:val="24"/>
          <w:rtl/>
        </w:rPr>
        <w:t xml:space="preserve">ידי </w:t>
      </w:r>
      <w:r>
        <w:rPr>
          <w:rFonts w:cs="David" w:hint="cs"/>
          <w:sz w:val="24"/>
          <w:rtl/>
        </w:rPr>
        <w:t>האומבודסמן הן בעלות אופי סוציאלי:</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עוני של ילדים</w:t>
      </w:r>
      <w:r>
        <w:rPr>
          <w:rFonts w:cs="David" w:hint="cs"/>
          <w:sz w:val="24"/>
          <w:rtl/>
        </w:rPr>
        <w:t xml:space="preserve"> ו</w:t>
      </w:r>
      <w:r>
        <w:rPr>
          <w:rFonts w:cs="David"/>
          <w:sz w:val="24"/>
          <w:rtl/>
        </w:rPr>
        <w:t>מצבי סיכון</w:t>
      </w:r>
      <w:r>
        <w:rPr>
          <w:rFonts w:cs="David" w:hint="cs"/>
          <w:sz w:val="24"/>
          <w:rtl/>
        </w:rPr>
        <w:t>;</w:t>
      </w:r>
    </w:p>
    <w:p w:rsidR="00000000">
      <w:pPr>
        <w:spacing w:after="120" w:line="264" w:lineRule="exact"/>
        <w:jc w:val="both"/>
        <w:rPr>
          <w:rFonts w:cs="David" w:hint="cs"/>
          <w:sz w:val="24"/>
          <w:rtl/>
        </w:rPr>
      </w:pPr>
      <w:r>
        <w:rPr>
          <w:rFonts w:cs="David"/>
          <w:sz w:val="24"/>
          <w:rtl/>
        </w:rPr>
        <w:t>-</w:t>
      </w:r>
      <w:r>
        <w:rPr>
          <w:rFonts w:cs="David" w:hint="cs"/>
          <w:sz w:val="24"/>
          <w:rtl/>
        </w:rPr>
        <w:tab/>
      </w:r>
      <w:r>
        <w:rPr>
          <w:rFonts w:cs="David"/>
          <w:sz w:val="24"/>
          <w:rtl/>
        </w:rPr>
        <w:t>פגיעה בכבוד שעוד נ</w:t>
      </w:r>
      <w:r>
        <w:rPr>
          <w:rFonts w:cs="David"/>
          <w:sz w:val="24"/>
          <w:rtl/>
        </w:rPr>
        <w:t>ותר לחסרי בית</w:t>
      </w:r>
      <w:r>
        <w:rPr>
          <w:rFonts w:cs="David" w:hint="cs"/>
          <w:sz w:val="24"/>
          <w:rtl/>
        </w:rPr>
        <w:t>;</w:t>
      </w:r>
    </w:p>
    <w:p w:rsidR="00000000">
      <w:pPr>
        <w:spacing w:after="120" w:line="264" w:lineRule="exact"/>
        <w:jc w:val="both"/>
        <w:rPr>
          <w:rFonts w:cs="David"/>
          <w:sz w:val="24"/>
          <w:rtl/>
        </w:rPr>
      </w:pPr>
      <w:r>
        <w:rPr>
          <w:rFonts w:cs="David"/>
          <w:sz w:val="24"/>
          <w:rtl/>
        </w:rPr>
        <w:t>-</w:t>
      </w:r>
      <w:r>
        <w:rPr>
          <w:rFonts w:cs="David" w:hint="cs"/>
          <w:sz w:val="24"/>
          <w:rtl/>
        </w:rPr>
        <w:tab/>
      </w:r>
      <w:r>
        <w:rPr>
          <w:rFonts w:cs="David"/>
          <w:sz w:val="24"/>
          <w:rtl/>
        </w:rPr>
        <w:t>חוסר הישע של בעלי קצבת נכות, של מקבלי סיוע סוציאלי ושל הזכאים לדמי סיעוד.</w:t>
      </w:r>
    </w:p>
    <w:p w:rsidR="00000000">
      <w:pPr>
        <w:spacing w:after="120" w:line="264" w:lineRule="exact"/>
        <w:jc w:val="both"/>
        <w:rPr>
          <w:rFonts w:cs="David" w:hint="cs"/>
          <w:sz w:val="24"/>
          <w:rtl/>
        </w:rPr>
      </w:pPr>
      <w:r>
        <w:rPr>
          <w:rFonts w:cs="David"/>
          <w:sz w:val="24"/>
          <w:rtl/>
        </w:rPr>
        <w:t>בדיק</w:t>
      </w:r>
      <w:r>
        <w:rPr>
          <w:rFonts w:cs="David" w:hint="cs"/>
          <w:sz w:val="24"/>
          <w:rtl/>
        </w:rPr>
        <w:t>ה של</w:t>
      </w:r>
      <w:r>
        <w:rPr>
          <w:rFonts w:cs="David"/>
          <w:sz w:val="24"/>
          <w:rtl/>
        </w:rPr>
        <w:t xml:space="preserve"> נוהלי הרשויות הקשורים לצורות אחרות של נזקקות </w:t>
      </w:r>
      <w:r>
        <w:rPr>
          <w:rFonts w:cs="David" w:hint="cs"/>
          <w:sz w:val="24"/>
          <w:rtl/>
        </w:rPr>
        <w:t xml:space="preserve">העלתה אף היא </w:t>
      </w:r>
      <w:r>
        <w:rPr>
          <w:rFonts w:cs="David"/>
          <w:sz w:val="24"/>
          <w:rtl/>
        </w:rPr>
        <w:t xml:space="preserve">תמונה חמורה, </w:t>
      </w:r>
      <w:r>
        <w:rPr>
          <w:rFonts w:cs="David" w:hint="cs"/>
          <w:sz w:val="24"/>
          <w:rtl/>
        </w:rPr>
        <w:t xml:space="preserve">שכן היא חשפה חריגות </w:t>
      </w:r>
      <w:r>
        <w:rPr>
          <w:rFonts w:cs="David"/>
          <w:sz w:val="24"/>
          <w:rtl/>
        </w:rPr>
        <w:t xml:space="preserve">הפוגעות בכבוד האדם. </w:t>
      </w:r>
      <w:r>
        <w:rPr>
          <w:rFonts w:cs="David" w:hint="cs"/>
          <w:sz w:val="24"/>
          <w:rtl/>
        </w:rPr>
        <w:t xml:space="preserve">הרשויות גילו נכונות מעטה </w:t>
      </w:r>
      <w:r>
        <w:rPr>
          <w:rFonts w:cs="David"/>
          <w:sz w:val="24"/>
          <w:rtl/>
        </w:rPr>
        <w:t xml:space="preserve">לבצע חובה </w:t>
      </w:r>
      <w:r>
        <w:rPr>
          <w:rFonts w:cs="David" w:hint="cs"/>
          <w:sz w:val="24"/>
          <w:rtl/>
        </w:rPr>
        <w:t>המוטלת ע</w:t>
      </w:r>
      <w:r>
        <w:rPr>
          <w:rFonts w:cs="David"/>
          <w:sz w:val="24"/>
          <w:rtl/>
        </w:rPr>
        <w:t xml:space="preserve">ל </w:t>
      </w:r>
      <w:r>
        <w:rPr>
          <w:rFonts w:cs="David"/>
          <w:sz w:val="24"/>
          <w:rtl/>
        </w:rPr>
        <w:t>המדינה, הנובעת גם ממחויבות בי</w:t>
      </w:r>
      <w:r>
        <w:rPr>
          <w:rFonts w:cs="David" w:hint="cs"/>
          <w:sz w:val="24"/>
          <w:rtl/>
        </w:rPr>
        <w:t>ן-</w:t>
      </w:r>
      <w:r>
        <w:rPr>
          <w:rFonts w:cs="David"/>
          <w:sz w:val="24"/>
          <w:rtl/>
        </w:rPr>
        <w:t>לאומית</w:t>
      </w:r>
      <w:r>
        <w:rPr>
          <w:rFonts w:cs="David" w:hint="cs"/>
          <w:sz w:val="24"/>
          <w:rtl/>
        </w:rPr>
        <w:t>.</w:t>
      </w:r>
    </w:p>
    <w:p w:rsidR="00000000">
      <w:pPr>
        <w:spacing w:after="120" w:line="264" w:lineRule="exact"/>
        <w:jc w:val="both"/>
        <w:rPr>
          <w:rFonts w:cs="David"/>
          <w:sz w:val="24"/>
          <w:rtl/>
        </w:rPr>
      </w:pPr>
      <w:r>
        <w:rPr>
          <w:rFonts w:cs="David"/>
          <w:sz w:val="24"/>
          <w:rtl/>
        </w:rPr>
        <w:t xml:space="preserve">ההמלצה של מועצת אירופה, אשר </w:t>
      </w:r>
      <w:r>
        <w:rPr>
          <w:rFonts w:cs="David" w:hint="cs"/>
          <w:sz w:val="24"/>
          <w:rtl/>
        </w:rPr>
        <w:t>גובשה</w:t>
      </w:r>
      <w:r>
        <w:rPr>
          <w:rFonts w:cs="David"/>
          <w:sz w:val="24"/>
          <w:rtl/>
        </w:rPr>
        <w:t xml:space="preserve"> ב-1998, מ</w:t>
      </w:r>
      <w:r>
        <w:rPr>
          <w:rFonts w:cs="David" w:hint="cs"/>
          <w:sz w:val="24"/>
          <w:rtl/>
        </w:rPr>
        <w:t xml:space="preserve">ציינת </w:t>
      </w:r>
      <w:r>
        <w:rPr>
          <w:rFonts w:cs="David"/>
          <w:sz w:val="24"/>
          <w:rtl/>
        </w:rPr>
        <w:t>כ</w:t>
      </w:r>
      <w:r>
        <w:rPr>
          <w:rFonts w:cs="David" w:hint="cs"/>
          <w:sz w:val="24"/>
          <w:rtl/>
        </w:rPr>
        <w:t>י</w:t>
      </w:r>
      <w:r>
        <w:rPr>
          <w:rFonts w:cs="David"/>
          <w:sz w:val="24"/>
          <w:rtl/>
        </w:rPr>
        <w:t>: "ה</w:t>
      </w:r>
      <w:r>
        <w:rPr>
          <w:rFonts w:cs="David" w:hint="cs"/>
          <w:sz w:val="24"/>
          <w:rtl/>
        </w:rPr>
        <w:t>הוצאה אל מחוץ לכלל,</w:t>
      </w:r>
      <w:r>
        <w:rPr>
          <w:rFonts w:cs="David"/>
          <w:sz w:val="24"/>
          <w:rtl/>
        </w:rPr>
        <w:t xml:space="preserve"> מ</w:t>
      </w:r>
      <w:r>
        <w:rPr>
          <w:rFonts w:cs="David" w:hint="cs"/>
          <w:sz w:val="24"/>
          <w:rtl/>
        </w:rPr>
        <w:t>לבד</w:t>
      </w:r>
      <w:r>
        <w:rPr>
          <w:rFonts w:cs="David"/>
          <w:sz w:val="24"/>
          <w:rtl/>
        </w:rPr>
        <w:t xml:space="preserve"> </w:t>
      </w:r>
      <w:r>
        <w:rPr>
          <w:rFonts w:cs="David" w:hint="cs"/>
          <w:sz w:val="24"/>
          <w:rtl/>
        </w:rPr>
        <w:t>ה</w:t>
      </w:r>
      <w:r>
        <w:rPr>
          <w:rFonts w:cs="David"/>
          <w:sz w:val="24"/>
          <w:rtl/>
        </w:rPr>
        <w:t>עובדה שה</w:t>
      </w:r>
      <w:r>
        <w:rPr>
          <w:rFonts w:cs="David" w:hint="cs"/>
          <w:sz w:val="24"/>
          <w:rtl/>
        </w:rPr>
        <w:t>י</w:t>
      </w:r>
      <w:r>
        <w:rPr>
          <w:rFonts w:cs="David"/>
          <w:sz w:val="24"/>
          <w:rtl/>
        </w:rPr>
        <w:t>א פוגע</w:t>
      </w:r>
      <w:r>
        <w:rPr>
          <w:rFonts w:cs="David" w:hint="cs"/>
          <w:sz w:val="24"/>
          <w:rtl/>
        </w:rPr>
        <w:t>ת</w:t>
      </w:r>
      <w:r>
        <w:rPr>
          <w:rFonts w:cs="David"/>
          <w:sz w:val="24"/>
          <w:rtl/>
        </w:rPr>
        <w:t xml:space="preserve"> בכבוד האדם ושולל</w:t>
      </w:r>
      <w:r>
        <w:rPr>
          <w:rFonts w:cs="David" w:hint="cs"/>
          <w:sz w:val="24"/>
          <w:rtl/>
        </w:rPr>
        <w:t>ת</w:t>
      </w:r>
      <w:r>
        <w:rPr>
          <w:rFonts w:cs="David"/>
          <w:sz w:val="24"/>
          <w:rtl/>
        </w:rPr>
        <w:t xml:space="preserve"> את זכויות האדם הבסיסיות </w:t>
      </w:r>
      <w:r>
        <w:rPr>
          <w:rFonts w:cs="David" w:hint="cs"/>
          <w:sz w:val="24"/>
          <w:rtl/>
        </w:rPr>
        <w:t>ביותר</w:t>
      </w:r>
      <w:r>
        <w:rPr>
          <w:rFonts w:cs="David"/>
          <w:sz w:val="24"/>
          <w:rtl/>
        </w:rPr>
        <w:t>, הרי שה</w:t>
      </w:r>
      <w:r>
        <w:rPr>
          <w:rFonts w:cs="David" w:hint="cs"/>
          <w:sz w:val="24"/>
          <w:rtl/>
        </w:rPr>
        <w:t>י</w:t>
      </w:r>
      <w:r>
        <w:rPr>
          <w:rFonts w:cs="David"/>
          <w:sz w:val="24"/>
          <w:rtl/>
        </w:rPr>
        <w:t>א יכול</w:t>
      </w:r>
      <w:r>
        <w:rPr>
          <w:rFonts w:cs="David" w:hint="cs"/>
          <w:sz w:val="24"/>
          <w:rtl/>
        </w:rPr>
        <w:t>ה</w:t>
      </w:r>
      <w:r>
        <w:rPr>
          <w:rFonts w:cs="David"/>
          <w:sz w:val="24"/>
          <w:rtl/>
        </w:rPr>
        <w:t xml:space="preserve"> להוליך</w:t>
      </w:r>
      <w:r>
        <w:rPr>
          <w:rFonts w:cs="David" w:hint="cs"/>
          <w:sz w:val="24"/>
          <w:rtl/>
        </w:rPr>
        <w:t>,</w:t>
      </w:r>
      <w:r>
        <w:rPr>
          <w:rFonts w:cs="David"/>
          <w:sz w:val="24"/>
          <w:rtl/>
        </w:rPr>
        <w:t xml:space="preserve"> לצד חוסר היציבות הכלכלי והחברתי</w:t>
      </w:r>
      <w:r>
        <w:rPr>
          <w:rFonts w:cs="David" w:hint="cs"/>
          <w:sz w:val="24"/>
          <w:rtl/>
        </w:rPr>
        <w:t>,</w:t>
      </w:r>
      <w:r>
        <w:rPr>
          <w:rFonts w:cs="David"/>
          <w:sz w:val="24"/>
          <w:rtl/>
        </w:rPr>
        <w:t xml:space="preserve"> וחוסר השוויון </w:t>
      </w:r>
      <w:r>
        <w:rPr>
          <w:rFonts w:cs="David"/>
          <w:sz w:val="24"/>
          <w:rtl/>
        </w:rPr>
        <w:t>הגובר</w:t>
      </w:r>
      <w:r>
        <w:rPr>
          <w:rFonts w:cs="David" w:hint="cs"/>
          <w:sz w:val="24"/>
          <w:rtl/>
        </w:rPr>
        <w:t>,</w:t>
      </w:r>
      <w:r>
        <w:rPr>
          <w:rFonts w:cs="David"/>
          <w:sz w:val="24"/>
          <w:rtl/>
        </w:rPr>
        <w:t xml:space="preserve"> לדחיקת אנשים ל</w:t>
      </w:r>
      <w:r>
        <w:rPr>
          <w:rFonts w:cs="David" w:hint="cs"/>
          <w:sz w:val="24"/>
          <w:rtl/>
        </w:rPr>
        <w:t>שוליים</w:t>
      </w:r>
      <w:r>
        <w:rPr>
          <w:rFonts w:cs="David"/>
          <w:sz w:val="24"/>
          <w:rtl/>
        </w:rPr>
        <w:t>, וכן לתגובות אלימות אשר חותרות תחת היסודות הדמוקרטיים של החברות שלנו."</w:t>
      </w:r>
    </w:p>
    <w:p w:rsidR="00000000">
      <w:pPr>
        <w:spacing w:after="120" w:line="264" w:lineRule="exact"/>
        <w:jc w:val="both"/>
        <w:rPr>
          <w:rFonts w:cs="David"/>
          <w:sz w:val="24"/>
          <w:rtl/>
        </w:rPr>
      </w:pPr>
      <w:r>
        <w:rPr>
          <w:rFonts w:cs="David"/>
          <w:sz w:val="24"/>
          <w:rtl/>
        </w:rPr>
        <w:t xml:space="preserve">גונץ' ארפאד, נשיא המדינה דאז, </w:t>
      </w:r>
      <w:r>
        <w:rPr>
          <w:rFonts w:cs="David" w:hint="cs"/>
          <w:sz w:val="24"/>
          <w:rtl/>
        </w:rPr>
        <w:t>ביטא</w:t>
      </w:r>
      <w:r>
        <w:rPr>
          <w:rFonts w:cs="David"/>
          <w:sz w:val="24"/>
          <w:rtl/>
        </w:rPr>
        <w:t xml:space="preserve"> בחג המולד 1999 חששות דומים: "</w:t>
      </w:r>
      <w:r>
        <w:rPr>
          <w:rFonts w:cs="David"/>
          <w:sz w:val="24"/>
        </w:rPr>
        <w:t>…</w:t>
      </w:r>
      <w:r>
        <w:rPr>
          <w:rFonts w:cs="David"/>
          <w:sz w:val="24"/>
          <w:rtl/>
        </w:rPr>
        <w:t xml:space="preserve"> לכל מערכת דמוקרטית יש </w:t>
      </w:r>
      <w:r>
        <w:rPr>
          <w:rFonts w:cs="David" w:hint="cs"/>
          <w:sz w:val="24"/>
          <w:rtl/>
        </w:rPr>
        <w:t xml:space="preserve">את </w:t>
      </w:r>
      <w:r>
        <w:rPr>
          <w:rFonts w:cs="David"/>
          <w:sz w:val="24"/>
          <w:rtl/>
        </w:rPr>
        <w:t xml:space="preserve">מרחב התמרון הנחוץ לה כדי להחליט, באיזו מידה היא </w:t>
      </w:r>
      <w:r>
        <w:rPr>
          <w:rFonts w:cs="David" w:hint="cs"/>
          <w:sz w:val="24"/>
          <w:rtl/>
        </w:rPr>
        <w:t>רואה במנותקים ובכו</w:t>
      </w:r>
      <w:r>
        <w:rPr>
          <w:rFonts w:cs="David" w:hint="cs"/>
          <w:sz w:val="24"/>
          <w:rtl/>
        </w:rPr>
        <w:t xml:space="preserve">שלים שבקרבה </w:t>
      </w:r>
      <w:r>
        <w:rPr>
          <w:rFonts w:cs="David"/>
          <w:sz w:val="24"/>
          <w:rtl/>
        </w:rPr>
        <w:t xml:space="preserve">נטל </w:t>
      </w:r>
      <w:r>
        <w:rPr>
          <w:rFonts w:cs="David" w:hint="cs"/>
          <w:sz w:val="24"/>
          <w:rtl/>
        </w:rPr>
        <w:t>ו</w:t>
      </w:r>
      <w:r>
        <w:rPr>
          <w:rFonts w:cs="David"/>
          <w:sz w:val="24"/>
          <w:rtl/>
        </w:rPr>
        <w:t xml:space="preserve">באיזו מידה היא </w:t>
      </w:r>
      <w:r>
        <w:rPr>
          <w:rFonts w:cs="David" w:hint="cs"/>
          <w:sz w:val="24"/>
          <w:rtl/>
        </w:rPr>
        <w:t>רואה</w:t>
      </w:r>
      <w:r>
        <w:rPr>
          <w:rFonts w:cs="David"/>
          <w:sz w:val="24"/>
          <w:rtl/>
        </w:rPr>
        <w:t xml:space="preserve"> אותם </w:t>
      </w:r>
      <w:r>
        <w:rPr>
          <w:rFonts w:cs="David" w:hint="cs"/>
          <w:sz w:val="24"/>
          <w:rtl/>
        </w:rPr>
        <w:t>כ</w:t>
      </w:r>
      <w:r>
        <w:rPr>
          <w:rFonts w:cs="David"/>
          <w:sz w:val="24"/>
          <w:rtl/>
        </w:rPr>
        <w:t xml:space="preserve">ראויים לסיוע, בתור כאלה שניתן </w:t>
      </w:r>
      <w:r>
        <w:rPr>
          <w:rFonts w:cs="David" w:hint="cs"/>
          <w:sz w:val="24"/>
          <w:rtl/>
        </w:rPr>
        <w:t>לשלבם בחברה"</w:t>
      </w:r>
      <w:r>
        <w:rPr>
          <w:rFonts w:cs="David"/>
          <w:sz w:val="24"/>
          <w:rtl/>
        </w:rPr>
        <w:t>. אין לי האמצעי</w:t>
      </w:r>
      <w:r>
        <w:rPr>
          <w:rFonts w:cs="David" w:hint="cs"/>
          <w:sz w:val="24"/>
          <w:rtl/>
        </w:rPr>
        <w:t xml:space="preserve"> </w:t>
      </w:r>
      <w:r>
        <w:rPr>
          <w:rFonts w:cs="David"/>
          <w:sz w:val="24"/>
          <w:rtl/>
        </w:rPr>
        <w:t>הוא המשיך בדבריו</w:t>
      </w:r>
      <w:r>
        <w:rPr>
          <w:rFonts w:cs="David" w:hint="cs"/>
          <w:sz w:val="24"/>
          <w:rtl/>
        </w:rPr>
        <w:t>,</w:t>
      </w:r>
      <w:r>
        <w:rPr>
          <w:rFonts w:cs="David"/>
          <w:sz w:val="24"/>
          <w:rtl/>
        </w:rPr>
        <w:t xml:space="preserve"> </w:t>
      </w:r>
      <w:r>
        <w:rPr>
          <w:rFonts w:cs="David" w:hint="cs"/>
          <w:sz w:val="24"/>
          <w:rtl/>
        </w:rPr>
        <w:t>"</w:t>
      </w:r>
      <w:r>
        <w:rPr>
          <w:rFonts w:cs="David"/>
          <w:sz w:val="24"/>
          <w:rtl/>
        </w:rPr>
        <w:t xml:space="preserve">לשקול ולהעריך </w:t>
      </w:r>
      <w:r>
        <w:rPr>
          <w:rFonts w:cs="David" w:hint="cs"/>
          <w:sz w:val="24"/>
          <w:rtl/>
        </w:rPr>
        <w:t>את מידת</w:t>
      </w:r>
      <w:r>
        <w:rPr>
          <w:rFonts w:cs="David"/>
          <w:sz w:val="24"/>
          <w:rtl/>
        </w:rPr>
        <w:t xml:space="preserve"> התועלת </w:t>
      </w:r>
      <w:r>
        <w:rPr>
          <w:rFonts w:cs="David" w:hint="cs"/>
          <w:sz w:val="24"/>
          <w:rtl/>
        </w:rPr>
        <w:t>הכרוכה בהק</w:t>
      </w:r>
      <w:r>
        <w:rPr>
          <w:rFonts w:cs="David"/>
          <w:sz w:val="24"/>
          <w:rtl/>
        </w:rPr>
        <w:t xml:space="preserve">צאה </w:t>
      </w:r>
      <w:r>
        <w:rPr>
          <w:rFonts w:cs="David" w:hint="cs"/>
          <w:sz w:val="24"/>
          <w:rtl/>
        </w:rPr>
        <w:t xml:space="preserve">לצרכים חברתיים, </w:t>
      </w:r>
      <w:r>
        <w:rPr>
          <w:rFonts w:cs="David"/>
          <w:sz w:val="24"/>
          <w:rtl/>
        </w:rPr>
        <w:t>אבל אני חש ש</w:t>
      </w:r>
      <w:r>
        <w:rPr>
          <w:rFonts w:cs="David" w:hint="cs"/>
          <w:sz w:val="24"/>
          <w:rtl/>
        </w:rPr>
        <w:t>שיעור</w:t>
      </w:r>
      <w:r>
        <w:rPr>
          <w:rFonts w:cs="David"/>
          <w:sz w:val="24"/>
          <w:rtl/>
        </w:rPr>
        <w:t xml:space="preserve"> </w:t>
      </w:r>
      <w:r>
        <w:rPr>
          <w:rFonts w:cs="David" w:hint="cs"/>
          <w:sz w:val="24"/>
          <w:rtl/>
        </w:rPr>
        <w:t>תת התיקצוב</w:t>
      </w:r>
      <w:r>
        <w:rPr>
          <w:rFonts w:cs="David"/>
          <w:sz w:val="24"/>
          <w:rtl/>
        </w:rPr>
        <w:t xml:space="preserve"> בהונגריה, </w:t>
      </w:r>
      <w:r>
        <w:rPr>
          <w:rFonts w:cs="David" w:hint="cs"/>
          <w:sz w:val="24"/>
          <w:rtl/>
        </w:rPr>
        <w:t xml:space="preserve">הוא </w:t>
      </w:r>
      <w:r>
        <w:rPr>
          <w:rFonts w:cs="David"/>
          <w:sz w:val="24"/>
          <w:rtl/>
        </w:rPr>
        <w:t xml:space="preserve">לא פחות מ-30%, </w:t>
      </w:r>
      <w:r>
        <w:rPr>
          <w:rFonts w:cs="David" w:hint="cs"/>
          <w:sz w:val="24"/>
          <w:rtl/>
        </w:rPr>
        <w:t>ו</w:t>
      </w:r>
      <w:r>
        <w:rPr>
          <w:rFonts w:cs="David"/>
          <w:sz w:val="24"/>
          <w:rtl/>
        </w:rPr>
        <w:t>הוא גבוה באופן מסו</w:t>
      </w:r>
      <w:r>
        <w:rPr>
          <w:rFonts w:cs="David"/>
          <w:sz w:val="24"/>
          <w:rtl/>
        </w:rPr>
        <w:t>כן</w:t>
      </w:r>
      <w:r>
        <w:rPr>
          <w:rFonts w:cs="David" w:hint="cs"/>
          <w:sz w:val="24"/>
          <w:rtl/>
        </w:rPr>
        <w:t>"</w:t>
      </w:r>
      <w:r>
        <w:rPr>
          <w:rFonts w:cs="David"/>
          <w:sz w:val="24"/>
          <w:rtl/>
        </w:rPr>
        <w:t xml:space="preserve">. על פי הסוציולוג פרגה ז'וזה, </w:t>
      </w:r>
      <w:r>
        <w:rPr>
          <w:rFonts w:cs="David" w:hint="cs"/>
          <w:sz w:val="24"/>
          <w:rtl/>
        </w:rPr>
        <w:t>"</w:t>
      </w:r>
      <w:r>
        <w:rPr>
          <w:rFonts w:cs="David"/>
          <w:sz w:val="24"/>
          <w:rtl/>
        </w:rPr>
        <w:t>ה</w:t>
      </w:r>
      <w:r>
        <w:rPr>
          <w:rFonts w:cs="David" w:hint="cs"/>
          <w:sz w:val="24"/>
          <w:rtl/>
        </w:rPr>
        <w:t xml:space="preserve">ניתוק, </w:t>
      </w:r>
      <w:r>
        <w:rPr>
          <w:rFonts w:cs="David" w:hint="cs"/>
          <w:sz w:val="24"/>
          <w:rtl/>
        </w:rPr>
        <w:t>ההוצאה אל מחוץ לכלל</w:t>
      </w:r>
      <w:r>
        <w:rPr>
          <w:rFonts w:cs="David"/>
          <w:sz w:val="24"/>
          <w:rtl/>
        </w:rPr>
        <w:t xml:space="preserve"> </w:t>
      </w:r>
      <w:r>
        <w:rPr>
          <w:rFonts w:cs="David" w:hint="cs"/>
          <w:sz w:val="24"/>
          <w:rtl/>
        </w:rPr>
        <w:t>עומדים במרכז ה</w:t>
      </w:r>
      <w:r>
        <w:rPr>
          <w:rFonts w:cs="David"/>
          <w:sz w:val="24"/>
          <w:rtl/>
        </w:rPr>
        <w:t xml:space="preserve">עניין </w:t>
      </w:r>
      <w:r>
        <w:rPr>
          <w:rFonts w:cs="David" w:hint="cs"/>
          <w:sz w:val="24"/>
          <w:rtl/>
        </w:rPr>
        <w:t>ה</w:t>
      </w:r>
      <w:r>
        <w:rPr>
          <w:rFonts w:cs="David"/>
          <w:sz w:val="24"/>
          <w:rtl/>
        </w:rPr>
        <w:t>ציבורי בחלק גדול מהעולם</w:t>
      </w:r>
      <w:r>
        <w:rPr>
          <w:rFonts w:cs="David" w:hint="cs"/>
          <w:sz w:val="24"/>
          <w:rtl/>
        </w:rPr>
        <w:t>".</w:t>
      </w:r>
      <w:r>
        <w:rPr>
          <w:rStyle w:val="FootnoteReference"/>
          <w:rFonts w:cs="David"/>
          <w:sz w:val="24"/>
          <w:rtl/>
        </w:rPr>
        <w:footnoteReference w:id="4"/>
      </w:r>
      <w:r>
        <w:rPr>
          <w:rFonts w:cs="David"/>
          <w:sz w:val="24"/>
          <w:rtl/>
        </w:rPr>
        <w:t xml:space="preserve"> אצלנו עדיין לא. לדידי, יש כבר ערכים קונסטיטוציוניים ו</w:t>
      </w:r>
      <w:r>
        <w:rPr>
          <w:rFonts w:cs="David" w:hint="cs"/>
          <w:sz w:val="24"/>
          <w:rtl/>
        </w:rPr>
        <w:t xml:space="preserve">חוקים רלבנטיים שעל פיהם </w:t>
      </w:r>
      <w:r>
        <w:rPr>
          <w:rFonts w:cs="David"/>
          <w:sz w:val="24"/>
          <w:rtl/>
        </w:rPr>
        <w:t xml:space="preserve">ניתן לתבוע דין וחשבון. כך גם </w:t>
      </w:r>
      <w:r>
        <w:rPr>
          <w:rFonts w:cs="David" w:hint="cs"/>
          <w:sz w:val="24"/>
          <w:rtl/>
        </w:rPr>
        <w:t>פעל</w:t>
      </w:r>
      <w:r>
        <w:rPr>
          <w:rFonts w:cs="David"/>
          <w:sz w:val="24"/>
          <w:rtl/>
        </w:rPr>
        <w:t xml:space="preserve">תי </w:t>
      </w:r>
      <w:r>
        <w:rPr>
          <w:rFonts w:cs="David" w:hint="cs"/>
          <w:sz w:val="24"/>
          <w:rtl/>
        </w:rPr>
        <w:t xml:space="preserve">בתור אומבודסמן, </w:t>
      </w:r>
      <w:r>
        <w:rPr>
          <w:rFonts w:cs="David"/>
          <w:sz w:val="24"/>
          <w:rtl/>
        </w:rPr>
        <w:t xml:space="preserve">בכל מקרה </w:t>
      </w:r>
      <w:r>
        <w:rPr>
          <w:rFonts w:cs="David" w:hint="cs"/>
          <w:sz w:val="24"/>
          <w:rtl/>
        </w:rPr>
        <w:t>בו התאפשר</w:t>
      </w:r>
      <w:r>
        <w:rPr>
          <w:rFonts w:cs="David" w:hint="cs"/>
          <w:sz w:val="24"/>
          <w:rtl/>
        </w:rPr>
        <w:t xml:space="preserve"> הדבר.</w:t>
      </w:r>
      <w:r>
        <w:rPr>
          <w:rFonts w:cs="David"/>
          <w:sz w:val="24"/>
          <w:rtl/>
        </w:rPr>
        <w:t xml:space="preserve"> </w:t>
      </w:r>
    </w:p>
    <w:p w:rsidR="00000000">
      <w:pPr>
        <w:spacing w:after="120" w:line="264" w:lineRule="exact"/>
        <w:jc w:val="both"/>
        <w:rPr>
          <w:rFonts w:cs="David"/>
          <w:sz w:val="24"/>
          <w:rtl/>
        </w:rPr>
      </w:pPr>
      <w:r>
        <w:rPr>
          <w:rFonts w:cs="David"/>
          <w:sz w:val="24"/>
          <w:rtl/>
        </w:rPr>
        <w:t>המלצתי ש</w:t>
      </w:r>
      <w:r>
        <w:rPr>
          <w:rFonts w:cs="David" w:hint="cs"/>
          <w:sz w:val="24"/>
          <w:rtl/>
        </w:rPr>
        <w:t>ל</w:t>
      </w:r>
      <w:r>
        <w:rPr>
          <w:rFonts w:cs="David"/>
          <w:sz w:val="24"/>
          <w:rtl/>
        </w:rPr>
        <w:t>א להוציא ילד מהמשפחה מסיבה סוציאלית, ו</w:t>
      </w:r>
      <w:r>
        <w:rPr>
          <w:rFonts w:cs="David" w:hint="cs"/>
          <w:sz w:val="24"/>
          <w:rtl/>
        </w:rPr>
        <w:t>כי כל</w:t>
      </w:r>
      <w:r>
        <w:rPr>
          <w:rFonts w:cs="David"/>
          <w:sz w:val="24"/>
          <w:rtl/>
        </w:rPr>
        <w:t xml:space="preserve"> החלט</w:t>
      </w:r>
      <w:r>
        <w:rPr>
          <w:rFonts w:cs="David" w:hint="cs"/>
          <w:sz w:val="24"/>
          <w:rtl/>
        </w:rPr>
        <w:t>ה</w:t>
      </w:r>
      <w:r>
        <w:rPr>
          <w:rFonts w:cs="David"/>
          <w:sz w:val="24"/>
          <w:rtl/>
        </w:rPr>
        <w:t xml:space="preserve"> </w:t>
      </w:r>
      <w:r>
        <w:rPr>
          <w:rFonts w:cs="David" w:hint="cs"/>
          <w:sz w:val="24"/>
          <w:rtl/>
        </w:rPr>
        <w:t xml:space="preserve">של הרשויות השוללת הענקת סעד סוציאלי תנומק במפורט; </w:t>
      </w:r>
      <w:r>
        <w:rPr>
          <w:rFonts w:cs="David"/>
          <w:sz w:val="24"/>
          <w:rtl/>
        </w:rPr>
        <w:t>הסבתי את תשומת הלב לכך, שאחריות ראשונה במעלה של המדינה הי</w:t>
      </w:r>
      <w:r>
        <w:rPr>
          <w:rFonts w:cs="David" w:hint="cs"/>
          <w:sz w:val="24"/>
          <w:rtl/>
        </w:rPr>
        <w:t>א</w:t>
      </w:r>
      <w:r>
        <w:rPr>
          <w:rFonts w:cs="David"/>
          <w:sz w:val="24"/>
          <w:rtl/>
        </w:rPr>
        <w:t xml:space="preserve"> </w:t>
      </w:r>
      <w:r>
        <w:rPr>
          <w:rFonts w:cs="David" w:hint="cs"/>
          <w:sz w:val="24"/>
          <w:rtl/>
        </w:rPr>
        <w:t>להבטיח קורת גג;</w:t>
      </w:r>
      <w:r>
        <w:rPr>
          <w:rFonts w:cs="David"/>
          <w:sz w:val="24"/>
          <w:rtl/>
        </w:rPr>
        <w:t xml:space="preserve"> הזהרתי </w:t>
      </w:r>
      <w:r>
        <w:rPr>
          <w:rFonts w:cs="David" w:hint="cs"/>
          <w:sz w:val="24"/>
          <w:rtl/>
        </w:rPr>
        <w:t xml:space="preserve">שלא ייתכן מצב שבו </w:t>
      </w:r>
      <w:r>
        <w:rPr>
          <w:rFonts w:cs="David"/>
          <w:sz w:val="24"/>
          <w:rtl/>
        </w:rPr>
        <w:t xml:space="preserve">עקב מחדל של </w:t>
      </w:r>
      <w:r>
        <w:rPr>
          <w:rFonts w:cs="David" w:hint="cs"/>
          <w:sz w:val="24"/>
          <w:rtl/>
        </w:rPr>
        <w:t>ה</w:t>
      </w:r>
      <w:r>
        <w:rPr>
          <w:rFonts w:cs="David"/>
          <w:sz w:val="24"/>
          <w:rtl/>
        </w:rPr>
        <w:t>רשויות</w:t>
      </w:r>
      <w:r>
        <w:rPr>
          <w:rFonts w:cs="David" w:hint="cs"/>
          <w:sz w:val="24"/>
          <w:rtl/>
        </w:rPr>
        <w:t>,</w:t>
      </w:r>
      <w:r>
        <w:rPr>
          <w:rFonts w:cs="David"/>
          <w:sz w:val="24"/>
          <w:rtl/>
        </w:rPr>
        <w:t xml:space="preserve"> אדם בודד, א</w:t>
      </w:r>
      <w:r>
        <w:rPr>
          <w:rFonts w:cs="David" w:hint="cs"/>
          <w:sz w:val="24"/>
          <w:rtl/>
        </w:rPr>
        <w:t>ו</w:t>
      </w:r>
      <w:r>
        <w:rPr>
          <w:rFonts w:cs="David"/>
          <w:sz w:val="24"/>
          <w:rtl/>
        </w:rPr>
        <w:t xml:space="preserve"> משפחה</w:t>
      </w:r>
      <w:r>
        <w:rPr>
          <w:rFonts w:cs="David" w:hint="cs"/>
          <w:sz w:val="24"/>
          <w:rtl/>
        </w:rPr>
        <w:t>,</w:t>
      </w:r>
      <w:r>
        <w:rPr>
          <w:rFonts w:cs="David"/>
          <w:sz w:val="24"/>
          <w:rtl/>
        </w:rPr>
        <w:t xml:space="preserve"> </w:t>
      </w:r>
      <w:r>
        <w:rPr>
          <w:rFonts w:cs="David" w:hint="cs"/>
          <w:sz w:val="24"/>
          <w:rtl/>
        </w:rPr>
        <w:t>ייקלעו למצב של קיום בלתי בטוח</w:t>
      </w:r>
      <w:r>
        <w:rPr>
          <w:rFonts w:cs="David"/>
          <w:sz w:val="24"/>
          <w:rtl/>
        </w:rPr>
        <w:t xml:space="preserve">. </w:t>
      </w:r>
    </w:p>
    <w:p w:rsidR="00000000">
      <w:pPr>
        <w:spacing w:after="120" w:line="264" w:lineRule="exact"/>
        <w:jc w:val="both"/>
        <w:rPr>
          <w:rFonts w:cs="David"/>
          <w:sz w:val="24"/>
          <w:rtl/>
        </w:rPr>
      </w:pPr>
      <w:r>
        <w:rPr>
          <w:rFonts w:cs="David"/>
          <w:sz w:val="24"/>
          <w:rtl/>
        </w:rPr>
        <w:t>ל</w:t>
      </w:r>
      <w:r>
        <w:rPr>
          <w:rFonts w:cs="David" w:hint="cs"/>
          <w:sz w:val="24"/>
          <w:rtl/>
        </w:rPr>
        <w:t>אומבודסמן</w:t>
      </w:r>
      <w:r>
        <w:rPr>
          <w:rFonts w:cs="David"/>
          <w:sz w:val="24"/>
          <w:rtl/>
        </w:rPr>
        <w:t xml:space="preserve"> יש אמצעים, אך אלה מוגבלים</w:t>
      </w:r>
      <w:r>
        <w:rPr>
          <w:rFonts w:cs="David" w:hint="cs"/>
          <w:sz w:val="24"/>
          <w:rtl/>
        </w:rPr>
        <w:t xml:space="preserve"> מאוד</w:t>
      </w:r>
      <w:r>
        <w:rPr>
          <w:rFonts w:cs="David"/>
          <w:sz w:val="24"/>
          <w:rtl/>
        </w:rPr>
        <w:t xml:space="preserve">. במקרה של פגיעה בזכויות אדם אשר הובחנה ואותרה, הוא יכול להמליץ </w:t>
      </w:r>
      <w:r>
        <w:rPr>
          <w:rFonts w:cs="David" w:hint="cs"/>
          <w:sz w:val="24"/>
          <w:rtl/>
        </w:rPr>
        <w:t>לתקן את הפגיעה.</w:t>
      </w:r>
      <w:r>
        <w:rPr>
          <w:rFonts w:cs="David"/>
          <w:sz w:val="24"/>
          <w:rtl/>
        </w:rPr>
        <w:t xml:space="preserve"> </w:t>
      </w:r>
      <w:r>
        <w:rPr>
          <w:rFonts w:cs="David" w:hint="cs"/>
          <w:sz w:val="24"/>
          <w:rtl/>
        </w:rPr>
        <w:t xml:space="preserve">כך אכן נעשה </w:t>
      </w:r>
      <w:r>
        <w:rPr>
          <w:rFonts w:cs="David"/>
          <w:sz w:val="24"/>
          <w:rtl/>
        </w:rPr>
        <w:t>בשש השנים האחרונות ב-80% מהמקרים.</w:t>
      </w:r>
      <w:r>
        <w:rPr>
          <w:rFonts w:cs="David" w:hint="cs"/>
          <w:sz w:val="24"/>
          <w:rtl/>
        </w:rPr>
        <w:t xml:space="preserve"> </w:t>
      </w:r>
      <w:r>
        <w:rPr>
          <w:rFonts w:cs="David"/>
          <w:sz w:val="24"/>
          <w:rtl/>
        </w:rPr>
        <w:t xml:space="preserve">אך כל זה הניב תוצאות מועטות ביותר בהגנה על כבוד </w:t>
      </w:r>
      <w:r>
        <w:rPr>
          <w:rFonts w:cs="David" w:hint="cs"/>
          <w:sz w:val="24"/>
          <w:rtl/>
        </w:rPr>
        <w:t>האדם בא</w:t>
      </w:r>
      <w:r>
        <w:rPr>
          <w:rFonts w:cs="David" w:hint="cs"/>
          <w:sz w:val="24"/>
          <w:rtl/>
        </w:rPr>
        <w:t xml:space="preserve">שר לקיום </w:t>
      </w:r>
      <w:r>
        <w:rPr>
          <w:rFonts w:cs="David"/>
          <w:sz w:val="24"/>
          <w:rtl/>
        </w:rPr>
        <w:t>ביטחון סוציאלי בסיסי.</w:t>
      </w:r>
    </w:p>
    <w:p w:rsidR="00000000">
      <w:pPr>
        <w:spacing w:after="120" w:line="264" w:lineRule="exact"/>
        <w:jc w:val="both"/>
        <w:rPr>
          <w:rFonts w:cs="David" w:hint="cs"/>
          <w:sz w:val="24"/>
          <w:rtl/>
        </w:rPr>
      </w:pPr>
      <w:r>
        <w:rPr>
          <w:rFonts w:cs="David"/>
          <w:sz w:val="24"/>
          <w:rtl/>
        </w:rPr>
        <w:t>שינוי המ</w:t>
      </w:r>
      <w:r>
        <w:rPr>
          <w:rFonts w:cs="David" w:hint="cs"/>
          <w:sz w:val="24"/>
          <w:rtl/>
        </w:rPr>
        <w:t>שטר</w:t>
      </w:r>
      <w:r>
        <w:rPr>
          <w:rFonts w:cs="David"/>
          <w:sz w:val="24"/>
          <w:rtl/>
        </w:rPr>
        <w:t xml:space="preserve"> הכלכלי</w:t>
      </w:r>
      <w:r>
        <w:rPr>
          <w:rFonts w:cs="David" w:hint="cs"/>
          <w:sz w:val="24"/>
          <w:rtl/>
        </w:rPr>
        <w:t xml:space="preserve"> </w:t>
      </w:r>
      <w:r>
        <w:rPr>
          <w:rFonts w:cs="David"/>
          <w:sz w:val="24"/>
          <w:rtl/>
        </w:rPr>
        <w:t>הפוליטי ב</w:t>
      </w:r>
      <w:r>
        <w:rPr>
          <w:rFonts w:cs="David" w:hint="cs"/>
          <w:sz w:val="24"/>
          <w:rtl/>
        </w:rPr>
        <w:t xml:space="preserve">שנים </w:t>
      </w:r>
      <w:r>
        <w:rPr>
          <w:rFonts w:cs="David"/>
          <w:sz w:val="24"/>
          <w:rtl/>
        </w:rPr>
        <w:t xml:space="preserve">1989-1998 </w:t>
      </w:r>
      <w:r>
        <w:rPr>
          <w:rFonts w:cs="David" w:hint="cs"/>
          <w:sz w:val="24"/>
          <w:rtl/>
        </w:rPr>
        <w:t xml:space="preserve">הסתיים </w:t>
      </w:r>
      <w:r>
        <w:rPr>
          <w:rFonts w:cs="David"/>
          <w:sz w:val="24"/>
          <w:rtl/>
        </w:rPr>
        <w:t>פחות או יותר</w:t>
      </w:r>
      <w:r>
        <w:rPr>
          <w:rFonts w:cs="David" w:hint="cs"/>
          <w:sz w:val="24"/>
          <w:rtl/>
        </w:rPr>
        <w:t>.</w:t>
      </w:r>
    </w:p>
    <w:p w:rsidR="00000000">
      <w:pPr>
        <w:spacing w:after="120" w:line="264" w:lineRule="exact"/>
        <w:jc w:val="both"/>
        <w:rPr>
          <w:rFonts w:cs="David"/>
          <w:sz w:val="24"/>
          <w:rtl/>
        </w:rPr>
      </w:pPr>
      <w:r>
        <w:rPr>
          <w:rFonts w:cs="David"/>
          <w:sz w:val="24"/>
          <w:rtl/>
        </w:rPr>
        <w:t xml:space="preserve">תהליך השינוי הארגוני </w:t>
      </w:r>
      <w:r>
        <w:rPr>
          <w:rFonts w:cs="David" w:hint="cs"/>
          <w:sz w:val="24"/>
          <w:rtl/>
        </w:rPr>
        <w:t>שלווה במימוש ערך</w:t>
      </w:r>
      <w:r>
        <w:rPr>
          <w:rFonts w:cs="David"/>
          <w:sz w:val="24"/>
          <w:rtl/>
        </w:rPr>
        <w:t xml:space="preserve"> כבוד האדם</w:t>
      </w:r>
      <w:r>
        <w:rPr>
          <w:rFonts w:cs="David" w:hint="cs"/>
          <w:sz w:val="24"/>
          <w:rtl/>
        </w:rPr>
        <w:t>,</w:t>
      </w:r>
      <w:r>
        <w:rPr>
          <w:rFonts w:cs="David"/>
          <w:sz w:val="24"/>
          <w:rtl/>
        </w:rPr>
        <w:t xml:space="preserve"> יצר דאגות חדשות לצד </w:t>
      </w:r>
      <w:r>
        <w:rPr>
          <w:rFonts w:cs="David" w:hint="cs"/>
          <w:sz w:val="24"/>
          <w:rtl/>
        </w:rPr>
        <w:t xml:space="preserve">אלה </w:t>
      </w:r>
      <w:r>
        <w:rPr>
          <w:rFonts w:cs="David"/>
          <w:sz w:val="24"/>
          <w:rtl/>
        </w:rPr>
        <w:t>הקיימות</w:t>
      </w:r>
      <w:r>
        <w:rPr>
          <w:rFonts w:cs="David" w:hint="cs"/>
          <w:sz w:val="24"/>
          <w:rtl/>
        </w:rPr>
        <w:t xml:space="preserve">, ולכמה מהן אולי </w:t>
      </w:r>
      <w:r>
        <w:rPr>
          <w:rFonts w:cs="David"/>
          <w:sz w:val="24"/>
          <w:rtl/>
        </w:rPr>
        <w:t xml:space="preserve">הצלחתי לעורר רגישות. </w:t>
      </w:r>
    </w:p>
    <w:p w:rsidR="00000000">
      <w:pPr>
        <w:spacing w:after="120" w:line="264" w:lineRule="exact"/>
        <w:jc w:val="both"/>
        <w:rPr>
          <w:rFonts w:cs="David" w:hint="cs"/>
          <w:sz w:val="24"/>
          <w:rtl/>
        </w:rPr>
      </w:pPr>
      <w:r>
        <w:rPr>
          <w:rFonts w:cs="David"/>
          <w:sz w:val="24"/>
          <w:rtl/>
        </w:rPr>
        <w:t xml:space="preserve">המחוקקים, </w:t>
      </w:r>
      <w:r>
        <w:rPr>
          <w:rFonts w:cs="David" w:hint="cs"/>
          <w:sz w:val="24"/>
          <w:rtl/>
        </w:rPr>
        <w:t>הרשויות האמונות על אכיפת החוק</w:t>
      </w:r>
      <w:r>
        <w:rPr>
          <w:rFonts w:cs="David"/>
          <w:sz w:val="24"/>
          <w:rtl/>
        </w:rPr>
        <w:t>, ה</w:t>
      </w:r>
      <w:r>
        <w:rPr>
          <w:rFonts w:cs="David"/>
          <w:sz w:val="24"/>
          <w:rtl/>
        </w:rPr>
        <w:t>ממשלה, אמצעי התקשורת והמוסדות הקונסטיטוציוניים המג</w:t>
      </w:r>
      <w:r>
        <w:rPr>
          <w:rFonts w:cs="David" w:hint="cs"/>
          <w:sz w:val="24"/>
          <w:rtl/>
        </w:rPr>
        <w:t>י</w:t>
      </w:r>
      <w:r>
        <w:rPr>
          <w:rFonts w:cs="David"/>
          <w:sz w:val="24"/>
          <w:rtl/>
        </w:rPr>
        <w:t>נים על המשפט, ביחד ולחוד, ערבים לכך שבני ארצי יהפכו מא</w:t>
      </w:r>
      <w:r>
        <w:rPr>
          <w:rFonts w:cs="David" w:hint="cs"/>
          <w:sz w:val="24"/>
          <w:rtl/>
        </w:rPr>
        <w:t>נשים אינדיבידואליים</w:t>
      </w:r>
      <w:r>
        <w:rPr>
          <w:rFonts w:cs="David"/>
          <w:sz w:val="24"/>
          <w:rtl/>
        </w:rPr>
        <w:t xml:space="preserve"> לאזרחי המדינה. הערכים אשר נוצר</w:t>
      </w:r>
      <w:r>
        <w:rPr>
          <w:rFonts w:cs="David" w:hint="cs"/>
          <w:sz w:val="24"/>
          <w:rtl/>
        </w:rPr>
        <w:t>ו והופצו</w:t>
      </w:r>
      <w:r>
        <w:rPr>
          <w:rFonts w:cs="David"/>
          <w:sz w:val="24"/>
          <w:rtl/>
        </w:rPr>
        <w:t xml:space="preserve"> </w:t>
      </w:r>
      <w:r>
        <w:rPr>
          <w:rFonts w:cs="David" w:hint="cs"/>
          <w:sz w:val="24"/>
          <w:rtl/>
        </w:rPr>
        <w:t>ב</w:t>
      </w:r>
      <w:r>
        <w:rPr>
          <w:rFonts w:cs="David"/>
          <w:sz w:val="24"/>
          <w:rtl/>
        </w:rPr>
        <w:t>ידיהם מ</w:t>
      </w:r>
      <w:r>
        <w:rPr>
          <w:rFonts w:cs="David" w:hint="cs"/>
          <w:sz w:val="24"/>
          <w:rtl/>
        </w:rPr>
        <w:t>שפיע</w:t>
      </w:r>
      <w:r>
        <w:rPr>
          <w:rFonts w:cs="David"/>
          <w:sz w:val="24"/>
          <w:rtl/>
        </w:rPr>
        <w:t>ים לא רק על הקשר בין הרשות לאזרח, אלא גם על היחסים ההדדיים בין האנשים</w:t>
      </w:r>
      <w:r>
        <w:rPr>
          <w:rFonts w:cs="David" w:hint="cs"/>
          <w:sz w:val="24"/>
          <w:rtl/>
        </w:rPr>
        <w:t xml:space="preserve">, </w:t>
      </w:r>
      <w:r>
        <w:rPr>
          <w:rFonts w:cs="David"/>
          <w:sz w:val="24"/>
          <w:rtl/>
        </w:rPr>
        <w:t>בין אדם ל</w:t>
      </w:r>
      <w:r>
        <w:rPr>
          <w:rFonts w:cs="David"/>
          <w:sz w:val="24"/>
          <w:rtl/>
        </w:rPr>
        <w:t>חברו</w:t>
      </w:r>
      <w:r>
        <w:rPr>
          <w:rFonts w:cs="David" w:hint="cs"/>
          <w:sz w:val="24"/>
          <w:rtl/>
        </w:rPr>
        <w:t xml:space="preserve"> ובין בני </w:t>
      </w:r>
      <w:r>
        <w:rPr>
          <w:rFonts w:cs="David"/>
          <w:sz w:val="24"/>
          <w:rtl/>
        </w:rPr>
        <w:t>משפחה</w:t>
      </w:r>
      <w:r>
        <w:rPr>
          <w:rFonts w:cs="David" w:hint="cs"/>
          <w:sz w:val="24"/>
          <w:rtl/>
        </w:rPr>
        <w:t>,</w:t>
      </w:r>
      <w:r>
        <w:rPr>
          <w:rFonts w:cs="David"/>
          <w:sz w:val="24"/>
          <w:rtl/>
        </w:rPr>
        <w:t xml:space="preserve"> ו</w:t>
      </w:r>
      <w:r>
        <w:rPr>
          <w:rFonts w:cs="David" w:hint="cs"/>
          <w:sz w:val="24"/>
          <w:rtl/>
        </w:rPr>
        <w:t>על תחומים</w:t>
      </w:r>
      <w:r>
        <w:rPr>
          <w:rFonts w:cs="David"/>
          <w:sz w:val="24"/>
          <w:rtl/>
        </w:rPr>
        <w:t xml:space="preserve"> אחרים של </w:t>
      </w:r>
      <w:r>
        <w:rPr>
          <w:rFonts w:cs="David" w:hint="cs"/>
          <w:sz w:val="24"/>
          <w:rtl/>
        </w:rPr>
        <w:t>חיי הפרט.</w:t>
      </w:r>
    </w:p>
    <w:p w:rsidR="00000000">
      <w:pPr>
        <w:spacing w:after="120" w:line="264" w:lineRule="exact"/>
        <w:jc w:val="both"/>
        <w:rPr>
          <w:rFonts w:cs="David" w:hint="cs"/>
          <w:sz w:val="24"/>
          <w:rtl/>
        </w:rPr>
      </w:pPr>
      <w:r>
        <w:rPr>
          <w:rFonts w:cs="David"/>
          <w:sz w:val="24"/>
          <w:rtl/>
        </w:rPr>
        <w:t xml:space="preserve">תרבות השמירה על כבוד האדם נתונה במשבר. </w:t>
      </w:r>
      <w:r>
        <w:rPr>
          <w:rFonts w:cs="David" w:hint="cs"/>
          <w:sz w:val="24"/>
          <w:rtl/>
        </w:rPr>
        <w:t>כאומבודסמן</w:t>
      </w:r>
      <w:r>
        <w:rPr>
          <w:rFonts w:cs="David"/>
          <w:sz w:val="24"/>
          <w:rtl/>
        </w:rPr>
        <w:t xml:space="preserve">, </w:t>
      </w:r>
      <w:r>
        <w:rPr>
          <w:rFonts w:cs="David" w:hint="cs"/>
          <w:sz w:val="24"/>
          <w:rtl/>
        </w:rPr>
        <w:t xml:space="preserve">לא היתה לי הסמכות </w:t>
      </w:r>
      <w:r>
        <w:rPr>
          <w:rFonts w:cs="David"/>
          <w:sz w:val="24"/>
          <w:rtl/>
        </w:rPr>
        <w:t xml:space="preserve">לנתח משבר ערכים זה, אף </w:t>
      </w:r>
      <w:r>
        <w:rPr>
          <w:rFonts w:cs="David" w:hint="cs"/>
          <w:sz w:val="24"/>
          <w:rtl/>
        </w:rPr>
        <w:t>כי יש לי מה לומר בענין זה.</w:t>
      </w:r>
    </w:p>
    <w:sectPr>
      <w:headerReference w:type="even" r:id="rId5"/>
      <w:headerReference w:type="default" r:id="rId6"/>
      <w:footerReference w:type="even" r:id="rId7"/>
      <w:footerReference w:type="default" r:id="rId8"/>
      <w:footerReference w:type="first" r:id="rId9"/>
      <w:pgSz w:w="11906" w:h="16838" w:code="9"/>
      <w:pgMar w:top="2098" w:right="2608" w:bottom="4536" w:left="2608" w:header="1531" w:footer="3969" w:gutter="0"/>
      <w:pgNumType w:start="59"/>
      <w:cols w:space="720"/>
      <w:titlePg/>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center"/>
      <w:rPr>
        <w:rFonts w:ascii="Tahoma" w:hAnsi="Tahoma" w:cs="Tahoma"/>
        <w:b/>
        <w:bCs/>
        <w:sz w:val="20"/>
        <w:szCs w:val="20"/>
      </w:rPr>
    </w:pPr>
    <w:r>
      <w:rPr>
        <w:rStyle w:val="PageNumber"/>
        <w:rFonts w:ascii="Tahoma" w:hAnsi="Tahoma" w:cs="Tahoma"/>
        <w:b/>
        <w:bCs/>
        <w:sz w:val="20"/>
        <w:szCs w:val="20"/>
      </w:rPr>
      <w:fldChar w:fldCharType="begin"/>
    </w:r>
    <w:r>
      <w:rPr>
        <w:rStyle w:val="PageNumber"/>
        <w:rFonts w:ascii="Tahoma" w:hAnsi="Tahoma" w:cs="Tahoma"/>
        <w:b/>
        <w:bCs/>
        <w:sz w:val="20"/>
        <w:szCs w:val="20"/>
      </w:rPr>
      <w:instrText xml:space="preserve"> PAGE </w:instrText>
    </w:r>
    <w:r>
      <w:rPr>
        <w:rStyle w:val="PageNumber"/>
        <w:rFonts w:ascii="Tahoma" w:hAnsi="Tahoma" w:cs="Tahoma"/>
        <w:b/>
        <w:bCs/>
        <w:sz w:val="20"/>
        <w:szCs w:val="20"/>
      </w:rPr>
      <w:fldChar w:fldCharType="separate"/>
    </w:r>
    <w:r>
      <w:rPr>
        <w:rStyle w:val="PageNumber"/>
        <w:rFonts w:ascii="Tahoma" w:hAnsi="Tahoma" w:cs="Tahoma"/>
        <w:b/>
        <w:bCs/>
        <w:sz w:val="20"/>
        <w:szCs w:val="20"/>
        <w:rtl/>
      </w:rPr>
      <w:t>62</w:t>
    </w:r>
    <w:r>
      <w:rPr>
        <w:rStyle w:val="PageNumber"/>
        <w:rFonts w:ascii="Tahoma" w:hAnsi="Tahoma" w:cs="Tahom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center"/>
      <w:rPr>
        <w:rFonts w:ascii="Tahoma" w:hAnsi="Tahoma" w:cs="Tahoma"/>
        <w:b/>
        <w:bCs/>
        <w:sz w:val="20"/>
        <w:szCs w:val="20"/>
      </w:rPr>
    </w:pPr>
    <w:r>
      <w:rPr>
        <w:rStyle w:val="PageNumber"/>
        <w:rFonts w:ascii="Tahoma" w:hAnsi="Tahoma" w:cs="Tahoma"/>
        <w:b/>
        <w:bCs/>
        <w:sz w:val="20"/>
        <w:szCs w:val="20"/>
      </w:rPr>
      <w:fldChar w:fldCharType="begin"/>
    </w:r>
    <w:r>
      <w:rPr>
        <w:rStyle w:val="PageNumber"/>
        <w:rFonts w:ascii="Tahoma" w:hAnsi="Tahoma" w:cs="Tahoma"/>
        <w:b/>
        <w:bCs/>
        <w:sz w:val="20"/>
        <w:szCs w:val="20"/>
      </w:rPr>
      <w:instrText xml:space="preserve"> PAGE </w:instrText>
    </w:r>
    <w:r>
      <w:rPr>
        <w:rStyle w:val="PageNumber"/>
        <w:rFonts w:ascii="Tahoma" w:hAnsi="Tahoma" w:cs="Tahoma"/>
        <w:b/>
        <w:bCs/>
        <w:sz w:val="20"/>
        <w:szCs w:val="20"/>
      </w:rPr>
      <w:fldChar w:fldCharType="separate"/>
    </w:r>
    <w:r>
      <w:rPr>
        <w:rStyle w:val="PageNumber"/>
        <w:rFonts w:ascii="Tahoma" w:hAnsi="Tahoma" w:cs="Tahoma"/>
        <w:b/>
        <w:bCs/>
        <w:sz w:val="20"/>
        <w:szCs w:val="20"/>
        <w:rtl/>
      </w:rPr>
      <w:t>61</w:t>
    </w:r>
    <w:r>
      <w:rPr>
        <w:rStyle w:val="PageNumber"/>
        <w:rFonts w:ascii="Tahoma" w:hAnsi="Tahoma" w:cs="Tahoma"/>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center"/>
      <w:rPr>
        <w:rFonts w:ascii="Tahoma" w:hAnsi="Tahoma" w:cs="Tahoma"/>
        <w:b/>
        <w:bCs/>
        <w:sz w:val="20"/>
        <w:szCs w:val="20"/>
      </w:rPr>
    </w:pPr>
    <w:r>
      <w:rPr>
        <w:rStyle w:val="PageNumber"/>
        <w:rFonts w:ascii="Tahoma" w:hAnsi="Tahoma" w:cs="Tahoma"/>
        <w:b/>
        <w:bCs/>
        <w:sz w:val="20"/>
        <w:szCs w:val="20"/>
      </w:rPr>
      <w:fldChar w:fldCharType="begin"/>
    </w:r>
    <w:r>
      <w:rPr>
        <w:rStyle w:val="PageNumber"/>
        <w:rFonts w:ascii="Tahoma" w:hAnsi="Tahoma" w:cs="Tahoma"/>
        <w:b/>
        <w:bCs/>
        <w:sz w:val="20"/>
        <w:szCs w:val="20"/>
      </w:rPr>
      <w:instrText xml:space="preserve"> PAGE </w:instrText>
    </w:r>
    <w:r>
      <w:rPr>
        <w:rStyle w:val="PageNumber"/>
        <w:rFonts w:ascii="Tahoma" w:hAnsi="Tahoma" w:cs="Tahoma"/>
        <w:b/>
        <w:bCs/>
        <w:sz w:val="20"/>
        <w:szCs w:val="20"/>
      </w:rPr>
      <w:fldChar w:fldCharType="separate"/>
    </w:r>
    <w:r>
      <w:rPr>
        <w:rStyle w:val="PageNumber"/>
        <w:rFonts w:ascii="Tahoma" w:hAnsi="Tahoma" w:cs="Tahoma"/>
        <w:b/>
        <w:bCs/>
        <w:sz w:val="20"/>
        <w:szCs w:val="20"/>
        <w:rtl/>
      </w:rPr>
      <w:t>59</w:t>
    </w:r>
    <w:r>
      <w:rPr>
        <w:rStyle w:val="PageNumber"/>
        <w:rFonts w:ascii="Tahoma" w:hAnsi="Tahoma" w:cs="Tahoma"/>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rPr>
          <w:rFonts w:hint="cs"/>
          <w:rtl/>
        </w:rPr>
        <w:t>___________</w:t>
      </w:r>
    </w:p>
  </w:footnote>
  <w:footnote w:type="continuationSeparator" w:id="1">
    <w:p w:rsidR="00000000">
      <w:pPr>
        <w:spacing w:line="240" w:lineRule="auto"/>
      </w:pPr>
      <w:r>
        <w:continuationSeparator/>
      </w:r>
    </w:p>
  </w:footnote>
  <w:footnote w:id="2">
    <w:p w:rsidR="00000000">
      <w:pPr>
        <w:pStyle w:val="FootnoteText"/>
        <w:spacing w:line="220" w:lineRule="exact"/>
        <w:ind w:left="340" w:hanging="340"/>
        <w:jc w:val="both"/>
        <w:rPr>
          <w:rFonts w:ascii="David" w:hAnsi="David" w:cs="David" w:hint="cs"/>
          <w:rtl/>
        </w:rPr>
      </w:pPr>
      <w:r>
        <w:rPr>
          <w:rStyle w:val="FootnoteReference"/>
          <w:rFonts w:ascii="Symbol" w:hAnsi="Symbol" w:cs="David"/>
          <w:vertAlign w:val="baseline"/>
        </w:rPr>
        <w:sym w:font="Symbol" w:char="F02A"/>
      </w:r>
      <w:r>
        <w:rPr>
          <w:rFonts w:ascii="David" w:hAnsi="David" w:cs="David" w:hint="cs"/>
          <w:rtl/>
        </w:rPr>
        <w:tab/>
      </w:r>
      <w:r>
        <w:rPr>
          <w:rFonts w:ascii="David" w:hAnsi="David" w:cs="David"/>
        </w:rPr>
        <w:t>Katalin G</w:t>
      </w:r>
      <w:r>
        <w:rPr>
          <w:rFonts w:cs="Times New Roman"/>
        </w:rPr>
        <w:t>ö</w:t>
      </w:r>
      <w:r>
        <w:rPr>
          <w:rFonts w:ascii="David" w:hAnsi="David" w:cs="David"/>
        </w:rPr>
        <w:t>ncz</w:t>
      </w:r>
      <w:r>
        <w:rPr>
          <w:rFonts w:cs="Times New Roman"/>
        </w:rPr>
        <w:t>ö</w:t>
      </w:r>
      <w:r>
        <w:rPr>
          <w:rFonts w:ascii="David" w:hAnsi="David" w:cs="David"/>
        </w:rPr>
        <w:t>l</w:t>
      </w:r>
      <w:r>
        <w:rPr>
          <w:rFonts w:ascii="David" w:hAnsi="David" w:cs="David" w:hint="cs"/>
          <w:rtl/>
        </w:rPr>
        <w:t xml:space="preserve"> - פרופסור לקרימינולוגיה באוניברסיטת </w:t>
      </w:r>
      <w:r>
        <w:rPr>
          <w:rFonts w:cs="David"/>
        </w:rPr>
        <w:t>E</w:t>
      </w:r>
      <w:r>
        <w:rPr>
          <w:rFonts w:cs="Times New Roman"/>
        </w:rPr>
        <w:t>ö</w:t>
      </w:r>
      <w:r>
        <w:rPr>
          <w:rFonts w:cs="David"/>
        </w:rPr>
        <w:t>tv</w:t>
      </w:r>
      <w:r>
        <w:rPr>
          <w:rFonts w:cs="Times New Roman"/>
        </w:rPr>
        <w:t>ö</w:t>
      </w:r>
      <w:r>
        <w:rPr>
          <w:rFonts w:cs="David"/>
        </w:rPr>
        <w:t>s</w:t>
      </w:r>
      <w:r>
        <w:rPr>
          <w:rFonts w:cs="David" w:hint="cs"/>
          <w:rtl/>
        </w:rPr>
        <w:t xml:space="preserve"> בבודפשט</w:t>
      </w:r>
      <w:r>
        <w:rPr>
          <w:rFonts w:ascii="David" w:hAnsi="David" w:cs="David" w:hint="cs"/>
          <w:rtl/>
        </w:rPr>
        <w:t>; הנציבה העליונה ל</w:t>
      </w:r>
      <w:r>
        <w:rPr>
          <w:rFonts w:ascii="David" w:hAnsi="David" w:cs="David" w:hint="cs"/>
          <w:rtl/>
        </w:rPr>
        <w:t>גיבוש מדיניות בתחום הפלילי במשרד המשפטים בהונגריה; לשעבר האומבודסמן של הונגריה.</w:t>
      </w:r>
    </w:p>
  </w:footnote>
  <w:footnote w:id="3">
    <w:p w:rsidR="00000000">
      <w:pPr>
        <w:pStyle w:val="FootnoteText"/>
        <w:bidi w:val="0"/>
        <w:spacing w:line="220" w:lineRule="exact"/>
        <w:ind w:left="340" w:hanging="340"/>
        <w:jc w:val="both"/>
        <w:rPr>
          <w:rFonts w:cs="David" w:hint="cs"/>
        </w:rPr>
      </w:pPr>
      <w:r>
        <w:rPr>
          <w:rStyle w:val="FootnoteReference"/>
          <w:rFonts w:ascii="David" w:hAnsi="David" w:cs="David"/>
          <w:vertAlign w:val="baseline"/>
        </w:rPr>
        <w:footnoteRef/>
      </w:r>
      <w:r>
        <w:rPr>
          <w:rFonts w:ascii="David" w:hAnsi="David" w:cs="David" w:hint="cs"/>
          <w:rtl/>
        </w:rPr>
        <w:tab/>
      </w:r>
      <w:r>
        <w:rPr>
          <w:rFonts w:cs="David"/>
        </w:rPr>
        <w:t>Kende P</w:t>
      </w:r>
      <w:r>
        <w:rPr>
          <w:rFonts w:cs="Times New Roman"/>
        </w:rPr>
        <w:t>é</w:t>
      </w:r>
      <w:r>
        <w:rPr>
          <w:rFonts w:cs="David"/>
        </w:rPr>
        <w:t xml:space="preserve">ter, </w:t>
      </w:r>
      <w:r>
        <w:rPr>
          <w:rFonts w:cs="David"/>
          <w:i/>
          <w:iCs/>
        </w:rPr>
        <w:t>A K</w:t>
      </w:r>
      <w:r>
        <w:rPr>
          <w:rFonts w:cs="Times New Roman"/>
          <w:i/>
          <w:iCs/>
        </w:rPr>
        <w:t>ö</w:t>
      </w:r>
      <w:r>
        <w:rPr>
          <w:rFonts w:cs="David"/>
          <w:i/>
          <w:iCs/>
        </w:rPr>
        <w:t>zt</w:t>
      </w:r>
      <w:r>
        <w:rPr>
          <w:rFonts w:cs="Times New Roman"/>
          <w:i/>
          <w:iCs/>
        </w:rPr>
        <w:t>á</w:t>
      </w:r>
      <w:r>
        <w:rPr>
          <w:rFonts w:cs="David"/>
          <w:i/>
          <w:iCs/>
        </w:rPr>
        <w:t>rsas</w:t>
      </w:r>
      <w:r>
        <w:rPr>
          <w:rFonts w:cs="Times New Roman"/>
          <w:i/>
          <w:iCs/>
        </w:rPr>
        <w:t>á</w:t>
      </w:r>
      <w:r>
        <w:rPr>
          <w:rFonts w:cs="David"/>
          <w:i/>
          <w:iCs/>
        </w:rPr>
        <w:t>g torekeny rendje,</w:t>
      </w:r>
      <w:r>
        <w:rPr>
          <w:rFonts w:cs="David"/>
        </w:rPr>
        <w:t xml:space="preserve"> Osiris, Budapest, 2000, p. 186.</w:t>
      </w:r>
    </w:p>
  </w:footnote>
  <w:footnote w:id="4">
    <w:p w:rsidR="00000000">
      <w:pPr>
        <w:pStyle w:val="FootnoteText"/>
        <w:bidi w:val="0"/>
        <w:spacing w:line="220" w:lineRule="exact"/>
        <w:ind w:left="340" w:hanging="340"/>
        <w:jc w:val="both"/>
        <w:rPr>
          <w:rFonts w:ascii="David" w:hAnsi="David" w:cs="David" w:hint="cs"/>
          <w:rtl/>
        </w:rPr>
      </w:pPr>
      <w:r>
        <w:rPr>
          <w:rStyle w:val="FootnoteReference"/>
          <w:rFonts w:ascii="David" w:hAnsi="David" w:cs="David"/>
          <w:vertAlign w:val="baseline"/>
        </w:rPr>
        <w:footnoteRef/>
      </w:r>
      <w:r>
        <w:rPr>
          <w:rFonts w:ascii="David" w:hAnsi="David" w:cs="David" w:hint="cs"/>
          <w:rtl/>
        </w:rPr>
        <w:tab/>
      </w:r>
      <w:r>
        <w:rPr>
          <w:rFonts w:ascii="David" w:hAnsi="David" w:cs="David"/>
        </w:rPr>
        <w:t>N</w:t>
      </w:r>
      <w:r>
        <w:rPr>
          <w:rFonts w:cs="Times New Roman"/>
        </w:rPr>
        <w:t>é</w:t>
      </w:r>
      <w:r>
        <w:rPr>
          <w:rFonts w:ascii="David" w:hAnsi="David" w:cs="David"/>
        </w:rPr>
        <w:t>pszabads</w:t>
      </w:r>
      <w:r>
        <w:rPr>
          <w:rFonts w:cs="Times New Roman"/>
        </w:rPr>
        <w:t>á</w:t>
      </w:r>
      <w:r>
        <w:rPr>
          <w:rFonts w:ascii="David" w:hAnsi="David" w:cs="David"/>
        </w:rPr>
        <w:t>g, 1999, December 24.</w:t>
      </w:r>
      <w:r>
        <w:rPr>
          <w:rFonts w:ascii="David" w:hAnsi="David" w:cs="David" w:hint="cs"/>
          <w:rtl/>
        </w:rPr>
        <w:t xml:space="preserve">(עיתוֹן)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leader="underscore" w:pos="6691"/>
        <w:tab w:val="clear" w:pos="8306"/>
      </w:tabs>
      <w:autoSpaceDE w:val="0"/>
      <w:autoSpaceDN w:val="0"/>
      <w:adjustRightInd w:val="0"/>
      <w:spacing w:before="120" w:after="120" w:line="240" w:lineRule="auto"/>
      <w:rPr>
        <w:rFonts w:cs="David" w:hint="cs"/>
        <w:sz w:val="20"/>
        <w:szCs w:val="20"/>
        <w:rtl/>
        <w:lang w:eastAsia="en-US"/>
      </w:rPr>
    </w:pPr>
    <w:r>
      <w:rPr>
        <w:rFonts w:cs="David" w:hint="cs"/>
        <w:sz w:val="20"/>
        <w:szCs w:val="20"/>
        <w:rtl/>
        <w:lang w:eastAsia="en-US"/>
      </w:rPr>
      <w:t>עיונים בביקורת המדינה</w:t>
    </w:r>
    <w:r>
      <w:rPr>
        <w:rFonts w:cs="David" w:hint="cs"/>
        <w:sz w:val="20"/>
        <w:szCs w:val="20"/>
        <w:rtl/>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leader="underscore" w:pos="6691"/>
        <w:tab w:val="clear" w:pos="8306"/>
      </w:tabs>
      <w:autoSpaceDE w:val="0"/>
      <w:autoSpaceDN w:val="0"/>
      <w:adjustRightInd w:val="0"/>
      <w:spacing w:before="120" w:after="120" w:line="240" w:lineRule="auto"/>
      <w:rPr>
        <w:rFonts w:cs="David" w:hint="cs"/>
        <w:sz w:val="20"/>
        <w:szCs w:val="20"/>
        <w:rtl/>
        <w:lang w:eastAsia="en-US"/>
      </w:rPr>
    </w:pPr>
    <w:r>
      <w:rPr>
        <w:rFonts w:cs="David" w:hint="cs"/>
        <w:sz w:val="20"/>
        <w:szCs w:val="20"/>
        <w:rtl/>
        <w:lang w:eastAsia="en-US"/>
      </w:rPr>
      <w:tab/>
    </w:r>
    <w:r>
      <w:rPr>
        <w:rFonts w:cs="David" w:hint="cs"/>
        <w:sz w:val="20"/>
        <w:szCs w:val="20"/>
        <w:rtl/>
        <w:lang w:eastAsia="en-US"/>
      </w:rPr>
      <w:t>שחיקת כבוד הא</w:t>
    </w:r>
    <w:r>
      <w:rPr>
        <w:rFonts w:cs="David" w:hint="cs"/>
        <w:sz w:val="20"/>
        <w:szCs w:val="20"/>
        <w:rtl/>
        <w:lang w:eastAsia="en-US"/>
      </w:rPr>
      <w:t>דם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340"/>
  <w:evenAndOddHeaders/>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75"/>
    <w:rsid w:val="00242475"/>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360" w:lineRule="auto"/>
    </w:pPr>
    <w:rPr>
      <w:noProof/>
      <w:sz w:val="28"/>
      <w:szCs w:val="24"/>
      <w:lang w:eastAsia="he-IL"/>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qFormat/>
    <w:pPr>
      <w:keepNext/>
      <w:spacing w:line="480" w:lineRule="auto"/>
      <w:jc w:val="center"/>
      <w:outlineLvl w:val="1"/>
    </w:pPr>
    <w:rPr>
      <w:b/>
      <w:bCs/>
      <w:szCs w:val="26"/>
    </w:rPr>
  </w:style>
  <w:style w:type="paragraph" w:styleId="Heading3">
    <w:name w:val="heading 3"/>
    <w:basedOn w:val="Normal"/>
    <w:next w:val="Normal"/>
    <w:uiPriority w:val="9"/>
    <w:qFormat/>
    <w:pPr>
      <w:keepNext/>
      <w:spacing w:line="480" w:lineRule="auto"/>
      <w:jc w:val="center"/>
      <w:outlineLvl w:val="2"/>
    </w:pPr>
    <w:rPr>
      <w:b/>
      <w:bCs/>
      <w:szCs w:val="26"/>
    </w:rPr>
  </w:style>
  <w:style w:type="paragraph" w:styleId="Heading4">
    <w:name w:val="heading 4"/>
    <w:basedOn w:val="Normal"/>
    <w:next w:val="Normal"/>
    <w:uiPriority w:val="9"/>
    <w:qFormat/>
    <w:pPr>
      <w:keepNext/>
      <w:spacing w:line="480" w:lineRule="auto"/>
      <w:jc w:val="center"/>
      <w:outlineLvl w:val="3"/>
    </w:pPr>
    <w:rPr>
      <w:b/>
      <w:bCs/>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8"/>
    </w:rPr>
  </w:style>
  <w:style w:type="character" w:styleId="PageNumber">
    <w:name w:val="page number"/>
    <w:basedOn w:val="DefaultParagraphFont"/>
  </w:style>
  <w:style w:type="paragraph" w:styleId="BodyText">
    <w:name w:val="Body Text"/>
    <w:basedOn w:val="Normal"/>
    <w:pPr>
      <w:jc w:val="both"/>
    </w:pPr>
    <w:rPr>
      <w:i/>
      <w:iCs/>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customStyle="1" w:styleId="KOT1">
    <w:name w:val="KOT1"/>
    <w:basedOn w:val="Normal"/>
    <w:pPr>
      <w:spacing w:line="400" w:lineRule="exact"/>
      <w:jc w:val="center"/>
    </w:pPr>
    <w:rPr>
      <w:rFonts w:cs="David"/>
      <w:b/>
      <w:bCs/>
      <w:noProof w:val="0"/>
      <w:sz w:val="36"/>
      <w:szCs w:val="36"/>
    </w:rPr>
  </w:style>
  <w:style w:type="paragraph" w:customStyle="1" w:styleId="KOT2">
    <w:name w:val="KOT2"/>
    <w:basedOn w:val="Normal"/>
    <w:pPr>
      <w:keepNext/>
      <w:spacing w:after="120" w:line="320" w:lineRule="exact"/>
    </w:pPr>
    <w:rPr>
      <w:rFonts w:cs="David"/>
      <w:b/>
      <w:bCs/>
      <w:noProof w:val="0"/>
      <w:szCs w:val="28"/>
    </w:r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5C7FC9-8CDD-4EF4-810A-EB9FF91C6F26}"/>
</file>

<file path=customXml/itemProps2.xml><?xml version="1.0" encoding="utf-8"?>
<ds:datastoreItem xmlns:ds="http://schemas.openxmlformats.org/officeDocument/2006/customXml" ds:itemID="{DE0A30AB-DE52-4928-8C8D-48722BD65D6A}"/>
</file>

<file path=customXml/itemProps3.xml><?xml version="1.0" encoding="utf-8"?>
<ds:datastoreItem xmlns:ds="http://schemas.openxmlformats.org/officeDocument/2006/customXml" ds:itemID="{428972E4-DDFE-46E1-90E4-EF9D68DF86F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