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224103" w:rsidRPr="00CC4274" w:rsidP="006C675D">
      <w:pPr>
        <w:pStyle w:val="NAME"/>
        <w:spacing w:before="0"/>
        <w:rPr>
          <w:sz w:val="32"/>
          <w:szCs w:val="32"/>
          <w:rtl/>
        </w:rPr>
      </w:pPr>
      <w:r w:rsidRPr="00CC4274">
        <w:rPr>
          <w:sz w:val="32"/>
          <w:szCs w:val="32"/>
          <w:rtl/>
        </w:rPr>
        <w:t>דבר המנכ"ל</w:t>
      </w:r>
    </w:p>
    <w:p w:rsidR="00224103" w:rsidRPr="00224103" w:rsidP="00C27F4B">
      <w:pPr>
        <w:pStyle w:val="running-text"/>
        <w:bidi/>
        <w:spacing w:line="286" w:lineRule="exact"/>
        <w:ind w:right="0"/>
        <w:rPr>
          <w:sz w:val="18"/>
          <w:rtl/>
        </w:rPr>
      </w:pPr>
      <w:bookmarkStart w:id="0" w:name="_GoBack"/>
      <w:r w:rsidRPr="00224103">
        <w:rPr>
          <w:rFonts w:eastAsia="David"/>
          <w:sz w:val="18"/>
          <w:rtl/>
        </w:rPr>
        <w:t xml:space="preserve">מלאכת ביקורת המדינה ומלאכת בירור תלונות הציבור מתאפיינות בשילוב בין הממד המעשי לממד העיוני. ניתן לקיים ביקורת מדינה ובירור תלונות ציבור בדרך מקצועית, יעילה וחדשנית רק באמצעות הסתמכות על מחקר ופיתוח עיוניים ברמה הגבוהה ביותר. מחקר זה מעניק לעוסקים במלאכה של ביקורת ובירור תלונות כלי עבודה מקצועיים ואיכותיים, לצד אפשרות </w:t>
      </w:r>
      <w:r w:rsidRPr="005A7FA3">
        <w:rPr>
          <w:rFonts w:eastAsia="David"/>
          <w:spacing w:val="-4"/>
          <w:sz w:val="18"/>
          <w:rtl/>
        </w:rPr>
        <w:t>בחינה ביקורתית של המצב הקיים במטרה לשפרו לעתיד לבוא. אכן, "אין לך עשייה ללא תורה.</w:t>
      </w:r>
      <w:r w:rsidRPr="00224103">
        <w:rPr>
          <w:rFonts w:eastAsia="David"/>
          <w:sz w:val="18"/>
          <w:rtl/>
        </w:rPr>
        <w:t xml:space="preserve"> </w:t>
      </w:r>
      <w:r w:rsidRPr="005A7FA3">
        <w:rPr>
          <w:rFonts w:eastAsia="David"/>
          <w:spacing w:val="-4"/>
          <w:sz w:val="18"/>
          <w:rtl/>
        </w:rPr>
        <w:t>הדבר הפרקטי ביותר הוא תיאוריה טובה",</w:t>
      </w:r>
      <w:r>
        <w:rPr>
          <w:rStyle w:val="FootnoteReference0"/>
          <w:rFonts w:eastAsia="David"/>
          <w:spacing w:val="-4"/>
          <w:sz w:val="18"/>
          <w:rtl/>
        </w:rPr>
        <w:footnoteReference w:id="2"/>
      </w:r>
      <w:r w:rsidRPr="005A7FA3">
        <w:rPr>
          <w:rFonts w:eastAsia="David"/>
          <w:spacing w:val="-4"/>
          <w:sz w:val="18"/>
          <w:rtl/>
        </w:rPr>
        <w:t xml:space="preserve"> וכפי שמשתקף בשמו של כתב העת - "עיונים בביקורת</w:t>
      </w:r>
      <w:r w:rsidRPr="00224103">
        <w:rPr>
          <w:rFonts w:eastAsia="David"/>
          <w:sz w:val="18"/>
          <w:rtl/>
        </w:rPr>
        <w:t xml:space="preserve"> המדינה" - העיון הוא מטרתו העיקרית. זה 58 שנים כתב העת "עיונים" נותן במה לסוגיות עיוניות ומעשיות בביקורת המדינה ובבירור תלונות הציבור. המאמרים שהתפרסמו בכתב העת בעבר ומתפרסמים בכרך הנוכחי הם נדבך חשוב בתורה המקצועית של ביקורת המדינה ובירור תלונות הציבור, והם תורמים רבות לשיפור העבודה המקצועית בתחומים מורכבים אלה. </w:t>
      </w:r>
    </w:p>
    <w:p w:rsidR="00224103" w:rsidRPr="00224103" w:rsidP="00C27F4B">
      <w:pPr>
        <w:pStyle w:val="running-text"/>
        <w:bidi/>
        <w:spacing w:line="286" w:lineRule="exact"/>
        <w:ind w:right="0"/>
        <w:rPr>
          <w:sz w:val="18"/>
          <w:rtl/>
        </w:rPr>
      </w:pPr>
      <w:r w:rsidRPr="00224103">
        <w:rPr>
          <w:rFonts w:eastAsia="David"/>
          <w:sz w:val="18"/>
          <w:rtl/>
        </w:rPr>
        <w:t>חשיבותו הרבה של כתב העת "עיונים" היא בהיותו המסגרת האקדמית היחידה העוסקת באופן בלעדי בתחומי ביקורת המדינה ובירור תלונות הציבור. מאחר שתחומים מקצועיים אלה נעים על קו התפר שבין תחומי מחקר וידע שונים - מדע המדינה, משפט, כלכלה, חשבונאות ועוד, מטבע הדברים, אין בנמצא כתב עת אוניברסיטאי שביכולתו לדון בכל ההיבטים התורתיים השונים של ביקורת המדינה ובירור תלונות הציבור, תוך שילוב בין כל תחומי המחקר והידע. כתב העת "עיונים" ממלא אפוא חוסר זה, ומעניק במה לחוקרים ואנשי מעשה לדון בסוגיות הנוגעות לתחומי הביקורת ובירור התלונות מזוויות מחקר שונות.</w:t>
      </w:r>
    </w:p>
    <w:p w:rsidR="00224103" w:rsidRPr="00224103" w:rsidP="00C27F4B">
      <w:pPr>
        <w:pStyle w:val="running-text"/>
        <w:bidi/>
        <w:spacing w:line="286" w:lineRule="exact"/>
        <w:ind w:right="0"/>
        <w:rPr>
          <w:sz w:val="18"/>
          <w:rtl/>
        </w:rPr>
      </w:pPr>
      <w:r w:rsidRPr="00224103">
        <w:rPr>
          <w:rFonts w:eastAsia="David"/>
          <w:sz w:val="18"/>
          <w:rtl/>
        </w:rPr>
        <w:t>הגיליון האחרון של "עיונים" בביקורת המדינה יצא לאור בשנת 2011, ומאז נעשו רפורמות גדולות ביותר בתחומים מקצועיים רבים במשרד מבקר המדינה ונציב תלונות הציבור, שגולת הכותרת שלהם היא כתיבת התורה והמדריך המעודכן לביקורת המדינה הרואה אור בימים אלה. כעת, גם חידוש פעילותו של כתב העת "עיונים" משתלב בעשייה המשרדית הכוללת על פי חזון מבקר המדינה ונציב תלונות הציבור, השופט (</w:t>
      </w:r>
      <w:r w:rsidRPr="00224103">
        <w:rPr>
          <w:rFonts w:eastAsia="David"/>
          <w:sz w:val="18"/>
          <w:rtl/>
        </w:rPr>
        <w:t>בדימ</w:t>
      </w:r>
      <w:r w:rsidRPr="00224103">
        <w:rPr>
          <w:rFonts w:eastAsia="David"/>
          <w:sz w:val="18"/>
          <w:rtl/>
        </w:rPr>
        <w:t>') יוסף חיים שפירא, ופרסום גיליון זה הוא בבחינת נדבך נוסף בחיזוק ושיפור הפן המקצועי של עבודת המשרד. הגיליון הנוכחי והגיליוניות הבאים של כתב העת יתאפיינו בממד אקדמי ומקצועי יותר, מתוך מגמה למשוך חוקרים בכירים ביותר לפרסם בו מחקרים, בד בבד עם המשך עידוד עובדי המשרד לחלוק היבטים שונים של עשייתם המקצועית עם הקהילה האקדמית וקהלים נוספים. לצורך הגדלת התפוצה של כתב העת והגברת השיח המקצועי, אנו נפעל לפרסום כתב העת במאגרי מידע שונים ונמשיך לתרגם מאמרים מרכזיים לשפה האנגלית כפי שנעשה בעבר.</w:t>
      </w:r>
    </w:p>
    <w:p w:rsidR="00224103" w:rsidP="00C27F4B">
      <w:pPr>
        <w:pStyle w:val="running-text"/>
        <w:bidi/>
        <w:spacing w:line="286" w:lineRule="exact"/>
        <w:ind w:right="0"/>
        <w:rPr>
          <w:rFonts w:eastAsia="David"/>
          <w:sz w:val="18"/>
        </w:rPr>
      </w:pPr>
      <w:r w:rsidRPr="00224103">
        <w:rPr>
          <w:rFonts w:eastAsia="David"/>
          <w:sz w:val="18"/>
          <w:rtl/>
        </w:rPr>
        <w:t>אני רוצה להודות מקרב לב לכל השותפים במלאכת חידוש הפעילות של כתב העת "עיונים" והוצאתו לאור, ובראשם יו"ר המערכת והעורך הראשי</w:t>
      </w:r>
      <w:r w:rsidR="000B1523">
        <w:rPr>
          <w:rFonts w:eastAsia="David" w:hint="cs"/>
          <w:sz w:val="18"/>
          <w:rtl/>
        </w:rPr>
        <w:t>, פרופ' יורם רבין</w:t>
      </w:r>
      <w:r w:rsidRPr="00224103">
        <w:rPr>
          <w:rFonts w:eastAsia="David"/>
          <w:sz w:val="18"/>
          <w:rtl/>
        </w:rPr>
        <w:t>; עורך המשנה וחבר המערכת</w:t>
      </w:r>
      <w:r w:rsidR="000B1523">
        <w:rPr>
          <w:rFonts w:eastAsia="David" w:hint="cs"/>
          <w:sz w:val="18"/>
          <w:rtl/>
        </w:rPr>
        <w:t>, מר מתן גוטמן</w:t>
      </w:r>
      <w:r w:rsidRPr="00224103">
        <w:rPr>
          <w:rFonts w:eastAsia="David"/>
          <w:sz w:val="18"/>
          <w:rtl/>
        </w:rPr>
        <w:t xml:space="preserve">; </w:t>
      </w:r>
      <w:bookmarkEnd w:id="0"/>
      <w:r w:rsidR="000B1523">
        <w:rPr>
          <w:rFonts w:eastAsia="David" w:hint="cs"/>
          <w:sz w:val="18"/>
          <w:rtl/>
        </w:rPr>
        <w:t xml:space="preserve">חברי המערכת: </w:t>
      </w:r>
      <w:r w:rsidRPr="00224103">
        <w:rPr>
          <w:rFonts w:eastAsia="David"/>
          <w:sz w:val="18"/>
          <w:rtl/>
        </w:rPr>
        <w:t>גב' רונית זנדברג, מר שי מזרחי,</w:t>
      </w:r>
      <w:r w:rsidR="000B1523">
        <w:rPr>
          <w:rFonts w:eastAsia="David" w:hint="cs"/>
          <w:sz w:val="18"/>
          <w:rtl/>
        </w:rPr>
        <w:t xml:space="preserve"> </w:t>
      </w:r>
      <w:r w:rsidRPr="00224103">
        <w:rPr>
          <w:rFonts w:eastAsia="David"/>
          <w:sz w:val="18"/>
          <w:rtl/>
        </w:rPr>
        <w:t>גב' אהובה נבו</w:t>
      </w:r>
      <w:r w:rsidR="000B1523">
        <w:rPr>
          <w:rFonts w:eastAsia="David" w:hint="cs"/>
          <w:sz w:val="18"/>
          <w:rtl/>
        </w:rPr>
        <w:t>;</w:t>
      </w:r>
      <w:r w:rsidR="000B1523">
        <w:rPr>
          <w:rFonts w:eastAsia="David" w:hint="cs"/>
          <w:sz w:val="18"/>
        </w:rPr>
        <w:t xml:space="preserve"> </w:t>
      </w:r>
      <w:r w:rsidR="000B1523">
        <w:rPr>
          <w:rFonts w:eastAsia="David" w:hint="cs"/>
          <w:sz w:val="18"/>
          <w:rtl/>
        </w:rPr>
        <w:t xml:space="preserve">רכזי </w:t>
      </w:r>
      <w:r w:rsidR="000B1523">
        <w:rPr>
          <w:rFonts w:eastAsia="David" w:hint="cs"/>
          <w:sz w:val="18"/>
          <w:rtl/>
        </w:rPr>
        <w:t>המערכת:</w:t>
      </w:r>
      <w:r w:rsidRPr="00224103">
        <w:rPr>
          <w:rFonts w:eastAsia="David"/>
          <w:sz w:val="18"/>
          <w:rtl/>
        </w:rPr>
        <w:t xml:space="preserve"> מר אלון </w:t>
      </w:r>
      <w:r w:rsidRPr="00224103">
        <w:rPr>
          <w:rFonts w:eastAsia="David"/>
          <w:sz w:val="18"/>
          <w:rtl/>
        </w:rPr>
        <w:t>רודס</w:t>
      </w:r>
      <w:r w:rsidRPr="00224103">
        <w:rPr>
          <w:rFonts w:eastAsia="David"/>
          <w:sz w:val="18"/>
          <w:rtl/>
        </w:rPr>
        <w:t xml:space="preserve">, </w:t>
      </w:r>
      <w:r w:rsidRPr="00224103" w:rsidR="00654CDF">
        <w:rPr>
          <w:rFonts w:eastAsia="David"/>
          <w:sz w:val="18"/>
          <w:rtl/>
        </w:rPr>
        <w:t xml:space="preserve">גב' </w:t>
      </w:r>
      <w:r w:rsidR="00654CDF">
        <w:rPr>
          <w:rFonts w:eastAsia="David" w:hint="cs"/>
          <w:sz w:val="18"/>
          <w:rtl/>
        </w:rPr>
        <w:t>מעיין רחמים</w:t>
      </w:r>
      <w:r w:rsidRPr="00224103" w:rsidR="00654CDF">
        <w:rPr>
          <w:rFonts w:eastAsia="David"/>
          <w:sz w:val="18"/>
          <w:rtl/>
        </w:rPr>
        <w:t xml:space="preserve">; </w:t>
      </w:r>
      <w:r w:rsidRPr="00224103">
        <w:rPr>
          <w:rFonts w:eastAsia="David"/>
          <w:sz w:val="18"/>
          <w:rtl/>
        </w:rPr>
        <w:t xml:space="preserve">וכן </w:t>
      </w:r>
      <w:r w:rsidR="003A11B1">
        <w:rPr>
          <w:rFonts w:eastAsia="David" w:hint="cs"/>
          <w:sz w:val="18"/>
          <w:rtl/>
        </w:rPr>
        <w:t>ל</w:t>
      </w:r>
      <w:r w:rsidRPr="00224103">
        <w:rPr>
          <w:rFonts w:eastAsia="David"/>
          <w:sz w:val="18"/>
          <w:rtl/>
        </w:rPr>
        <w:t>מנהלת אגף העריכה והפרסומים,</w:t>
      </w:r>
      <w:r w:rsidR="003A11B1">
        <w:rPr>
          <w:rFonts w:eastAsia="David" w:hint="cs"/>
          <w:sz w:val="18"/>
          <w:rtl/>
        </w:rPr>
        <w:t xml:space="preserve"> גב' שלומית סבן</w:t>
      </w:r>
      <w:r w:rsidRPr="00224103">
        <w:rPr>
          <w:rFonts w:eastAsia="David"/>
          <w:sz w:val="18"/>
          <w:rtl/>
        </w:rPr>
        <w:t xml:space="preserve"> ו</w:t>
      </w:r>
      <w:r w:rsidR="003A11B1">
        <w:rPr>
          <w:rFonts w:eastAsia="David" w:hint="cs"/>
          <w:sz w:val="18"/>
          <w:rtl/>
        </w:rPr>
        <w:t>ל</w:t>
      </w:r>
      <w:r w:rsidRPr="00224103">
        <w:rPr>
          <w:rFonts w:eastAsia="David"/>
          <w:sz w:val="18"/>
          <w:rtl/>
        </w:rPr>
        <w:t>סגן מנהלת האגף והאחראי להוצאה לאור</w:t>
      </w:r>
      <w:r w:rsidR="003A11B1">
        <w:rPr>
          <w:rFonts w:eastAsia="David" w:hint="cs"/>
          <w:sz w:val="18"/>
          <w:rtl/>
        </w:rPr>
        <w:t>, מר יהושע הרשקוביץ</w:t>
      </w:r>
      <w:r w:rsidRPr="00224103">
        <w:rPr>
          <w:rFonts w:eastAsia="David"/>
          <w:sz w:val="18"/>
          <w:rtl/>
        </w:rPr>
        <w:t xml:space="preserve">. </w:t>
      </w:r>
    </w:p>
    <w:p w:rsidR="002E2F5B" w:rsidP="002E2F5B">
      <w:pPr>
        <w:pStyle w:val="running-text"/>
        <w:bidi/>
        <w:spacing w:line="280" w:lineRule="exact"/>
        <w:ind w:right="0"/>
        <w:rPr>
          <w:rFonts w:eastAsia="David"/>
          <w:sz w:val="18"/>
        </w:rPr>
      </w:pPr>
    </w:p>
    <w:p w:rsidR="002E2F5B" w:rsidP="002E2F5B">
      <w:pPr>
        <w:pStyle w:val="running-text"/>
        <w:bidi/>
        <w:spacing w:line="280" w:lineRule="exact"/>
        <w:ind w:right="0"/>
        <w:rPr>
          <w:rFonts w:eastAsia="David"/>
          <w:sz w:val="18"/>
        </w:rPr>
      </w:pPr>
    </w:p>
    <w:p w:rsidR="002E2F5B" w:rsidRPr="00224103" w:rsidP="002E2F5B">
      <w:pPr>
        <w:pStyle w:val="running-text"/>
        <w:bidi/>
        <w:spacing w:line="280" w:lineRule="exact"/>
        <w:ind w:right="0"/>
        <w:rPr>
          <w:sz w:val="18"/>
          <w:rtl/>
        </w:rPr>
      </w:pPr>
    </w:p>
    <w:p w:rsidR="00CC4274" w:rsidRPr="00170230" w:rsidP="002E2F5B">
      <w:pPr>
        <w:tabs>
          <w:tab w:val="center" w:pos="6094"/>
        </w:tabs>
        <w:spacing w:line="240" w:lineRule="atLeast"/>
        <w:rPr>
          <w:rFonts w:ascii="Tahoma" w:hAnsi="Tahoma" w:cs="Tahoma"/>
          <w:sz w:val="20"/>
          <w:szCs w:val="18"/>
          <w:rtl/>
        </w:rPr>
      </w:pPr>
      <w:r>
        <w:rPr>
          <w:rFonts w:ascii="Tahoma" w:hAnsi="Tahoma" w:cs="Tahoma"/>
          <w:sz w:val="20"/>
          <w:szCs w:val="18"/>
        </w:rPr>
        <w:tab/>
      </w:r>
      <w:r w:rsidR="009541DE">
        <w:rPr>
          <w:rFonts w:ascii="Tahoma" w:hAnsi="Tahoma" w:cs="Tahoma"/>
          <w:noProof/>
          <w:sz w:val="20"/>
          <w:szCs w:val="18"/>
          <w:rtl/>
        </w:rPr>
        <w:drawing>
          <wp:inline distT="0" distB="0" distL="0" distR="0">
            <wp:extent cx="644418" cy="647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62081" name="אלי מרזל חתימה עברית.jp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48631" cy="651935"/>
                    </a:xfrm>
                    <a:prstGeom prst="rect">
                      <a:avLst/>
                    </a:prstGeom>
                  </pic:spPr>
                </pic:pic>
              </a:graphicData>
            </a:graphic>
          </wp:inline>
        </w:drawing>
      </w:r>
    </w:p>
    <w:p w:rsidR="00CC4274" w:rsidRPr="00D70CA7" w:rsidP="002E2F5B">
      <w:pPr>
        <w:widowControl w:val="0"/>
        <w:tabs>
          <w:tab w:val="center" w:pos="6094"/>
        </w:tabs>
        <w:spacing w:after="0" w:line="280" w:lineRule="exact"/>
        <w:rPr>
          <w:rFonts w:ascii="Tahoma" w:hAnsi="Tahoma" w:cs="Tahoma"/>
          <w:b/>
          <w:bCs/>
          <w:sz w:val="18"/>
          <w:szCs w:val="18"/>
          <w:rtl/>
          <w:lang w:eastAsia="he-IL"/>
        </w:rPr>
      </w:pPr>
      <w:r>
        <w:rPr>
          <w:rFonts w:ascii="Tahoma" w:hAnsi="Tahoma" w:cs="Tahoma"/>
          <w:b/>
          <w:bCs/>
          <w:sz w:val="18"/>
          <w:szCs w:val="18"/>
          <w:lang w:eastAsia="he-IL"/>
        </w:rPr>
        <w:tab/>
      </w:r>
      <w:r w:rsidRPr="00CC4274">
        <w:rPr>
          <w:rFonts w:ascii="Tahoma" w:hAnsi="Tahoma" w:cs="Tahoma" w:hint="eastAsia"/>
          <w:b/>
          <w:bCs/>
          <w:sz w:val="18"/>
          <w:szCs w:val="18"/>
          <w:rtl/>
          <w:lang w:eastAsia="he-IL"/>
        </w:rPr>
        <w:t>אלי</w:t>
      </w:r>
      <w:r w:rsidRPr="00CC4274">
        <w:rPr>
          <w:rFonts w:ascii="Tahoma" w:hAnsi="Tahoma" w:cs="Tahoma"/>
          <w:b/>
          <w:bCs/>
          <w:sz w:val="18"/>
          <w:szCs w:val="18"/>
          <w:rtl/>
          <w:lang w:eastAsia="he-IL"/>
        </w:rPr>
        <w:t xml:space="preserve"> </w:t>
      </w:r>
      <w:r w:rsidRPr="00CC4274">
        <w:rPr>
          <w:rFonts w:ascii="Tahoma" w:hAnsi="Tahoma" w:cs="Tahoma" w:hint="eastAsia"/>
          <w:b/>
          <w:bCs/>
          <w:sz w:val="18"/>
          <w:szCs w:val="18"/>
          <w:rtl/>
          <w:lang w:eastAsia="he-IL"/>
        </w:rPr>
        <w:t>מרזל</w:t>
      </w:r>
    </w:p>
    <w:p w:rsidR="002E2F5B" w:rsidP="002E2F5B">
      <w:pPr>
        <w:widowControl w:val="0"/>
        <w:tabs>
          <w:tab w:val="center" w:pos="6094"/>
        </w:tabs>
        <w:spacing w:after="0" w:line="280" w:lineRule="exact"/>
        <w:rPr>
          <w:rFonts w:ascii="Tahoma" w:hAnsi="Tahoma" w:cs="Tahoma"/>
          <w:sz w:val="18"/>
          <w:szCs w:val="18"/>
          <w:lang w:eastAsia="he-IL"/>
        </w:rPr>
      </w:pPr>
      <w:r w:rsidRPr="00D70CA7">
        <w:rPr>
          <w:rFonts w:ascii="Tahoma" w:hAnsi="Tahoma" w:cs="Tahoma"/>
          <w:sz w:val="18"/>
          <w:szCs w:val="18"/>
          <w:rtl/>
          <w:lang w:eastAsia="he-IL"/>
        </w:rPr>
        <w:tab/>
      </w:r>
      <w:r w:rsidRPr="00CC4274">
        <w:rPr>
          <w:rFonts w:ascii="Tahoma" w:hAnsi="Tahoma" w:cs="Tahoma" w:hint="eastAsia"/>
          <w:sz w:val="18"/>
          <w:szCs w:val="18"/>
          <w:rtl/>
          <w:lang w:eastAsia="he-IL"/>
        </w:rPr>
        <w:t>מנכ</w:t>
      </w:r>
      <w:r w:rsidRPr="00CC4274">
        <w:rPr>
          <w:rFonts w:ascii="Tahoma" w:hAnsi="Tahoma" w:cs="Tahoma"/>
          <w:sz w:val="18"/>
          <w:szCs w:val="18"/>
          <w:rtl/>
          <w:lang w:eastAsia="he-IL"/>
        </w:rPr>
        <w:t>"</w:t>
      </w:r>
      <w:r w:rsidRPr="00CC4274">
        <w:rPr>
          <w:rFonts w:ascii="Tahoma" w:hAnsi="Tahoma" w:cs="Tahoma" w:hint="eastAsia"/>
          <w:sz w:val="18"/>
          <w:szCs w:val="18"/>
          <w:rtl/>
          <w:lang w:eastAsia="he-IL"/>
        </w:rPr>
        <w:t>ל</w:t>
      </w:r>
      <w:r w:rsidRPr="00CC4274">
        <w:rPr>
          <w:rFonts w:ascii="Tahoma" w:hAnsi="Tahoma" w:cs="Tahoma"/>
          <w:sz w:val="18"/>
          <w:szCs w:val="18"/>
          <w:rtl/>
          <w:lang w:eastAsia="he-IL"/>
        </w:rPr>
        <w:t xml:space="preserve"> </w:t>
      </w:r>
      <w:r w:rsidRPr="00CC4274">
        <w:rPr>
          <w:rFonts w:ascii="Tahoma" w:hAnsi="Tahoma" w:cs="Tahoma" w:hint="eastAsia"/>
          <w:sz w:val="18"/>
          <w:szCs w:val="18"/>
          <w:rtl/>
          <w:lang w:eastAsia="he-IL"/>
        </w:rPr>
        <w:t>משרד</w:t>
      </w:r>
      <w:r w:rsidRPr="00CC4274">
        <w:rPr>
          <w:rFonts w:ascii="Tahoma" w:hAnsi="Tahoma" w:cs="Tahoma"/>
          <w:sz w:val="18"/>
          <w:szCs w:val="18"/>
          <w:rtl/>
          <w:lang w:eastAsia="he-IL"/>
        </w:rPr>
        <w:t xml:space="preserve"> </w:t>
      </w:r>
      <w:r w:rsidRPr="00CC4274">
        <w:rPr>
          <w:rFonts w:ascii="Tahoma" w:hAnsi="Tahoma" w:cs="Tahoma" w:hint="eastAsia"/>
          <w:sz w:val="18"/>
          <w:szCs w:val="18"/>
          <w:rtl/>
          <w:lang w:eastAsia="he-IL"/>
        </w:rPr>
        <w:t>מבקר</w:t>
      </w:r>
      <w:r w:rsidRPr="00CC4274">
        <w:rPr>
          <w:rFonts w:ascii="Tahoma" w:hAnsi="Tahoma" w:cs="Tahoma"/>
          <w:sz w:val="18"/>
          <w:szCs w:val="18"/>
          <w:rtl/>
          <w:lang w:eastAsia="he-IL"/>
        </w:rPr>
        <w:t xml:space="preserve"> </w:t>
      </w:r>
      <w:r w:rsidRPr="00CC4274">
        <w:rPr>
          <w:rFonts w:ascii="Tahoma" w:hAnsi="Tahoma" w:cs="Tahoma" w:hint="eastAsia"/>
          <w:sz w:val="18"/>
          <w:szCs w:val="18"/>
          <w:rtl/>
          <w:lang w:eastAsia="he-IL"/>
        </w:rPr>
        <w:t>המדינה</w:t>
      </w:r>
      <w:r w:rsidRPr="00CC4274">
        <w:rPr>
          <w:rFonts w:ascii="Tahoma" w:hAnsi="Tahoma" w:cs="Tahoma"/>
          <w:sz w:val="18"/>
          <w:szCs w:val="18"/>
          <w:rtl/>
          <w:lang w:eastAsia="he-IL"/>
        </w:rPr>
        <w:t xml:space="preserve"> </w:t>
      </w:r>
    </w:p>
    <w:p w:rsidR="00CC4274" w:rsidRPr="00D70CA7" w:rsidP="002E2F5B">
      <w:pPr>
        <w:widowControl w:val="0"/>
        <w:tabs>
          <w:tab w:val="center" w:pos="6094"/>
        </w:tabs>
        <w:spacing w:after="0" w:line="280" w:lineRule="exact"/>
        <w:rPr>
          <w:rFonts w:ascii="Tahoma" w:hAnsi="Tahoma" w:cs="Tahoma"/>
          <w:sz w:val="18"/>
          <w:szCs w:val="18"/>
          <w:rtl/>
          <w:lang w:eastAsia="he-IL"/>
        </w:rPr>
      </w:pPr>
      <w:r>
        <w:rPr>
          <w:rFonts w:ascii="Tahoma" w:hAnsi="Tahoma" w:cs="Tahoma"/>
          <w:sz w:val="18"/>
          <w:szCs w:val="18"/>
          <w:lang w:eastAsia="he-IL"/>
        </w:rPr>
        <w:tab/>
      </w:r>
      <w:r w:rsidRPr="00CC4274">
        <w:rPr>
          <w:rFonts w:ascii="Tahoma" w:hAnsi="Tahoma" w:cs="Tahoma" w:hint="eastAsia"/>
          <w:sz w:val="18"/>
          <w:szCs w:val="18"/>
          <w:rtl/>
          <w:lang w:eastAsia="he-IL"/>
        </w:rPr>
        <w:t>ונציב</w:t>
      </w:r>
      <w:r w:rsidRPr="00CC4274">
        <w:rPr>
          <w:rFonts w:ascii="Tahoma" w:hAnsi="Tahoma" w:cs="Tahoma"/>
          <w:sz w:val="18"/>
          <w:szCs w:val="18"/>
          <w:rtl/>
          <w:lang w:eastAsia="he-IL"/>
        </w:rPr>
        <w:t xml:space="preserve"> </w:t>
      </w:r>
      <w:r w:rsidRPr="00CC4274">
        <w:rPr>
          <w:rFonts w:ascii="Tahoma" w:hAnsi="Tahoma" w:cs="Tahoma" w:hint="eastAsia"/>
          <w:sz w:val="18"/>
          <w:szCs w:val="18"/>
          <w:rtl/>
          <w:lang w:eastAsia="he-IL"/>
        </w:rPr>
        <w:t>תלונות</w:t>
      </w:r>
      <w:r w:rsidRPr="00CC4274">
        <w:rPr>
          <w:rFonts w:ascii="Tahoma" w:hAnsi="Tahoma" w:cs="Tahoma"/>
          <w:sz w:val="18"/>
          <w:szCs w:val="18"/>
          <w:rtl/>
          <w:lang w:eastAsia="he-IL"/>
        </w:rPr>
        <w:t xml:space="preserve"> </w:t>
      </w:r>
      <w:r w:rsidRPr="00CC4274">
        <w:rPr>
          <w:rFonts w:ascii="Tahoma" w:hAnsi="Tahoma" w:cs="Tahoma" w:hint="eastAsia"/>
          <w:sz w:val="18"/>
          <w:szCs w:val="18"/>
          <w:rtl/>
          <w:lang w:eastAsia="he-IL"/>
        </w:rPr>
        <w:t>הציבור</w:t>
      </w:r>
    </w:p>
    <w:sectPr w:rsidSect="002E2F5B">
      <w:headerReference w:type="even" r:id="rId7"/>
      <w:headerReference w:type="default" r:id="rId8"/>
      <w:headerReference w:type="first" r:id="rId9"/>
      <w:pgSz w:w="11906" w:h="16838" w:code="9"/>
      <w:pgMar w:top="3402" w:right="2268" w:bottom="2552" w:left="2268" w:header="2268" w:footer="2268" w:gutter="0"/>
      <w:pgNumType w:start="3"/>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D652A" w:rsidRPr="008A007A" w:rsidP="008A007A">
      <w:pPr>
        <w:pStyle w:val="Footer"/>
      </w:pPr>
    </w:p>
  </w:footnote>
  <w:footnote w:type="continuationSeparator" w:id="1">
    <w:p w:rsidR="00AD652A" w:rsidP="00CB3322">
      <w:pPr>
        <w:spacing w:after="0" w:line="240" w:lineRule="auto"/>
      </w:pPr>
      <w:r>
        <w:continuationSeparator/>
      </w:r>
    </w:p>
    <w:p w:rsidR="00AD652A"/>
  </w:footnote>
  <w:footnote w:id="2">
    <w:p w:rsidR="00224103" w:rsidRPr="00224103" w:rsidP="0051305D">
      <w:pPr>
        <w:pStyle w:val="FootnoteText"/>
        <w:ind w:right="0"/>
        <w:rPr>
          <w:rFonts w:eastAsia="David"/>
          <w:color w:val="000000"/>
          <w:rtl/>
        </w:rPr>
      </w:pPr>
      <w:r w:rsidRPr="00224103">
        <w:rPr>
          <w:rStyle w:val="FootnoteReference0"/>
          <w:vertAlign w:val="baseline"/>
        </w:rPr>
        <w:footnoteRef/>
      </w:r>
      <w:r w:rsidRPr="00224103">
        <w:rPr>
          <w:rFonts w:eastAsia="David"/>
          <w:rtl/>
        </w:rPr>
        <w:t xml:space="preserve"> </w:t>
      </w:r>
      <w:r w:rsidRPr="00224103">
        <w:rPr>
          <w:rFonts w:eastAsia="David"/>
        </w:rPr>
        <w:tab/>
      </w:r>
      <w:r w:rsidRPr="00224103">
        <w:rPr>
          <w:rFonts w:eastAsia="David"/>
          <w:rtl/>
        </w:rPr>
        <w:t xml:space="preserve">ראו דבריו של השופט ברק בבג"ץ 1635/90 </w:t>
      </w:r>
      <w:r w:rsidRPr="00224103">
        <w:rPr>
          <w:rFonts w:eastAsia="David"/>
          <w:b/>
          <w:bCs/>
          <w:rtl/>
        </w:rPr>
        <w:t>ז'רז'בסקי</w:t>
      </w:r>
      <w:r w:rsidRPr="00224103">
        <w:rPr>
          <w:rFonts w:eastAsia="David"/>
          <w:b/>
          <w:bCs/>
          <w:rtl/>
        </w:rPr>
        <w:t xml:space="preserve"> נ' ראש הממשלה</w:t>
      </w:r>
      <w:r w:rsidRPr="00224103">
        <w:rPr>
          <w:rFonts w:eastAsia="David"/>
          <w:rtl/>
        </w:rPr>
        <w:t>, פ"ד מה(1) 749, 857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C85645">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75248A">
      <w:rPr>
        <w:rFonts w:ascii="Tahoma" w:hAnsi="Tahoma" w:eastAsiaTheme="majorEastAsia" w:cs="Tahoma"/>
        <w:b/>
        <w:bCs/>
        <w:noProof/>
        <w:color w:val="0B5294" w:themeColor="accent1" w:themeShade="BF"/>
        <w:sz w:val="16"/>
        <w:szCs w:val="16"/>
        <w:rtl/>
      </w:rPr>
      <w:t>4</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00C85645">
      <w:rPr>
        <w:rFonts w:ascii="Tahoma" w:hAnsi="Tahoma" w:eastAsiaTheme="majorEastAsia" w:cs="Tahoma" w:hint="cs"/>
        <w:noProof/>
        <w:color w:val="0B5294" w:themeColor="accent1" w:themeShade="BF"/>
        <w:sz w:val="16"/>
        <w:szCs w:val="16"/>
        <w:rtl/>
      </w:rPr>
      <w:t>עיונים בביקורת המדינה, חוברת 63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 xml:space="preserve">שם הגוף המבוקר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AC7D58">
      <w:rPr>
        <w:rFonts w:ascii="Tahoma" w:hAnsi="Tahoma" w:eastAsiaTheme="majorEastAsia" w:cs="Tahoma"/>
        <w:b/>
        <w:bCs/>
        <w:noProof/>
        <w:color w:val="0B5294" w:themeColor="accent1" w:themeShade="BF"/>
        <w:sz w:val="16"/>
        <w:szCs w:val="16"/>
        <w:rtl/>
      </w:rPr>
      <w:t>1</w:t>
    </w:r>
    <w:r w:rsidRPr="007F1A39">
      <w:rPr>
        <w:rFonts w:ascii="Tahoma" w:hAnsi="Tahoma" w:eastAsiaTheme="majorEastAsia" w:cs="Tahoma"/>
        <w:b/>
        <w:bCs/>
        <w:noProof/>
        <w:color w:val="0B5294" w:themeColor="accent1" w:themeShade="B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D58" w:rsidRPr="007F1A39" w:rsidP="00AC7D58">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75248A">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8">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6"/>
  </w:num>
  <w:num w:numId="5">
    <w:abstractNumId w:val="5"/>
  </w:num>
  <w:num w:numId="6">
    <w:abstractNumId w:val="10"/>
  </w:num>
  <w:num w:numId="7">
    <w:abstractNumId w:val="9"/>
  </w:num>
  <w:num w:numId="8">
    <w:abstractNumId w:val="0"/>
  </w:num>
  <w:num w:numId="9">
    <w:abstractNumId w:val="8"/>
  </w:num>
  <w:num w:numId="10">
    <w:abstractNumId w:val="3"/>
  </w:num>
  <w:num w:numId="11">
    <w:abstractNumId w:val="3"/>
  </w:num>
  <w:num w:numId="12">
    <w:abstractNumId w:val="3"/>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4F4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523"/>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CDA"/>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3768"/>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0FB"/>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4103"/>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54A8"/>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2F5B"/>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3BA9"/>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1B1"/>
    <w:rsid w:val="003A16B7"/>
    <w:rsid w:val="003A1745"/>
    <w:rsid w:val="003A2E56"/>
    <w:rsid w:val="003A3862"/>
    <w:rsid w:val="003A4357"/>
    <w:rsid w:val="003A436D"/>
    <w:rsid w:val="003B0565"/>
    <w:rsid w:val="003B159D"/>
    <w:rsid w:val="003B1E8D"/>
    <w:rsid w:val="003B1FEC"/>
    <w:rsid w:val="003B348F"/>
    <w:rsid w:val="003B3858"/>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323"/>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3EA"/>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1C21"/>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05D"/>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A7FA3"/>
    <w:rsid w:val="005B0219"/>
    <w:rsid w:val="005B04B4"/>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4CDF"/>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75D"/>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0A4F"/>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48A"/>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6CB"/>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A"/>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354"/>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83F"/>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41DE"/>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C7D58"/>
    <w:rsid w:val="00AD028A"/>
    <w:rsid w:val="00AD1019"/>
    <w:rsid w:val="00AD13F3"/>
    <w:rsid w:val="00AD1C51"/>
    <w:rsid w:val="00AD1CB2"/>
    <w:rsid w:val="00AD262A"/>
    <w:rsid w:val="00AD380D"/>
    <w:rsid w:val="00AD38D9"/>
    <w:rsid w:val="00AD39BA"/>
    <w:rsid w:val="00AD4FCA"/>
    <w:rsid w:val="00AD652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3506"/>
    <w:rsid w:val="00BB4C95"/>
    <w:rsid w:val="00BB58FC"/>
    <w:rsid w:val="00BB675D"/>
    <w:rsid w:val="00BB6D1C"/>
    <w:rsid w:val="00BC0FC9"/>
    <w:rsid w:val="00BC4504"/>
    <w:rsid w:val="00BC54FE"/>
    <w:rsid w:val="00BC6C3B"/>
    <w:rsid w:val="00BC6F81"/>
    <w:rsid w:val="00BD0182"/>
    <w:rsid w:val="00BD01FC"/>
    <w:rsid w:val="00BD1505"/>
    <w:rsid w:val="00BD178B"/>
    <w:rsid w:val="00BD26EC"/>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27F4B"/>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645"/>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274"/>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621"/>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4DD"/>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36E7"/>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6F82"/>
    <w:rsid w:val="00E67056"/>
    <w:rsid w:val="00E677DE"/>
    <w:rsid w:val="00E67E7C"/>
    <w:rsid w:val="00E70148"/>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A3A"/>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378B"/>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F67E4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ustomXml" Target="../customXml/item1.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45E6FE-A972-411F-9CF8-A819FCD7AF2F}">
  <ds:schemaRefs>
    <ds:schemaRef ds:uri="http://schemas.openxmlformats.org/officeDocument/2006/bibliography"/>
  </ds:schemaRefs>
</ds:datastoreItem>
</file>

<file path=customXml/itemProps2.xml><?xml version="1.0" encoding="utf-8"?>
<ds:datastoreItem xmlns:ds="http://schemas.openxmlformats.org/officeDocument/2006/customXml" ds:itemID="{6C54AA68-BD61-4E25-BB4D-F4C4931C509D}"/>
</file>

<file path=customXml/itemProps3.xml><?xml version="1.0" encoding="utf-8"?>
<ds:datastoreItem xmlns:ds="http://schemas.openxmlformats.org/officeDocument/2006/customXml" ds:itemID="{599C62B9-F48B-4261-84E5-1E5406CAF816}"/>
</file>

<file path=customXml/itemProps4.xml><?xml version="1.0" encoding="utf-8"?>
<ds:datastoreItem xmlns:ds="http://schemas.openxmlformats.org/officeDocument/2006/customXml" ds:itemID="{183F8ED2-9B3E-4531-9E36-1818EBDBF34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24900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