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B406C5" w:rsidRPr="00382017" w:rsidP="00EB3E34">
      <w:pPr>
        <w:pStyle w:val="NAME"/>
        <w:spacing w:before="0"/>
        <w:rPr>
          <w:sz w:val="32"/>
          <w:szCs w:val="32"/>
          <w:rtl/>
        </w:rPr>
      </w:pPr>
      <w:bookmarkStart w:id="0" w:name="_GoBack"/>
      <w:bookmarkEnd w:id="0"/>
      <w:r w:rsidRPr="00382017">
        <w:rPr>
          <w:sz w:val="32"/>
          <w:szCs w:val="32"/>
          <w:rtl/>
        </w:rPr>
        <w:t>מבקר המדינה וזכויות האדם בישראל</w:t>
      </w:r>
      <w:r>
        <w:rPr>
          <w:rStyle w:val="FootnoteReference0"/>
          <w:sz w:val="32"/>
          <w:szCs w:val="32"/>
          <w:rtl/>
        </w:rPr>
        <w:footnoteReference w:customMarkFollows="1" w:id="2"/>
        <w:t xml:space="preserve">*</w:t>
      </w:r>
    </w:p>
    <w:p w:rsidR="00B406C5" w:rsidRPr="005B40BC" w:rsidP="00B406C5">
      <w:pPr>
        <w:pStyle w:val="name-sub"/>
        <w:rPr>
          <w:sz w:val="24"/>
          <w:szCs w:val="24"/>
          <w:rtl/>
        </w:rPr>
      </w:pPr>
      <w:r w:rsidRPr="005B40BC">
        <w:rPr>
          <w:sz w:val="24"/>
          <w:szCs w:val="24"/>
          <w:rtl/>
        </w:rPr>
        <w:t>אהרן ברק</w:t>
      </w:r>
      <w:r>
        <w:rPr>
          <w:rStyle w:val="FootnoteReference0"/>
          <w:sz w:val="24"/>
          <w:szCs w:val="24"/>
          <w:rtl/>
        </w:rPr>
        <w:footnoteReference w:customMarkFollows="1" w:id="3"/>
        <w:t xml:space="preserve">**</w:t>
      </w:r>
    </w:p>
    <w:p w:rsidR="00B406C5" w:rsidRPr="00382017" w:rsidP="00382017">
      <w:pPr>
        <w:pStyle w:val="KOT4"/>
        <w:rPr>
          <w:rtl/>
        </w:rPr>
      </w:pPr>
      <w:r w:rsidRPr="00382017">
        <w:rPr>
          <w:rtl/>
        </w:rPr>
        <w:t>על זכויות האדם בישראל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במדינת ישראל נוהגות שלוש רמות של זכויות האדם כנגד רשויות השלטון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הרמה 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הראשונה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היא הרמה ההלכתית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מאז הקמת המדינה הכיר בית המשפט העליון ברשימה ארוכה של זכויות אדם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כגון חופש העיסוק</w:t>
      </w:r>
      <w:r>
        <w:rPr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4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החירות</w:t>
      </w:r>
      <w:r>
        <w:rPr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5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חופש הביטוי</w:t>
      </w:r>
      <w:r>
        <w:rPr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6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זכות ההתאגדות</w:t>
      </w:r>
      <w:r>
        <w:rPr>
          <w:rStyle w:val="FootnoteReference0"/>
          <w:rFonts w:ascii="Tahoma" w:eastAsia="David" w:hAnsi="Tahoma" w:cs="Tahoma"/>
          <w:sz w:val="18"/>
          <w:szCs w:val="18"/>
          <w:rtl/>
        </w:rPr>
        <w:footnoteReference w:id="7"/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וההפגנה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8"/>
      </w:r>
      <w:r>
        <w:rPr>
          <w:rtl/>
        </w:rPr>
        <w:t xml:space="preserve"> 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 xml:space="preserve">הרמה 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השנייה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היא הרמה הסטטוטורית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אלה הן זכויות אדם חקוקות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שהוכרו על ידי הכנסת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החשובות שבהן הן הזכות לשוויון האישה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שוויון ההזדמנויות בעבודה</w:t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והזכות לפרטיות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9"/>
      </w:r>
      <w:r>
        <w:rPr>
          <w:rtl/>
        </w:rPr>
        <w:t xml:space="preserve"> </w:t>
      </w:r>
    </w:p>
    <w:p w:rsidR="00B406C5" w:rsidRPr="00443948" w:rsidP="00C51CAB">
      <w:pPr>
        <w:spacing w:line="280" w:lineRule="exact"/>
        <w:jc w:val="both"/>
        <w:rPr>
          <w:rFonts w:ascii="Tahoma" w:hAnsi="Tahoma" w:cs="Tahoma"/>
          <w:sz w:val="18"/>
          <w:szCs w:val="18"/>
          <w:rtl/>
        </w:rPr>
      </w:pPr>
      <w:r w:rsidRPr="00443948">
        <w:rPr>
          <w:rFonts w:ascii="Tahoma" w:eastAsia="David" w:hAnsi="Tahoma" w:cs="Tahoma"/>
          <w:sz w:val="18"/>
          <w:szCs w:val="18"/>
          <w:rtl/>
        </w:rPr>
        <w:t xml:space="preserve">הרמה </w:t>
      </w:r>
      <w:r w:rsidRPr="00443948">
        <w:rPr>
          <w:rFonts w:ascii="Tahoma" w:eastAsia="David" w:hAnsi="Tahoma" w:cs="Tahoma"/>
          <w:b/>
          <w:bCs/>
          <w:sz w:val="18"/>
          <w:szCs w:val="18"/>
          <w:rtl/>
        </w:rPr>
        <w:t>השלישית</w:t>
      </w:r>
      <w:r w:rsidRPr="00443948">
        <w:rPr>
          <w:rFonts w:ascii="Tahoma" w:eastAsia="David" w:hAnsi="Tahoma" w:cs="Tahoma"/>
          <w:sz w:val="18"/>
          <w:szCs w:val="18"/>
          <w:rtl/>
        </w:rPr>
        <w:t xml:space="preserve"> </w:t>
      </w:r>
      <w:r w:rsidRPr="00443948">
        <w:rPr>
          <w:rFonts w:ascii="Tahoma" w:hAnsi="Tahoma" w:cs="Tahoma"/>
          <w:sz w:val="18"/>
          <w:szCs w:val="18"/>
          <w:rtl/>
        </w:rPr>
        <w:t xml:space="preserve">– </w:t>
      </w:r>
      <w:r w:rsidRPr="00443948">
        <w:rPr>
          <w:rFonts w:ascii="Tahoma" w:eastAsia="David" w:hAnsi="Tahoma" w:cs="Tahoma"/>
          <w:sz w:val="18"/>
          <w:szCs w:val="18"/>
          <w:rtl/>
        </w:rPr>
        <w:t xml:space="preserve">בה אתמקד בחיבור זה </w:t>
      </w:r>
      <w:r w:rsidRPr="00443948">
        <w:rPr>
          <w:rFonts w:ascii="Tahoma" w:hAnsi="Tahoma" w:cs="Tahoma"/>
          <w:sz w:val="18"/>
          <w:szCs w:val="18"/>
          <w:rtl/>
        </w:rPr>
        <w:t xml:space="preserve">– </w:t>
      </w:r>
      <w:r w:rsidRPr="00443948">
        <w:rPr>
          <w:rFonts w:ascii="Tahoma" w:eastAsia="David" w:hAnsi="Tahoma" w:cs="Tahoma"/>
          <w:sz w:val="18"/>
          <w:szCs w:val="18"/>
          <w:rtl/>
        </w:rPr>
        <w:t>היא הרמה החוקתית</w:t>
      </w:r>
      <w:r w:rsidRPr="00443948">
        <w:rPr>
          <w:rFonts w:ascii="Tahoma" w:hAnsi="Tahoma" w:cs="Tahoma"/>
          <w:sz w:val="18"/>
          <w:szCs w:val="18"/>
          <w:rtl/>
        </w:rPr>
        <w:t xml:space="preserve">. </w:t>
      </w:r>
      <w:r w:rsidRPr="00443948">
        <w:rPr>
          <w:rFonts w:ascii="Tahoma" w:eastAsia="David" w:hAnsi="Tahoma" w:cs="Tahoma"/>
          <w:sz w:val="18"/>
          <w:szCs w:val="18"/>
          <w:rtl/>
        </w:rPr>
        <w:t xml:space="preserve">אלה הן זכויות אדם שהוכרו </w:t>
      </w:r>
      <w:r w:rsidRPr="00443948">
        <w:rPr>
          <w:rFonts w:ascii="Tahoma" w:hAnsi="Tahoma" w:cs="Tahoma"/>
          <w:sz w:val="18"/>
          <w:szCs w:val="18"/>
          <w:rtl/>
        </w:rPr>
        <w:t>(</w:t>
      </w:r>
      <w:r w:rsidRPr="00443948">
        <w:rPr>
          <w:rFonts w:ascii="Tahoma" w:eastAsia="David" w:hAnsi="Tahoma" w:cs="Tahoma"/>
          <w:sz w:val="18"/>
          <w:szCs w:val="18"/>
          <w:rtl/>
        </w:rPr>
        <w:t>במפורש או במשתמע</w:t>
      </w:r>
      <w:r w:rsidRPr="00443948">
        <w:rPr>
          <w:rFonts w:ascii="Tahoma" w:hAnsi="Tahoma" w:cs="Tahoma"/>
          <w:sz w:val="18"/>
          <w:szCs w:val="18"/>
          <w:rtl/>
        </w:rPr>
        <w:t xml:space="preserve">) </w:t>
      </w:r>
      <w:r w:rsidRPr="00443948">
        <w:rPr>
          <w:rFonts w:ascii="Tahoma" w:eastAsia="David" w:hAnsi="Tahoma" w:cs="Tahoma"/>
          <w:sz w:val="18"/>
          <w:szCs w:val="18"/>
          <w:rtl/>
        </w:rPr>
        <w:t>על</w:t>
      </w:r>
      <w:r w:rsidRPr="00443948" w:rsidR="00A131D7">
        <w:rPr>
          <w:rFonts w:ascii="Tahoma" w:hAnsi="Tahoma" w:cs="Tahoma"/>
          <w:sz w:val="18"/>
          <w:szCs w:val="18"/>
          <w:rtl/>
        </w:rPr>
        <w:t xml:space="preserve"> </w:t>
      </w:r>
      <w:r w:rsidRPr="00443948">
        <w:rPr>
          <w:rFonts w:ascii="Tahoma" w:eastAsia="David" w:hAnsi="Tahoma" w:cs="Tahoma"/>
          <w:sz w:val="18"/>
          <w:szCs w:val="18"/>
          <w:rtl/>
        </w:rPr>
        <w:t>ידי חוקי היסוד</w:t>
      </w:r>
      <w:r w:rsidRPr="00443948">
        <w:rPr>
          <w:rFonts w:ascii="Tahoma" w:hAnsi="Tahoma" w:cs="Tahoma"/>
          <w:sz w:val="18"/>
          <w:szCs w:val="18"/>
          <w:rtl/>
        </w:rPr>
        <w:t xml:space="preserve">. </w:t>
      </w:r>
      <w:r w:rsidRPr="00443948">
        <w:rPr>
          <w:rFonts w:ascii="Tahoma" w:eastAsia="David" w:hAnsi="Tahoma" w:cs="Tahoma"/>
          <w:sz w:val="18"/>
          <w:szCs w:val="18"/>
          <w:rtl/>
        </w:rPr>
        <w:t>רובן מעוגנות בחוק</w:t>
      </w:r>
      <w:r w:rsidRPr="00443948">
        <w:rPr>
          <w:rFonts w:ascii="Tahoma" w:hAnsi="Tahoma" w:cs="Tahoma"/>
          <w:sz w:val="18"/>
          <w:szCs w:val="18"/>
          <w:rtl/>
        </w:rPr>
        <w:t>-</w:t>
      </w:r>
      <w:r w:rsidRPr="00443948">
        <w:rPr>
          <w:rFonts w:ascii="Tahoma" w:eastAsia="David" w:hAnsi="Tahoma" w:cs="Tahoma"/>
          <w:sz w:val="18"/>
          <w:szCs w:val="18"/>
          <w:rtl/>
        </w:rPr>
        <w:t>יסוד</w:t>
      </w:r>
      <w:r w:rsidRPr="00443948">
        <w:rPr>
          <w:rFonts w:ascii="Tahoma" w:hAnsi="Tahoma" w:cs="Tahoma"/>
          <w:sz w:val="18"/>
          <w:szCs w:val="18"/>
          <w:rtl/>
        </w:rPr>
        <w:t xml:space="preserve">: </w:t>
      </w:r>
      <w:r w:rsidRPr="00443948">
        <w:rPr>
          <w:rFonts w:ascii="Tahoma" w:eastAsia="David" w:hAnsi="Tahoma" w:cs="Tahoma"/>
          <w:sz w:val="18"/>
          <w:szCs w:val="18"/>
          <w:rtl/>
        </w:rPr>
        <w:t>כבוד האדם וחירותו</w:t>
      </w:r>
      <w:r w:rsidRPr="00443948">
        <w:rPr>
          <w:rFonts w:ascii="Tahoma" w:hAnsi="Tahoma" w:cs="Tahoma"/>
          <w:sz w:val="18"/>
          <w:szCs w:val="18"/>
          <w:rtl/>
        </w:rPr>
        <w:t xml:space="preserve">, </w:t>
      </w:r>
      <w:r w:rsidRPr="00443948">
        <w:rPr>
          <w:rFonts w:ascii="Tahoma" w:eastAsia="David" w:hAnsi="Tahoma" w:cs="Tahoma"/>
          <w:sz w:val="18"/>
          <w:szCs w:val="18"/>
          <w:rtl/>
        </w:rPr>
        <w:t xml:space="preserve">המכיר בזכויות הבאות כזכויות ברמה </w:t>
      </w:r>
      <w:r w:rsidRPr="00443948" w:rsidR="00A131D7">
        <w:rPr>
          <w:rFonts w:ascii="Tahoma" w:eastAsia="David" w:hAnsi="Tahoma" w:cs="Tahoma"/>
          <w:sz w:val="18"/>
          <w:szCs w:val="18"/>
          <w:rtl/>
        </w:rPr>
        <w:t>ה</w:t>
      </w:r>
      <w:r w:rsidRPr="00443948">
        <w:rPr>
          <w:rFonts w:ascii="Tahoma" w:eastAsia="David" w:hAnsi="Tahoma" w:cs="Tahoma"/>
          <w:sz w:val="18"/>
          <w:szCs w:val="18"/>
          <w:rtl/>
        </w:rPr>
        <w:t>חוקתית</w:t>
      </w:r>
      <w:r w:rsidRPr="00443948">
        <w:rPr>
          <w:rFonts w:ascii="Tahoma" w:hAnsi="Tahoma" w:cs="Tahoma"/>
          <w:sz w:val="18"/>
          <w:szCs w:val="18"/>
          <w:rtl/>
        </w:rPr>
        <w:t xml:space="preserve">: </w:t>
      </w:r>
      <w:r w:rsidRPr="00443948">
        <w:rPr>
          <w:rFonts w:ascii="Tahoma" w:eastAsia="David" w:hAnsi="Tahoma" w:cs="Tahoma"/>
          <w:sz w:val="18"/>
          <w:szCs w:val="18"/>
          <w:rtl/>
        </w:rPr>
        <w:t>הזכות לחיים</w:t>
      </w:r>
      <w:r w:rsidRPr="00443948">
        <w:rPr>
          <w:rFonts w:ascii="Tahoma" w:hAnsi="Tahoma" w:cs="Tahoma"/>
          <w:sz w:val="18"/>
          <w:szCs w:val="18"/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0"/>
      </w:r>
      <w:r w:rsidRPr="00443948">
        <w:rPr>
          <w:rFonts w:ascii="Tahoma" w:hAnsi="Tahoma" w:cs="Tahoma"/>
          <w:sz w:val="18"/>
          <w:szCs w:val="18"/>
          <w:rtl/>
        </w:rPr>
        <w:t xml:space="preserve"> </w:t>
      </w:r>
      <w:r w:rsidRPr="00443948">
        <w:rPr>
          <w:rFonts w:ascii="Tahoma" w:eastAsia="David" w:hAnsi="Tahoma" w:cs="Tahoma"/>
          <w:sz w:val="18"/>
          <w:szCs w:val="18"/>
          <w:rtl/>
        </w:rPr>
        <w:t>הזכות לגוף</w:t>
      </w:r>
      <w:r w:rsidRPr="00443948">
        <w:rPr>
          <w:rFonts w:ascii="Tahoma" w:hAnsi="Tahoma" w:cs="Tahoma"/>
          <w:sz w:val="18"/>
          <w:szCs w:val="18"/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1"/>
      </w:r>
      <w:r w:rsidRPr="00443948">
        <w:rPr>
          <w:rFonts w:ascii="Tahoma" w:hAnsi="Tahoma" w:cs="Tahoma"/>
          <w:sz w:val="18"/>
          <w:szCs w:val="18"/>
          <w:rtl/>
        </w:rPr>
        <w:t xml:space="preserve"> </w:t>
      </w:r>
      <w:r w:rsidRPr="00443948">
        <w:rPr>
          <w:rFonts w:ascii="Tahoma" w:eastAsia="David" w:hAnsi="Tahoma" w:cs="Tahoma"/>
          <w:sz w:val="18"/>
          <w:szCs w:val="18"/>
          <w:rtl/>
        </w:rPr>
        <w:t>הזכות לכבוד האדם</w:t>
      </w:r>
      <w:r w:rsidRPr="00443948">
        <w:rPr>
          <w:rFonts w:ascii="Tahoma" w:hAnsi="Tahoma" w:cs="Tahoma"/>
          <w:sz w:val="18"/>
          <w:szCs w:val="18"/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2"/>
      </w:r>
      <w:r w:rsidRPr="00443948">
        <w:rPr>
          <w:rFonts w:ascii="Tahoma" w:hAnsi="Tahoma" w:cs="Tahoma"/>
          <w:sz w:val="18"/>
          <w:szCs w:val="18"/>
          <w:rtl/>
        </w:rPr>
        <w:t xml:space="preserve"> </w:t>
      </w:r>
      <w:r w:rsidRPr="00443948">
        <w:rPr>
          <w:rFonts w:ascii="Tahoma" w:eastAsia="David" w:hAnsi="Tahoma" w:cs="Tahoma"/>
          <w:sz w:val="18"/>
          <w:szCs w:val="18"/>
          <w:rtl/>
        </w:rPr>
        <w:t>הזכות לקניין</w:t>
      </w:r>
      <w:r w:rsidRPr="00443948">
        <w:rPr>
          <w:rFonts w:ascii="Tahoma" w:hAnsi="Tahoma" w:cs="Tahoma"/>
          <w:sz w:val="18"/>
          <w:szCs w:val="18"/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3"/>
      </w:r>
      <w:r w:rsidRPr="00443948">
        <w:rPr>
          <w:rFonts w:ascii="Tahoma" w:hAnsi="Tahoma" w:cs="Tahoma"/>
          <w:sz w:val="18"/>
          <w:szCs w:val="18"/>
          <w:rtl/>
        </w:rPr>
        <w:t xml:space="preserve"> </w:t>
      </w:r>
      <w:r w:rsidRPr="00443948">
        <w:rPr>
          <w:rFonts w:ascii="Tahoma" w:eastAsia="David" w:hAnsi="Tahoma" w:cs="Tahoma"/>
          <w:sz w:val="18"/>
          <w:szCs w:val="18"/>
          <w:rtl/>
        </w:rPr>
        <w:t>הזכות לחירות אישית</w:t>
      </w:r>
      <w:r w:rsidRPr="00443948">
        <w:rPr>
          <w:rFonts w:ascii="Tahoma" w:hAnsi="Tahoma" w:cs="Tahoma"/>
          <w:sz w:val="18"/>
          <w:szCs w:val="18"/>
          <w:rtl/>
        </w:rPr>
        <w:t>,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4"/>
      </w:r>
      <w:r w:rsidRPr="00443948">
        <w:rPr>
          <w:rFonts w:ascii="Tahoma" w:hAnsi="Tahoma" w:cs="Tahoma"/>
          <w:sz w:val="18"/>
          <w:szCs w:val="18"/>
          <w:rtl/>
        </w:rPr>
        <w:t xml:space="preserve"> </w:t>
      </w:r>
      <w:r w:rsidRPr="00443948">
        <w:rPr>
          <w:rFonts w:ascii="Tahoma" w:eastAsia="David" w:hAnsi="Tahoma" w:cs="Tahoma"/>
          <w:sz w:val="18"/>
          <w:szCs w:val="18"/>
          <w:rtl/>
        </w:rPr>
        <w:t>זכות היציאה מישראל והכניסה אליה</w:t>
      </w:r>
      <w:r>
        <w:rPr>
          <w:rStyle w:val="FootnoteReference0"/>
          <w:rFonts w:ascii="Tahoma" w:eastAsia="David" w:hAnsi="Tahoma" w:cs="Tahoma"/>
          <w:sz w:val="18"/>
          <w:szCs w:val="18"/>
          <w:rtl/>
        </w:rPr>
        <w:footnoteReference w:id="15"/>
      </w:r>
      <w:r w:rsidRPr="00443948">
        <w:rPr>
          <w:rFonts w:ascii="Tahoma" w:eastAsia="David" w:hAnsi="Tahoma" w:cs="Tahoma"/>
          <w:sz w:val="18"/>
          <w:szCs w:val="18"/>
          <w:rtl/>
        </w:rPr>
        <w:t xml:space="preserve"> והזכות לפרטיות ולצנעת הפרט</w:t>
      </w:r>
      <w:r w:rsidRPr="00443948">
        <w:rPr>
          <w:rFonts w:ascii="Tahoma" w:hAnsi="Tahoma" w:cs="Tahoma"/>
          <w:sz w:val="18"/>
          <w:szCs w:val="18"/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6"/>
      </w:r>
      <w:r w:rsidRPr="00443948">
        <w:rPr>
          <w:rFonts w:ascii="Tahoma" w:hAnsi="Tahoma" w:cs="Tahoma"/>
          <w:sz w:val="18"/>
          <w:szCs w:val="18"/>
          <w:rtl/>
        </w:rPr>
        <w:t xml:space="preserve"> 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על פרשנותן של זכויות האדם חלה הפרשנות התכליתית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7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פרשנות זו מבקשת לתת לטקסט המשפטי את המובן המגשים את התכלית החברתית המודרנית המונחת ביסודו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הפרשנות של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הזכויות נעשית מתוך 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מבט רחב</w:t>
      </w:r>
      <w:r>
        <w:rPr>
          <w:rtl/>
        </w:rPr>
        <w:t xml:space="preserve">". </w:t>
      </w:r>
      <w:r w:rsidRPr="00B406C5">
        <w:rPr>
          <w:rFonts w:ascii="Tahoma" w:eastAsia="David" w:hAnsi="Tahoma" w:cs="Tahoma"/>
          <w:sz w:val="18"/>
          <w:szCs w:val="18"/>
          <w:rtl/>
        </w:rPr>
        <w:t>הפרשנות אינה לגליסטית או פדנטית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8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היא עניינית ומשקפת את האמונות ארוכות הטווח של החברה הישראלית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בפרשנות אשר בית המשפט נותן לזכויות האדם הוא לומד ממשפט זכויות האדם הבינלאומי ומהמשפט החוקתי המשווה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אלה כמובן אינם מחייבים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בית המשפט מודרך על ידי פסיקתו הענפה באשר לזכויות האדם מאז קום המדינה</w:t>
      </w:r>
      <w:r>
        <w:rPr>
          <w:rtl/>
        </w:rPr>
        <w:t xml:space="preserve">. 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הזכויות החוקתיות בישראל הינן ברובן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מסגרת</w:t>
      </w:r>
      <w:r>
        <w:rPr>
          <w:rtl/>
        </w:rPr>
        <w:t>.</w:t>
      </w:r>
      <w:bookmarkStart w:id="1" w:name="_Ref502577877"/>
      <w:bookmarkEnd w:id="1"/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19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הן מהוות אגד של זכויות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הן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אם מהן יש לגזור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בת המשקפות את ההיבטים השונים של זכות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האם</w:t>
      </w:r>
      <w:r>
        <w:rPr>
          <w:rtl/>
        </w:rPr>
        <w:t>.</w:t>
      </w:r>
      <w:bookmarkStart w:id="2" w:name="_Ref502579570"/>
      <w:bookmarkEnd w:id="2"/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0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מבין זכויות אלה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החשובה ביותר היא כבוד האדם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זכות זו משתרעת על כל פגיעה באנושיותו של האדם כאדם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כבוד האדם הוא חופש הבחירה של האדם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האוטונומיה של רצונו</w:t>
      </w:r>
      <w:r>
        <w:rPr>
          <w:rtl/>
        </w:rPr>
        <w:t xml:space="preserve">: </w:t>
      </w:r>
      <w:r w:rsidRPr="00B406C5">
        <w:rPr>
          <w:rFonts w:ascii="Tahoma" w:eastAsia="David" w:hAnsi="Tahoma" w:cs="Tahoma"/>
          <w:sz w:val="18"/>
          <w:szCs w:val="18"/>
          <w:rtl/>
        </w:rPr>
        <w:t>זו אישיות האדם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אני</w:t>
      </w:r>
      <w:r>
        <w:rPr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>שלו המבטיח את זהותו כאדם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זהו החופש של הפרט לכתוב את סיפור חייו ולהשפיע על תוכנו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>זה החופש מפני השפלה וביזוי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>זו מניעת הפיכתו של האדם לאמצעי בלבד לסיפוק רצונו של אחר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חופש זה פועל </w:t>
      </w:r>
      <w:r w:rsidRPr="00B406C5">
        <w:rPr>
          <w:rFonts w:ascii="Tahoma" w:eastAsia="David" w:hAnsi="Tahoma" w:cs="Tahoma"/>
          <w:sz w:val="18"/>
          <w:szCs w:val="18"/>
          <w:rtl/>
        </w:rPr>
        <w:t>בגדריה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של החברה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זכות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האם של כבוד האדם כוללת את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הבת הבאות</w:t>
      </w:r>
      <w:r>
        <w:rPr>
          <w:rtl/>
        </w:rPr>
        <w:t xml:space="preserve">: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לאישיות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לשוויון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לשם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טוב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לחופש ביטוי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לחופש המצפון והדת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לחינוך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הזכות למשפחה </w:t>
      </w:r>
      <w:r>
        <w:rPr>
          <w:rtl/>
        </w:rPr>
        <w:t>(</w:t>
      </w:r>
      <w:r w:rsidRPr="00B406C5">
        <w:rPr>
          <w:rFonts w:ascii="Tahoma" w:eastAsia="David" w:hAnsi="Tahoma" w:cs="Tahoma"/>
          <w:sz w:val="18"/>
          <w:szCs w:val="18"/>
          <w:rtl/>
        </w:rPr>
        <w:t>כגון נישואין והורות</w:t>
      </w:r>
      <w:r>
        <w:rPr>
          <w:rtl/>
        </w:rPr>
        <w:t xml:space="preserve">),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לעבודה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לבריאות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הזכות לחופש התנועה בגדרי המדינה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זכויות במשפט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זכות לקיום אנושי בכבוד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רשימה זו כמובן אינה רשימה סגורה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בגדרה של הזכות לכבוד האדם נכללות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בת בעלות היבט אזרחי וחברתי גם יחד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>הן הגרעין של הזכות והן המעטפת שלה הם חלק מזכות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הבת וממילא גם של זכות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האם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כבוד האדם מטיל הן חובה 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שלילית</w:t>
      </w:r>
      <w:r>
        <w:rPr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>שעניינה האיסור על המדינה להגביל את הזכות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והן זכות 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חיובית</w:t>
      </w:r>
      <w:r>
        <w:rPr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>שעניינה החובה להגן על הזכות מפני פגיעה בה על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ידי אחרים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1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היקפן של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הבת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כגון הזכות לשוויון ולחופש ביטוי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שונה מהיקפן של זכויות אלה אילו הוכרו כזכויות עצמאיות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הבת הן חלק מהאגד המכונה כבוד האדם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על כן זכות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הבת לשוויון משתרעת רק על אותם היבטים של השוויון הקשורים בכבוד האדם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הפליה שאינה פוגעת בכבוד האדם אינה חלק מזכות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הבת לשוויון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גם אם יכולה הייתה להיות חלק מהזכות העצמאית לשוויון אילו הוכרה אצלנו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כל הזכויות החוקתיות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ובהן כל זכויות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הבת של כבוד האדם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הן זכויות של האדם נגד רשות שלטונית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אין הן חלות ביחסים בין פרטים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2"/>
      </w:r>
      <w:r>
        <w:rPr>
          <w:rtl/>
        </w:rPr>
        <w:t xml:space="preserve"> </w:t>
      </w:r>
    </w:p>
    <w:p w:rsidR="00B406C5" w:rsidP="009646AD">
      <w:pPr>
        <w:spacing w:line="280" w:lineRule="exact"/>
        <w:jc w:val="both"/>
      </w:pPr>
      <w:r w:rsidRPr="00B406C5">
        <w:rPr>
          <w:rFonts w:ascii="Tahoma" w:eastAsia="David" w:hAnsi="Tahoma" w:cs="Tahoma"/>
          <w:sz w:val="18"/>
          <w:szCs w:val="18"/>
          <w:rtl/>
        </w:rPr>
        <w:t xml:space="preserve">כל הזכויות החוקתיות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וממילא גם הזכות לכבוד האדם על בנותיה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הן זכויות יחסיות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אין הן מוחלטות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משמעותה של יחסיות זו הינה כי ניתן להגבילן</w:t>
      </w:r>
      <w:r>
        <w:rPr>
          <w:rtl/>
        </w:rPr>
        <w:t xml:space="preserve">. </w:t>
      </w:r>
      <w:r w:rsidR="00A131D7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>הגבלה היא חוקתית רק אם היא מידתית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דיני המידתיות </w:t>
      </w:r>
      <w:r>
        <w:rPr>
          <w:rtl/>
        </w:rPr>
        <w:t>(</w:t>
      </w:r>
      <w:r w:rsidRPr="00B406C5">
        <w:rPr>
          <w:rFonts w:ascii="Tahoma" w:eastAsia="David" w:hAnsi="Tahoma" w:cs="Tahoma"/>
          <w:sz w:val="18"/>
          <w:szCs w:val="18"/>
          <w:rtl/>
        </w:rPr>
        <w:t>המפורשים והמשתמעים</w:t>
      </w:r>
      <w:r>
        <w:rPr>
          <w:rtl/>
        </w:rPr>
        <w:t xml:space="preserve">)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קובעים כי ההגבלה </w:t>
      </w:r>
      <w:r>
        <w:rPr>
          <w:rtl/>
        </w:rPr>
        <w:t>(</w:t>
      </w:r>
      <w:r w:rsidRPr="00B406C5">
        <w:rPr>
          <w:rFonts w:ascii="Tahoma" w:eastAsia="David" w:hAnsi="Tahoma" w:cs="Tahoma"/>
          <w:sz w:val="18"/>
          <w:szCs w:val="18"/>
          <w:rtl/>
        </w:rPr>
        <w:t>או הפגיעה</w:t>
      </w:r>
      <w:r>
        <w:rPr>
          <w:rtl/>
        </w:rPr>
        <w:t xml:space="preserve">) </w:t>
      </w:r>
      <w:r w:rsidRPr="00B406C5">
        <w:rPr>
          <w:rFonts w:ascii="Tahoma" w:eastAsia="David" w:hAnsi="Tahoma" w:cs="Tahoma"/>
          <w:sz w:val="18"/>
          <w:szCs w:val="18"/>
          <w:rtl/>
        </w:rPr>
        <w:t>בחוק בזכות החוקתית היא חוקתית</w:t>
      </w:r>
      <w:r>
        <w:rPr>
          <w:rtl/>
        </w:rPr>
        <w:t>,</w:t>
      </w:r>
      <w:r w:rsidR="00A131D7">
        <w:rPr>
          <w:rFonts w:ascii="Tahoma" w:eastAsia="David" w:hAnsi="Tahoma" w:cs="Tahoma" w:hint="cs"/>
          <w:sz w:val="18"/>
          <w:szCs w:val="18"/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אם ההגבלה נעשית לתכלית ראויה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>אם קיים קשר רציונאלי בין הגשמת התכלית לבין האמצעים שהחוק נקט בהם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>אם לא נית</w:t>
      </w:r>
      <w:r w:rsidR="009646AD">
        <w:rPr>
          <w:rFonts w:ascii="Tahoma" w:eastAsia="David" w:hAnsi="Tahoma" w:cs="Tahoma"/>
          <w:sz w:val="18"/>
          <w:szCs w:val="18"/>
          <w:rtl/>
        </w:rPr>
        <w:t xml:space="preserve">ן להגשים את התכלית הראויה </w:t>
      </w:r>
      <w:r w:rsidR="009646AD">
        <w:rPr>
          <w:rFonts w:ascii="Tahoma" w:eastAsia="David" w:hAnsi="Tahoma" w:cs="Tahoma"/>
          <w:sz w:val="18"/>
          <w:szCs w:val="18"/>
          <w:rtl/>
        </w:rPr>
        <w:t>באמצע</w:t>
      </w:r>
      <w:r w:rsidRPr="00B406C5">
        <w:rPr>
          <w:rFonts w:ascii="Tahoma" w:eastAsia="David" w:hAnsi="Tahoma" w:cs="Tahoma"/>
          <w:sz w:val="18"/>
          <w:szCs w:val="18"/>
          <w:rtl/>
        </w:rPr>
        <w:t>ים חלופיים שפגיעתם בזכות האדם פחותה</w:t>
      </w:r>
      <w:r>
        <w:rPr>
          <w:rtl/>
        </w:rPr>
        <w:t xml:space="preserve">; </w:t>
      </w:r>
      <w:r w:rsidRPr="00B406C5">
        <w:rPr>
          <w:rFonts w:ascii="Tahoma" w:eastAsia="David" w:hAnsi="Tahoma" w:cs="Tahoma"/>
          <w:sz w:val="18"/>
          <w:szCs w:val="18"/>
          <w:rtl/>
        </w:rPr>
        <w:t>ואם קיים איזון ראוי בין התועלת השולית הצומחת לאינטרס הציבורי או לזכות המוגנת מהשימוש באמצעים שהחוק נוקט בהם לבין הנזק השולי שאמצעים אלה גורמים לזכות החוקתית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3"/>
      </w:r>
      <w:r>
        <w:rPr>
          <w:rtl/>
        </w:rPr>
        <w:t xml:space="preserve"> </w:t>
      </w:r>
    </w:p>
    <w:p w:rsidR="00B406C5" w:rsidP="00546EC0">
      <w:pPr>
        <w:spacing w:line="280" w:lineRule="exact"/>
        <w:jc w:val="both"/>
        <w:rPr>
          <w:rtl/>
        </w:rPr>
      </w:pPr>
    </w:p>
    <w:p w:rsidR="00B406C5" w:rsidP="00382017">
      <w:pPr>
        <w:pStyle w:val="KOT4"/>
        <w:rPr>
          <w:rtl/>
        </w:rPr>
      </w:pPr>
      <w:r w:rsidRPr="00B406C5">
        <w:rPr>
          <w:rtl/>
        </w:rPr>
        <w:t>על ההגנה על זכויות האדם בישראל</w:t>
      </w:r>
    </w:p>
    <w:p w:rsidR="00B406C5" w:rsidRPr="00382017" w:rsidP="00382017">
      <w:pPr>
        <w:pStyle w:val="KOT5"/>
        <w:rPr>
          <w:rtl/>
        </w:rPr>
      </w:pPr>
      <w:r w:rsidRPr="00382017">
        <w:rPr>
          <w:rtl/>
        </w:rPr>
        <w:t>פגיעות נורמטיבית</w:t>
      </w:r>
    </w:p>
    <w:p w:rsidR="00B406C5" w:rsidP="00546EC0">
      <w:pPr>
        <w:spacing w:line="280" w:lineRule="atLeas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האם הזכויות החוקתיות מוגנות כראוי בישראל</w:t>
      </w:r>
      <w:r>
        <w:rPr>
          <w:rtl/>
        </w:rPr>
        <w:t xml:space="preserve">? </w:t>
      </w:r>
      <w:r w:rsidRPr="00B406C5">
        <w:rPr>
          <w:rFonts w:ascii="Tahoma" w:eastAsia="David" w:hAnsi="Tahoma" w:cs="Tahoma"/>
          <w:sz w:val="18"/>
          <w:szCs w:val="18"/>
          <w:rtl/>
        </w:rPr>
        <w:t>האם הן נפגעות</w:t>
      </w:r>
      <w:r>
        <w:rPr>
          <w:rtl/>
        </w:rPr>
        <w:t xml:space="preserve">? </w:t>
      </w:r>
      <w:r w:rsidRPr="00B406C5">
        <w:rPr>
          <w:rFonts w:ascii="Tahoma" w:eastAsia="David" w:hAnsi="Tahoma" w:cs="Tahoma"/>
          <w:sz w:val="18"/>
          <w:szCs w:val="18"/>
          <w:rtl/>
        </w:rPr>
        <w:t>כדי להשיב על שאלה זו יש להבחין בין פגיעות נורמטיביות בזכו</w:t>
      </w:r>
      <w:r w:rsidR="00A131D7">
        <w:rPr>
          <w:rFonts w:ascii="Tahoma" w:eastAsia="David" w:hAnsi="Tahoma" w:cs="Tahoma" w:hint="cs"/>
          <w:sz w:val="18"/>
          <w:szCs w:val="18"/>
          <w:rtl/>
        </w:rPr>
        <w:t>יו</w:t>
      </w:r>
      <w:r w:rsidRPr="00B406C5">
        <w:rPr>
          <w:rFonts w:ascii="Tahoma" w:eastAsia="David" w:hAnsi="Tahoma" w:cs="Tahoma"/>
          <w:sz w:val="18"/>
          <w:szCs w:val="18"/>
          <w:rtl/>
        </w:rPr>
        <w:t>ת החוקתיות לבין פגיעות פיזיות בהן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הפגיעה היא נורמטיבית אם היא מעוגנת בנורמה משפטית תת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חוקתית </w:t>
      </w:r>
      <w:r>
        <w:rPr>
          <w:rtl/>
        </w:rPr>
        <w:t>(</w:t>
      </w:r>
      <w:r w:rsidRPr="00B406C5">
        <w:rPr>
          <w:rFonts w:ascii="Tahoma" w:eastAsia="David" w:hAnsi="Tahoma" w:cs="Tahoma"/>
          <w:sz w:val="18"/>
          <w:szCs w:val="18"/>
          <w:rtl/>
        </w:rPr>
        <w:t>בין חקיקה ובין משפט מקובל</w:t>
      </w:r>
      <w:r>
        <w:rPr>
          <w:rtl/>
        </w:rPr>
        <w:t xml:space="preserve">). </w:t>
      </w:r>
      <w:r w:rsidRPr="00B406C5">
        <w:rPr>
          <w:rFonts w:ascii="Tahoma" w:eastAsia="David" w:hAnsi="Tahoma" w:cs="Tahoma"/>
          <w:sz w:val="18"/>
          <w:szCs w:val="18"/>
          <w:rtl/>
        </w:rPr>
        <w:t>הפגיעה היא פיזית כאשר היא אינה מעוגנת בנורמה משפטית</w:t>
      </w:r>
      <w:r>
        <w:rPr>
          <w:rtl/>
        </w:rPr>
        <w:t xml:space="preserve">. </w:t>
      </w:r>
    </w:p>
    <w:p w:rsidR="00B406C5" w:rsidP="00546EC0">
      <w:pPr>
        <w:spacing w:line="280" w:lineRule="atLeas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לעניין הפגיעה הנורמטיבית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ראוי לציין כי מרבית החקיקה החדשה בישראל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זו שנחקקה לאחר כינונם של שני חוקי היסוד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מקיימת את הציוויים החוקתיים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גם אם חקיקה זו מגבילה זכות חוקתית היא מקיימת ברוב המקרים את דרישותיה של פסקת ההגבלה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מיעוט העתירות לבית המשפט העליון בעניין </w:t>
      </w:r>
      <w:r w:rsidRPr="00B406C5">
        <w:rPr>
          <w:rFonts w:ascii="Tahoma" w:eastAsia="David" w:hAnsi="Tahoma" w:cs="Tahoma"/>
          <w:sz w:val="18"/>
          <w:szCs w:val="18"/>
          <w:rtl/>
        </w:rPr>
        <w:t>חוקתיותה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של החקיקה החדשה אינו מצביע על גישה מחמירה של בית המשפט העליון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אלא על עבודתם הראויה של היועצים המשפטיים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בממשלה ובכנסת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הדואגים לכך שהכנסת לא תקבל חקיקה הפוגעת באופן לא מידתי בזכויות חוקתיות</w:t>
      </w:r>
      <w:r>
        <w:rPr>
          <w:rtl/>
        </w:rPr>
        <w:t xml:space="preserve">. </w:t>
      </w:r>
    </w:p>
    <w:p w:rsidR="00B406C5" w:rsidP="00546EC0">
      <w:pPr>
        <w:spacing w:line="280" w:lineRule="atLeas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 xml:space="preserve">תמונה שונה מצטיירת בכל הנוגע לחקיקה הישנה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זו שנתקבלה לפני כינונם של שני חוק</w:t>
      </w:r>
      <w:r w:rsidR="00A131D7">
        <w:rPr>
          <w:rFonts w:ascii="Tahoma" w:eastAsia="David" w:hAnsi="Tahoma" w:cs="Tahoma" w:hint="cs"/>
          <w:sz w:val="18"/>
          <w:szCs w:val="18"/>
          <w:rtl/>
        </w:rPr>
        <w:t>י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היסוד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חלק ניכר מחקיקה זו פגע</w:t>
      </w:r>
      <w:r w:rsidR="00A131D7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בזכויות חוקתיות באופן בלתי מידתי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כך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למשל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דיני הנישואין והגירושין בישראל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שאינם מכירים בנישואין וגירושים אזרחיים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או בברית </w:t>
      </w:r>
      <w:r w:rsidR="00A131D7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זוגיות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פוגעים באופן לא מידתי בזכות למשפחה הנגזרת מהזכות החוקתית לכבוד האדם</w:t>
      </w:r>
      <w:r>
        <w:rPr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4"/>
      </w:r>
      <w:r>
        <w:rPr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בעניין זה כבולות ידיו של בית המשפט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שכן חוק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יסוד</w:t>
      </w:r>
      <w:r>
        <w:rPr>
          <w:rtl/>
        </w:rPr>
        <w:t xml:space="preserve">: </w:t>
      </w:r>
      <w:r w:rsidRPr="00B406C5">
        <w:rPr>
          <w:rFonts w:ascii="Tahoma" w:eastAsia="David" w:hAnsi="Tahoma" w:cs="Tahoma"/>
          <w:sz w:val="18"/>
          <w:szCs w:val="18"/>
          <w:rtl/>
        </w:rPr>
        <w:t>כבוד האדם וחירותו קובע בפסקת שמירת הדינים כי</w:t>
      </w:r>
      <w:r>
        <w:rPr>
          <w:rtl/>
        </w:rPr>
        <w:t>: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5"/>
      </w:r>
    </w:p>
    <w:p w:rsidR="00B406C5" w:rsidP="00546EC0">
      <w:pPr>
        <w:spacing w:line="280" w:lineRule="atLeast"/>
        <w:ind w:left="567" w:right="567"/>
        <w:jc w:val="both"/>
        <w:rPr>
          <w:rtl/>
        </w:rPr>
      </w:pP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אין בחוק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יסוד זה כדי לפגוע בתקפו של דין שהיה קיים ערב תחילתו של חוק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היסוד</w:t>
      </w:r>
      <w:r>
        <w:rPr>
          <w:rtl/>
        </w:rPr>
        <w:t xml:space="preserve">" </w:t>
      </w:r>
    </w:p>
    <w:p w:rsidR="00B406C5" w:rsidP="00546EC0">
      <w:pPr>
        <w:spacing w:line="280" w:lineRule="atLeast"/>
        <w:jc w:val="both"/>
      </w:pPr>
      <w:r w:rsidRPr="00B406C5">
        <w:rPr>
          <w:rFonts w:ascii="Tahoma" w:eastAsia="David" w:hAnsi="Tahoma" w:cs="Tahoma"/>
          <w:sz w:val="18"/>
          <w:szCs w:val="18"/>
          <w:rtl/>
        </w:rPr>
        <w:t>כבילה זו אינה חלה על המחוקק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שבידו הכוח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לדעתי גם החובה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לתקן את החקיקה הישנה באופן שתעלה בקנה אחד עם הזכויות החוקתיות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צר לי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כי בעניין זה נעשה רק מעט לתיקון המצב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וזאת חרף הוראותיו של 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חוק</w:t>
      </w:r>
      <w:r>
        <w:rPr>
          <w:b/>
          <w:bCs/>
          <w:rtl/>
        </w:rPr>
        <w:t>-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יסוד</w:t>
      </w:r>
      <w:r>
        <w:rPr>
          <w:b/>
          <w:bCs/>
          <w:rtl/>
        </w:rPr>
        <w:t xml:space="preserve">: 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כבוד האדם וחירותו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הקובע כי 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כל רשות מרשויות השלטון חייבת לכבד את הזכויות שלפי חוק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יסוד זה</w:t>
      </w:r>
      <w:r>
        <w:rPr>
          <w:rtl/>
        </w:rPr>
        <w:t>". "</w:t>
      </w:r>
      <w:r w:rsidRPr="00B406C5">
        <w:rPr>
          <w:rFonts w:ascii="Tahoma" w:eastAsia="David" w:hAnsi="Tahoma" w:cs="Tahoma"/>
          <w:sz w:val="18"/>
          <w:szCs w:val="18"/>
          <w:rtl/>
        </w:rPr>
        <w:t>כל רשות מרשויות השלטון</w:t>
      </w:r>
      <w:r>
        <w:rPr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>כוללת בראש ובראשונה את הכנסת עצמה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פסקת שמירת הדינים אינה משחררת את הכנסת מחובתה זו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אם כי היא מונעת כל סעד שיפוטי ישיר בעניין</w:t>
      </w:r>
      <w:r>
        <w:rPr>
          <w:rtl/>
        </w:rPr>
        <w:t>.</w:t>
      </w:r>
    </w:p>
    <w:p w:rsidR="00443948" w:rsidP="00546EC0">
      <w:pPr>
        <w:spacing w:line="280" w:lineRule="atLeast"/>
        <w:jc w:val="both"/>
        <w:rPr>
          <w:rtl/>
        </w:rPr>
      </w:pPr>
    </w:p>
    <w:p w:rsidR="00B406C5" w:rsidP="00382017">
      <w:pPr>
        <w:pStyle w:val="KOT5"/>
        <w:rPr>
          <w:rtl/>
        </w:rPr>
      </w:pPr>
      <w:r w:rsidRPr="00B406C5">
        <w:rPr>
          <w:rtl/>
        </w:rPr>
        <w:t>פגיעות פיזיות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 xml:space="preserve">רבות הן הפגיעות הפיזיות בזכויות </w:t>
      </w:r>
      <w:r w:rsidR="00A131D7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>חוקתיות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בעניין זה קובע חוק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יסוד</w:t>
      </w:r>
      <w:r>
        <w:rPr>
          <w:rtl/>
        </w:rPr>
        <w:t xml:space="preserve">: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כבוד האדם וחירותו בסעיף </w:t>
      </w:r>
      <w:r>
        <w:rPr>
          <w:rtl/>
        </w:rPr>
        <w:t xml:space="preserve">11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כי 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כל רשות מרשויות השלטון חייבת לכבד את הזכויות שלפי חוק</w:t>
      </w:r>
      <w:r>
        <w:rPr>
          <w:rtl/>
        </w:rPr>
        <w:t>-</w:t>
      </w:r>
      <w:r w:rsidRPr="00B406C5">
        <w:rPr>
          <w:rFonts w:ascii="Tahoma" w:eastAsia="David" w:hAnsi="Tahoma" w:cs="Tahoma"/>
          <w:sz w:val="18"/>
          <w:szCs w:val="18"/>
          <w:rtl/>
        </w:rPr>
        <w:t>יסוד זה</w:t>
      </w:r>
      <w:r>
        <w:rPr>
          <w:rtl/>
        </w:rPr>
        <w:t>". "</w:t>
      </w:r>
      <w:r w:rsidRPr="00B406C5">
        <w:rPr>
          <w:rFonts w:ascii="Tahoma" w:eastAsia="David" w:hAnsi="Tahoma" w:cs="Tahoma"/>
          <w:sz w:val="18"/>
          <w:szCs w:val="18"/>
          <w:rtl/>
        </w:rPr>
        <w:t>כל רשות מרשויות השלטון</w:t>
      </w:r>
      <w:r>
        <w:rPr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>כוללת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כפי שראינו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את הרשות המחוקקת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היא כוללת גם רשויות נוספות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ובהן גם הרשות המבצעת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הרשות השופטת ורשויות מקומיות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כל רשות סטטוטורית היא רשות שלטונית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מבקר המדינה הוא בוודאי </w:t>
      </w: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אחת מרשויות השלטון</w:t>
      </w:r>
      <w:r>
        <w:rPr>
          <w:rtl/>
        </w:rPr>
        <w:t>".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 xml:space="preserve">המדינה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והזרוע המשטרתית שלה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חייבות כמובן לקיים מערך שיבטיח הגנה על הזכויות החוקתיות של הפרט כנגד רשויות השלטון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בית המשפט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במסגרת הביקורת השיפוטית על פעולות הרשות המבצעת חייב כמובן לדון בטענות שעניינן פגיעה בזכותו החוקתית של האדם והאזרח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מבקר המדינה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הן בתפקיד הביקורת הכללית והן כנציב תלונות הציבור </w:t>
      </w:r>
      <w:r>
        <w:rPr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חייב להבטיח את כיבודן של הזכויות החוקתיות</w:t>
      </w:r>
      <w:r>
        <w:rPr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אכן</w:t>
      </w:r>
      <w:r>
        <w:rPr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הוראת סעיף </w:t>
      </w:r>
      <w:r>
        <w:rPr>
          <w:rtl/>
        </w:rPr>
        <w:t>2(</w:t>
      </w:r>
      <w:r w:rsidRPr="00B406C5">
        <w:rPr>
          <w:rFonts w:ascii="Tahoma" w:eastAsia="David" w:hAnsi="Tahoma" w:cs="Tahoma"/>
          <w:sz w:val="18"/>
          <w:szCs w:val="18"/>
          <w:rtl/>
        </w:rPr>
        <w:t>ב</w:t>
      </w:r>
      <w:r>
        <w:rPr>
          <w:rtl/>
        </w:rPr>
        <w:t xml:space="preserve">) </w:t>
      </w:r>
      <w:r w:rsidRPr="008B4DB8">
        <w:rPr>
          <w:rFonts w:ascii="Tahoma" w:eastAsia="David" w:hAnsi="Tahoma" w:cs="Tahoma"/>
          <w:b/>
          <w:bCs/>
          <w:sz w:val="18"/>
          <w:szCs w:val="18"/>
          <w:rtl/>
        </w:rPr>
        <w:t>ל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חוק</w:t>
      </w:r>
      <w:r>
        <w:rPr>
          <w:b/>
          <w:bCs/>
          <w:rtl/>
        </w:rPr>
        <w:t>-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יסוד</w:t>
      </w:r>
      <w:r>
        <w:rPr>
          <w:b/>
          <w:bCs/>
          <w:rtl/>
        </w:rPr>
        <w:t xml:space="preserve">: 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מבקר המדינה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קובעת כי</w:t>
      </w:r>
      <w:r>
        <w:rPr>
          <w:rtl/>
        </w:rPr>
        <w:t xml:space="preserve">: </w:t>
      </w:r>
    </w:p>
    <w:p w:rsidR="00B406C5" w:rsidP="00546EC0">
      <w:pPr>
        <w:spacing w:line="280" w:lineRule="exact"/>
        <w:ind w:left="567" w:right="567"/>
        <w:jc w:val="both"/>
        <w:rPr>
          <w:rtl/>
        </w:rPr>
      </w:pPr>
      <w:r>
        <w:rPr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מבקר המדינה יבחן את חוקיות הפעולות </w:t>
      </w:r>
      <w:r>
        <w:rPr>
          <w:rtl/>
        </w:rPr>
        <w:t xml:space="preserve">[...] </w:t>
      </w:r>
      <w:r w:rsidRPr="00B406C5">
        <w:rPr>
          <w:rFonts w:ascii="Tahoma" w:eastAsia="David" w:hAnsi="Tahoma" w:cs="Tahoma"/>
          <w:sz w:val="18"/>
          <w:szCs w:val="18"/>
          <w:rtl/>
        </w:rPr>
        <w:t>של הגופים המבוקרים</w:t>
      </w:r>
      <w:r>
        <w:rPr>
          <w:rtl/>
        </w:rPr>
        <w:t>".</w:t>
      </w:r>
    </w:p>
    <w:p w:rsidR="00B406C5" w:rsidP="00546EC0">
      <w:pPr>
        <w:spacing w:line="280" w:lineRule="exact"/>
        <w:jc w:val="both"/>
        <w:rPr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הוראה זו מסמיכה את מבקר המדינה לבחון אם הרשות המבצעת מגנה כראוי על הזכויות החוקתיות של הפרט כנגד המדינה</w:t>
      </w:r>
      <w:r>
        <w:rPr>
          <w:rtl/>
        </w:rPr>
        <w:t>.</w:t>
      </w:r>
    </w:p>
    <w:p w:rsidR="00B406C5" w:rsidRPr="00B406C5" w:rsidP="00A131D7">
      <w:pPr>
        <w:spacing w:line="280" w:lineRule="exact"/>
        <w:jc w:val="both"/>
        <w:rPr>
          <w:rFonts w:ascii="Tahoma" w:hAnsi="Tahoma" w:cs="Tahoma"/>
          <w:sz w:val="18"/>
          <w:szCs w:val="18"/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לדעתי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בכך לא די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במדינות דמוקרטיות חוקתיות רבות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כגון</w:t>
      </w:r>
      <w:r w:rsidR="00A131D7">
        <w:rPr>
          <w:rFonts w:ascii="Tahoma" w:eastAsia="David" w:hAnsi="Tahoma" w:cs="Tahoma" w:hint="cs"/>
          <w:sz w:val="18"/>
          <w:szCs w:val="18"/>
          <w:rtl/>
        </w:rPr>
        <w:t>,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אוסטרליה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ארצות הברית </w:t>
      </w:r>
      <w:r w:rsidRPr="00B406C5">
        <w:rPr>
          <w:rFonts w:ascii="Tahoma" w:hAnsi="Tahoma" w:cs="Tahoma"/>
          <w:sz w:val="18"/>
          <w:szCs w:val="18"/>
          <w:rtl/>
        </w:rPr>
        <w:t>(</w:t>
      </w:r>
      <w:r w:rsidRPr="00B406C5">
        <w:rPr>
          <w:rFonts w:ascii="Tahoma" w:eastAsia="David" w:hAnsi="Tahoma" w:cs="Tahoma"/>
          <w:sz w:val="18"/>
          <w:szCs w:val="18"/>
          <w:rtl/>
        </w:rPr>
        <w:t>לעניין הזכות לשוויון בלבד ובמספר מדינות כגון מסצ</w:t>
      </w:r>
      <w:r w:rsidRPr="00B406C5">
        <w:rPr>
          <w:rFonts w:ascii="Tahoma" w:hAnsi="Tahoma" w:cs="Tahoma"/>
          <w:sz w:val="18"/>
          <w:szCs w:val="18"/>
          <w:rtl/>
        </w:rPr>
        <w:t>'</w:t>
      </w:r>
      <w:r w:rsidRPr="00B406C5">
        <w:rPr>
          <w:rFonts w:ascii="Tahoma" w:eastAsia="David" w:hAnsi="Tahoma" w:cs="Tahoma"/>
          <w:sz w:val="18"/>
          <w:szCs w:val="18"/>
          <w:rtl/>
        </w:rPr>
        <w:t>וסטס</w:t>
      </w:r>
      <w:r w:rsidRPr="00B406C5">
        <w:rPr>
          <w:rFonts w:ascii="Tahoma" w:hAnsi="Tahoma" w:cs="Tahoma"/>
          <w:sz w:val="18"/>
          <w:szCs w:val="18"/>
          <w:rtl/>
        </w:rPr>
        <w:t xml:space="preserve">), </w:t>
      </w:r>
      <w:r w:rsidRPr="00B406C5">
        <w:rPr>
          <w:rFonts w:ascii="Tahoma" w:eastAsia="David" w:hAnsi="Tahoma" w:cs="Tahoma"/>
          <w:sz w:val="18"/>
          <w:szCs w:val="18"/>
          <w:rtl/>
        </w:rPr>
        <w:t>אנגליה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דנמרק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דרום אפריקה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ניו זילנד וקנדה </w:t>
      </w:r>
      <w:r w:rsidRPr="00B406C5">
        <w:rPr>
          <w:rFonts w:ascii="Tahoma" w:hAnsi="Tahoma" w:cs="Tahoma"/>
          <w:sz w:val="18"/>
          <w:szCs w:val="18"/>
          <w:rtl/>
        </w:rPr>
        <w:t>(</w:t>
      </w:r>
      <w:r w:rsidRPr="00B406C5">
        <w:rPr>
          <w:rFonts w:ascii="Tahoma" w:eastAsia="David" w:hAnsi="Tahoma" w:cs="Tahoma"/>
          <w:sz w:val="18"/>
          <w:szCs w:val="18"/>
          <w:rtl/>
        </w:rPr>
        <w:t>הן במישור הפדרלי והן במישור הפרובינציאלי</w:t>
      </w:r>
      <w:r w:rsidRPr="00B406C5">
        <w:rPr>
          <w:rFonts w:ascii="Tahoma" w:hAnsi="Tahoma" w:cs="Tahoma"/>
          <w:sz w:val="18"/>
          <w:szCs w:val="18"/>
          <w:rtl/>
        </w:rPr>
        <w:t xml:space="preserve">), </w:t>
      </w:r>
      <w:r w:rsidRPr="00B406C5">
        <w:rPr>
          <w:rFonts w:ascii="Tahoma" w:eastAsia="David" w:hAnsi="Tahoma" w:cs="Tahoma"/>
          <w:sz w:val="18"/>
          <w:szCs w:val="18"/>
          <w:rtl/>
        </w:rPr>
        <w:t>מקובל המוסד של ה</w:t>
      </w:r>
      <w:r w:rsidRPr="00B406C5">
        <w:rPr>
          <w:rFonts w:ascii="Tahoma" w:hAnsi="Tahoma" w:cs="Tahoma"/>
          <w:sz w:val="18"/>
          <w:szCs w:val="18"/>
          <w:rtl/>
        </w:rPr>
        <w:t>-</w:t>
      </w:r>
      <w:r w:rsidRPr="00B406C5">
        <w:rPr>
          <w:rFonts w:ascii="Tahoma" w:hAnsi="Tahoma" w:cs="Tahoma"/>
          <w:sz w:val="18"/>
          <w:szCs w:val="18"/>
        </w:rPr>
        <w:t>Human Rights Commission</w:t>
      </w:r>
      <w:r w:rsidRPr="00B406C5">
        <w:rPr>
          <w:rFonts w:ascii="Tahoma" w:hAnsi="Tahoma" w:cs="Tahoma"/>
          <w:sz w:val="18"/>
          <w:szCs w:val="18"/>
          <w:rtl/>
        </w:rPr>
        <w:t xml:space="preserve"> (</w:t>
      </w:r>
      <w:r w:rsidRPr="00B406C5">
        <w:rPr>
          <w:rFonts w:ascii="Tahoma" w:eastAsia="David" w:hAnsi="Tahoma" w:cs="Tahoma"/>
          <w:sz w:val="18"/>
          <w:szCs w:val="18"/>
          <w:rtl/>
        </w:rPr>
        <w:t>נציבות זכויות האדם</w:t>
      </w:r>
      <w:r w:rsidRPr="00B406C5">
        <w:rPr>
          <w:rFonts w:ascii="Tahoma" w:hAnsi="Tahoma" w:cs="Tahoma"/>
          <w:sz w:val="18"/>
          <w:szCs w:val="18"/>
          <w:rtl/>
        </w:rPr>
        <w:t>).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6"/>
      </w:r>
      <w:r w:rsidRPr="00B406C5">
        <w:rPr>
          <w:rFonts w:ascii="Tahoma" w:hAnsi="Tahoma" w:cs="Tahoma"/>
          <w:sz w:val="18"/>
          <w:szCs w:val="18"/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נציבות זו חשובה בהגנה על זכויות האדם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היא עוסקת בפעולות שונות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אשר בית המשפט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המגן העיקרי על זכויות האדם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אינו יכול לעסוק בהם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כוונתי ליוזמות </w:t>
      </w:r>
      <w:r w:rsidR="00A131D7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>דיונים על הפרת זכויות האדם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קידום ההגנה על זכויות האדם על ידי פעולות שאינן משפטיות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כגון חינוך והסברה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איסוף מידע והבעת עמדות ציבוריות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עוד בתקופת כהונתו של השר יוסי ביילין כשר המשפטים עלה הרעיון להקים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בדרך החקיקה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נציבות לזכויות האדם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על פי בקשת השר ביילין נערך במרכז </w:t>
      </w:r>
      <w:r w:rsidRPr="00B406C5">
        <w:rPr>
          <w:rFonts w:ascii="Tahoma" w:eastAsia="David" w:hAnsi="Tahoma" w:cs="Tahoma"/>
          <w:sz w:val="18"/>
          <w:szCs w:val="18"/>
          <w:rtl/>
        </w:rPr>
        <w:t>מינרבה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באוניברסיטה העברית ב</w:t>
      </w:r>
      <w:r w:rsidRPr="00B406C5">
        <w:rPr>
          <w:rFonts w:ascii="Tahoma" w:hAnsi="Tahoma" w:cs="Tahoma"/>
          <w:sz w:val="18"/>
          <w:szCs w:val="18"/>
          <w:rtl/>
        </w:rPr>
        <w:t xml:space="preserve">2000–2001 </w:t>
      </w:r>
      <w:r w:rsidRPr="00B406C5">
        <w:rPr>
          <w:rFonts w:ascii="Tahoma" w:eastAsia="David" w:hAnsi="Tahoma" w:cs="Tahoma"/>
          <w:sz w:val="18"/>
          <w:szCs w:val="18"/>
          <w:rtl/>
        </w:rPr>
        <w:t>מחקר מקיף וחשוב בעניין זה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ואף הוכנה הצעת חוק</w:t>
      </w:r>
      <w:r w:rsidRPr="00B406C5">
        <w:rPr>
          <w:rFonts w:ascii="Tahoma" w:hAnsi="Tahoma" w:cs="Tahoma"/>
          <w:sz w:val="18"/>
          <w:szCs w:val="18"/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7"/>
      </w:r>
      <w:r w:rsidRPr="00B406C5">
        <w:rPr>
          <w:rFonts w:ascii="Tahoma" w:hAnsi="Tahoma" w:cs="Tahoma"/>
          <w:sz w:val="18"/>
          <w:szCs w:val="18"/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למרבה הצער ההצעה לא קודמה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חסרונו של מוסד זה מורגש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עד כמה שיש מחלוקת בראייתו כרשות סטטוטורית העומדת על רגליה היא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ניתן לראותו כחלק מביקורת המדינה</w:t>
      </w:r>
      <w:r w:rsidRPr="00B406C5">
        <w:rPr>
          <w:rFonts w:ascii="Tahoma" w:hAnsi="Tahoma" w:cs="Tahoma"/>
          <w:sz w:val="18"/>
          <w:szCs w:val="18"/>
          <w:rtl/>
        </w:rPr>
        <w:t>.</w:t>
      </w:r>
    </w:p>
    <w:p w:rsidR="00B406C5" w:rsidRPr="00B406C5" w:rsidP="009B7036">
      <w:pPr>
        <w:spacing w:line="280" w:lineRule="exact"/>
        <w:jc w:val="both"/>
        <w:rPr>
          <w:rFonts w:ascii="Tahoma" w:hAnsi="Tahoma" w:cs="Tahoma"/>
          <w:sz w:val="18"/>
          <w:szCs w:val="18"/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 xml:space="preserve">ראוי הוא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כל עוד אינה מצויה חקיקה מיוחדת בעניין ה</w:t>
      </w:r>
      <w:r w:rsidRPr="00B406C5">
        <w:rPr>
          <w:rFonts w:ascii="Tahoma" w:hAnsi="Tahoma" w:cs="Tahoma"/>
          <w:sz w:val="18"/>
          <w:szCs w:val="18"/>
          <w:rtl/>
        </w:rPr>
        <w:t>-</w:t>
      </w:r>
      <w:r w:rsidRPr="00B406C5">
        <w:rPr>
          <w:rFonts w:ascii="Tahoma" w:hAnsi="Tahoma" w:cs="Tahoma"/>
          <w:sz w:val="18"/>
          <w:szCs w:val="18"/>
        </w:rPr>
        <w:t>Human Rights Commission</w:t>
      </w:r>
      <w:r w:rsidRPr="00B406C5">
        <w:rPr>
          <w:rFonts w:ascii="Tahoma" w:hAnsi="Tahoma" w:cs="Tahoma"/>
          <w:sz w:val="18"/>
          <w:szCs w:val="18"/>
          <w:rtl/>
        </w:rPr>
        <w:t xml:space="preserve"> 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כי מבקר המדינה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הן בתפקידיו הכללים והן כנציב תלונות הציבור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יראה זאת כאחד מתפקידיו להיות </w:t>
      </w:r>
      <w:r w:rsidRPr="00B406C5">
        <w:rPr>
          <w:rFonts w:ascii="Tahoma" w:eastAsia="David" w:hAnsi="Tahoma" w:cs="Tahoma"/>
          <w:b/>
          <w:bCs/>
          <w:sz w:val="18"/>
          <w:szCs w:val="18"/>
          <w:rtl/>
        </w:rPr>
        <w:t>נציב זכויות האדם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אכן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מתפקידו של מבקר המדינה הוא לבדוק את פעולות הגופים המבוקרים בתחום הפגיעות בזכויות החוקתיות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לעניין זה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דין פגיעות בזכויות חוקתיות </w:t>
      </w:r>
      <w:r w:rsidRPr="00B406C5">
        <w:rPr>
          <w:rFonts w:ascii="Tahoma" w:hAnsi="Tahoma" w:cs="Tahoma"/>
          <w:sz w:val="18"/>
          <w:szCs w:val="18"/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אזרחיות</w:t>
      </w:r>
      <w:r w:rsidRPr="00B406C5">
        <w:rPr>
          <w:rFonts w:ascii="Tahoma" w:hAnsi="Tahoma" w:cs="Tahoma"/>
          <w:sz w:val="18"/>
          <w:szCs w:val="18"/>
          <w:rtl/>
        </w:rPr>
        <w:t xml:space="preserve">" 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כגון חופש ביטוי ושוויון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כדין פגיעה בזכויות חוקתיות </w:t>
      </w:r>
      <w:r w:rsidRPr="00B406C5">
        <w:rPr>
          <w:rFonts w:ascii="Tahoma" w:hAnsi="Tahoma" w:cs="Tahoma"/>
          <w:sz w:val="18"/>
          <w:szCs w:val="18"/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חברתיות</w:t>
      </w:r>
      <w:r w:rsidRPr="00B406C5">
        <w:rPr>
          <w:rFonts w:ascii="Tahoma" w:hAnsi="Tahoma" w:cs="Tahoma"/>
          <w:sz w:val="18"/>
          <w:szCs w:val="18"/>
          <w:rtl/>
        </w:rPr>
        <w:t xml:space="preserve">" – </w:t>
      </w:r>
      <w:r w:rsidRPr="00B406C5">
        <w:rPr>
          <w:rFonts w:ascii="Tahoma" w:eastAsia="David" w:hAnsi="Tahoma" w:cs="Tahoma"/>
          <w:sz w:val="18"/>
          <w:szCs w:val="18"/>
          <w:rtl/>
        </w:rPr>
        <w:t>כגון</w:t>
      </w:r>
      <w:r w:rsidR="00A131D7">
        <w:rPr>
          <w:rFonts w:ascii="Tahoma" w:eastAsia="David" w:hAnsi="Tahoma" w:cs="Tahoma" w:hint="cs"/>
          <w:sz w:val="18"/>
          <w:szCs w:val="18"/>
          <w:rtl/>
        </w:rPr>
        <w:t>,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בריאות וחינוך</w:t>
      </w:r>
      <w:r w:rsidRPr="00B406C5">
        <w:rPr>
          <w:rFonts w:ascii="Tahoma" w:hAnsi="Tahoma" w:cs="Tahoma"/>
          <w:sz w:val="18"/>
          <w:szCs w:val="18"/>
          <w:rtl/>
        </w:rPr>
        <w:t>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8"/>
      </w:r>
      <w:r w:rsidRPr="00B406C5">
        <w:rPr>
          <w:rFonts w:ascii="Tahoma" w:hAnsi="Tahoma" w:cs="Tahoma"/>
          <w:sz w:val="18"/>
          <w:szCs w:val="18"/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אכן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לכל זכות חוקתית היבט אזרחי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הפגיעות בהן מדובר ה</w:t>
      </w:r>
      <w:r w:rsidR="009B7036">
        <w:rPr>
          <w:rFonts w:ascii="Tahoma" w:eastAsia="David" w:hAnsi="Tahoma" w:cs="Tahoma" w:hint="cs"/>
          <w:sz w:val="18"/>
          <w:szCs w:val="18"/>
          <w:rtl/>
        </w:rPr>
        <w:t xml:space="preserve">ינן </w:t>
      </w:r>
      <w:r w:rsidR="00A131D7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>פגיעות המתרחשות על ידי פעילות יתר של המדינה</w:t>
      </w:r>
      <w:r w:rsidR="00A131D7">
        <w:rPr>
          <w:rFonts w:ascii="Tahoma" w:eastAsia="David" w:hAnsi="Tahoma" w:cs="Tahoma" w:hint="cs"/>
          <w:sz w:val="18"/>
          <w:szCs w:val="18"/>
          <w:rtl/>
        </w:rPr>
        <w:t>,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שיש בה כדי לפגוע בזכויות חוקתיות </w:t>
      </w:r>
      <w:r w:rsidRPr="00B406C5">
        <w:rPr>
          <w:rFonts w:ascii="Tahoma" w:hAnsi="Tahoma" w:cs="Tahoma"/>
          <w:sz w:val="18"/>
          <w:szCs w:val="18"/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שליליות</w:t>
      </w:r>
      <w:r w:rsidRPr="00B406C5">
        <w:rPr>
          <w:rFonts w:ascii="Tahoma" w:hAnsi="Tahoma" w:cs="Tahoma"/>
          <w:sz w:val="18"/>
          <w:szCs w:val="18"/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והן </w:t>
      </w:r>
      <w:r w:rsidR="00131E30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פגיעות המתרחשות על ידי פעילות חסר של המדינה שאין בה כדי להגן מספיק על </w:t>
      </w:r>
      <w:r w:rsidR="00131E30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זכויות חוקתיות </w:t>
      </w:r>
      <w:r w:rsidRPr="00B406C5">
        <w:rPr>
          <w:rFonts w:ascii="Tahoma" w:hAnsi="Tahoma" w:cs="Tahoma"/>
          <w:sz w:val="18"/>
          <w:szCs w:val="18"/>
          <w:rtl/>
        </w:rPr>
        <w:t>"</w:t>
      </w:r>
      <w:r w:rsidR="00131E30">
        <w:rPr>
          <w:rFonts w:ascii="Tahoma" w:eastAsia="David" w:hAnsi="Tahoma" w:cs="Tahoma" w:hint="cs"/>
          <w:sz w:val="18"/>
          <w:szCs w:val="18"/>
          <w:rtl/>
        </w:rPr>
        <w:t>ה</w:t>
      </w:r>
      <w:r w:rsidRPr="00B406C5">
        <w:rPr>
          <w:rFonts w:ascii="Tahoma" w:eastAsia="David" w:hAnsi="Tahoma" w:cs="Tahoma"/>
          <w:sz w:val="18"/>
          <w:szCs w:val="18"/>
          <w:rtl/>
        </w:rPr>
        <w:t>חיוביות</w:t>
      </w:r>
      <w:r w:rsidRPr="00B406C5">
        <w:rPr>
          <w:rFonts w:ascii="Tahoma" w:hAnsi="Tahoma" w:cs="Tahoma"/>
          <w:sz w:val="18"/>
          <w:szCs w:val="18"/>
          <w:rtl/>
        </w:rPr>
        <w:t>".</w:t>
      </w:r>
    </w:p>
    <w:p w:rsidR="00B406C5" w:rsidRPr="00B406C5" w:rsidP="00546EC0">
      <w:pPr>
        <w:spacing w:line="280" w:lineRule="exact"/>
        <w:jc w:val="both"/>
        <w:rPr>
          <w:rFonts w:ascii="Tahoma" w:hAnsi="Tahoma" w:cs="Tahoma"/>
          <w:sz w:val="18"/>
          <w:szCs w:val="18"/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פעילות זו של המבקר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אינה באה במקום הפעילות של בתי המשפט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אלא בנוסף לה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היא אינה תחליף לפעילות השיפוטית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ולו בשל כך בלבד שאין היא מחייבת 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אם כי ההנחה צריכה להיות שאי קיום המלצה של מבקר המדינה היא התנהגות בלתי סבירה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אין גם לראות בה </w:t>
      </w:r>
      <w:r w:rsidRPr="00B406C5">
        <w:rPr>
          <w:rFonts w:ascii="Tahoma" w:hAnsi="Tahoma" w:cs="Tahoma"/>
          <w:sz w:val="18"/>
          <w:szCs w:val="18"/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סעד חלופי</w:t>
      </w:r>
      <w:r w:rsidRPr="00B406C5">
        <w:rPr>
          <w:rFonts w:ascii="Tahoma" w:hAnsi="Tahoma" w:cs="Tahoma"/>
          <w:sz w:val="18"/>
          <w:szCs w:val="18"/>
          <w:rtl/>
        </w:rPr>
        <w:t xml:space="preserve">" </w:t>
      </w:r>
      <w:r w:rsidRPr="00B406C5">
        <w:rPr>
          <w:rFonts w:ascii="Tahoma" w:eastAsia="David" w:hAnsi="Tahoma" w:cs="Tahoma"/>
          <w:sz w:val="18"/>
          <w:szCs w:val="18"/>
          <w:rtl/>
        </w:rPr>
        <w:t>שיש למצותו בטרם תהיה פניה לבית המשפט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פעולתו של המבקר בתחום זכויות האדם היא חשובה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שכן פריסתה רחבה יותר מהפעילות השיפוטית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בית המשפט אינו בוחן את היעילות והתבונה של הפעילות השלטונית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אלא רק את סבירותה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לא כן מבקר המדינה המוסמך לבחון את </w:t>
      </w:r>
      <w:r w:rsidRPr="00B406C5">
        <w:rPr>
          <w:rFonts w:ascii="Tahoma" w:hAnsi="Tahoma" w:cs="Tahoma"/>
          <w:sz w:val="18"/>
          <w:szCs w:val="18"/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הניהול התקין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היעילות והחיסכון של הגופים המבוקרים</w:t>
      </w:r>
      <w:r w:rsidRPr="00B406C5">
        <w:rPr>
          <w:rFonts w:ascii="Tahoma" w:hAnsi="Tahoma" w:cs="Tahoma"/>
          <w:sz w:val="18"/>
          <w:szCs w:val="18"/>
          <w:rtl/>
        </w:rPr>
        <w:t>".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29"/>
      </w:r>
      <w:r w:rsidRPr="00B406C5">
        <w:rPr>
          <w:rFonts w:ascii="Tahoma" w:hAnsi="Tahoma" w:cs="Tahoma"/>
          <w:sz w:val="18"/>
          <w:szCs w:val="18"/>
          <w:rtl/>
        </w:rPr>
        <w:t xml:space="preserve"> </w:t>
      </w:r>
      <w:r w:rsidRPr="00B406C5">
        <w:rPr>
          <w:rFonts w:ascii="Tahoma" w:eastAsia="David" w:hAnsi="Tahoma" w:cs="Tahoma"/>
          <w:sz w:val="18"/>
          <w:szCs w:val="18"/>
          <w:rtl/>
        </w:rPr>
        <w:t>במסגרת זו הביקורת של מבקר המדינה רחבה יותר מביקורת של סבירות או מידתיות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גם פעולות שהן במסגרת מתחם הסבירות או מתחם המידתיות יכולות להיות פעולות שאינן נתפסות כיעילות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אכן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חוסר יעילות בהגנה על זכויות האדם נופלת לגדר סמכותו של מבקר המדינה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למותר לציין</w:t>
      </w:r>
      <w:r w:rsidR="00131E30">
        <w:rPr>
          <w:rFonts w:ascii="Tahoma" w:eastAsia="David" w:hAnsi="Tahoma" w:cs="Tahoma" w:hint="cs"/>
          <w:sz w:val="18"/>
          <w:szCs w:val="18"/>
          <w:rtl/>
        </w:rPr>
        <w:t>,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כי ביקורת המדינה אינה חסינה מביקורת שיפוטית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על היחסים בין בית המשפט לביקורת המדינה</w:t>
      </w:r>
      <w:r w:rsidR="00131E30">
        <w:rPr>
          <w:rFonts w:ascii="Tahoma" w:eastAsia="David" w:hAnsi="Tahoma" w:cs="Tahoma" w:hint="cs"/>
          <w:sz w:val="18"/>
          <w:szCs w:val="18"/>
          <w:rtl/>
        </w:rPr>
        <w:t>,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 עמדתי במקום אחר בצייני</w:t>
      </w:r>
      <w:r w:rsidRPr="00B406C5">
        <w:rPr>
          <w:rFonts w:ascii="Tahoma" w:hAnsi="Tahoma" w:cs="Tahoma"/>
          <w:sz w:val="18"/>
          <w:szCs w:val="18"/>
          <w:rtl/>
        </w:rPr>
        <w:t>:</w:t>
      </w:r>
      <w:r>
        <w:rPr>
          <w:rStyle w:val="FootnoteReference0"/>
          <w:rFonts w:ascii="Tahoma" w:hAnsi="Tahoma" w:cs="Tahoma"/>
          <w:sz w:val="18"/>
          <w:szCs w:val="18"/>
          <w:rtl/>
        </w:rPr>
        <w:footnoteReference w:id="30"/>
      </w:r>
    </w:p>
    <w:p w:rsidR="00B406C5" w:rsidRPr="00B406C5" w:rsidP="00546EC0">
      <w:pPr>
        <w:spacing w:line="280" w:lineRule="exact"/>
        <w:ind w:left="567" w:right="567"/>
        <w:jc w:val="both"/>
        <w:rPr>
          <w:rFonts w:ascii="Tahoma" w:hAnsi="Tahoma" w:cs="Tahoma"/>
          <w:sz w:val="18"/>
          <w:szCs w:val="18"/>
          <w:rtl/>
        </w:rPr>
      </w:pPr>
      <w:r w:rsidRPr="00B406C5">
        <w:rPr>
          <w:rFonts w:ascii="Tahoma" w:hAnsi="Tahoma" w:cs="Tahoma"/>
          <w:sz w:val="18"/>
          <w:szCs w:val="18"/>
          <w:rtl/>
        </w:rPr>
        <w:t>"</w:t>
      </w:r>
      <w:r w:rsidRPr="00B406C5">
        <w:rPr>
          <w:rFonts w:ascii="Tahoma" w:eastAsia="David" w:hAnsi="Tahoma" w:cs="Tahoma"/>
          <w:sz w:val="18"/>
          <w:szCs w:val="18"/>
          <w:rtl/>
        </w:rPr>
        <w:t>מבקר המדינה בתפקידו כנציב תלונות הציבור דואג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כמו בתי המשפט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לצדק היעיל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כמונו הוא עצמאי בהחלטותיו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ואין עליו מרות זולת מרותו של הדין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מבצע הוא את תפקידו בהגינות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באובייקטיביות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ומתוך תחושת השליחות המוטלת עליו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גם בית המשפט וגם הנציבות דנים בפתרון סכסוכים בין הפרט לרשות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אין בינינו תחרות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עינינו אינה צרה בכם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נהפוך הוא</w:t>
      </w:r>
      <w:r w:rsidRPr="00B406C5">
        <w:rPr>
          <w:rFonts w:ascii="Tahoma" w:hAnsi="Tahoma" w:cs="Tahoma"/>
          <w:sz w:val="18"/>
          <w:szCs w:val="18"/>
          <w:rtl/>
        </w:rPr>
        <w:t xml:space="preserve">: </w:t>
      </w:r>
      <w:r w:rsidRPr="00B406C5">
        <w:rPr>
          <w:rFonts w:ascii="Tahoma" w:eastAsia="David" w:hAnsi="Tahoma" w:cs="Tahoma"/>
          <w:sz w:val="18"/>
          <w:szCs w:val="18"/>
          <w:rtl/>
        </w:rPr>
        <w:t>נשמח אם תעמיקו את הביקורת ותרחיבו אותה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ותפתרו בעיות שללא פתרון מתגלגלות אלינו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שני המוסדות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 xml:space="preserve">בית המשפט והנציבות </w:t>
      </w:r>
      <w:r w:rsidRPr="00B406C5">
        <w:rPr>
          <w:rFonts w:ascii="Tahoma" w:hAnsi="Tahoma" w:cs="Tahoma"/>
          <w:sz w:val="18"/>
          <w:szCs w:val="18"/>
          <w:rtl/>
        </w:rPr>
        <w:t xml:space="preserve">– </w:t>
      </w:r>
      <w:r w:rsidRPr="00B406C5">
        <w:rPr>
          <w:rFonts w:ascii="Tahoma" w:eastAsia="David" w:hAnsi="Tahoma" w:cs="Tahoma"/>
          <w:sz w:val="18"/>
          <w:szCs w:val="18"/>
          <w:rtl/>
        </w:rPr>
        <w:t>פועלים להשלטת החוק</w:t>
      </w:r>
      <w:r w:rsidRPr="00B406C5">
        <w:rPr>
          <w:rFonts w:ascii="Tahoma" w:hAnsi="Tahoma" w:cs="Tahoma"/>
          <w:sz w:val="18"/>
          <w:szCs w:val="18"/>
          <w:rtl/>
        </w:rPr>
        <w:t xml:space="preserve">. </w:t>
      </w:r>
      <w:r w:rsidRPr="00B406C5">
        <w:rPr>
          <w:rFonts w:ascii="Tahoma" w:eastAsia="David" w:hAnsi="Tahoma" w:cs="Tahoma"/>
          <w:sz w:val="18"/>
          <w:szCs w:val="18"/>
          <w:rtl/>
        </w:rPr>
        <w:t>לא תחרות יש בינינו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אלא השלמה</w:t>
      </w:r>
      <w:r w:rsidRPr="00B406C5">
        <w:rPr>
          <w:rFonts w:ascii="Tahoma" w:hAnsi="Tahoma" w:cs="Tahoma"/>
          <w:sz w:val="18"/>
          <w:szCs w:val="18"/>
          <w:rtl/>
        </w:rPr>
        <w:t>".</w:t>
      </w:r>
    </w:p>
    <w:p w:rsidR="00B406C5" w:rsidRPr="00B406C5" w:rsidP="00546EC0">
      <w:pPr>
        <w:spacing w:line="280" w:lineRule="exact"/>
        <w:jc w:val="both"/>
        <w:rPr>
          <w:rFonts w:ascii="Tahoma" w:hAnsi="Tahoma" w:cs="Tahoma"/>
          <w:sz w:val="18"/>
          <w:szCs w:val="18"/>
          <w:rtl/>
        </w:rPr>
      </w:pPr>
      <w:r w:rsidRPr="00B406C5">
        <w:rPr>
          <w:rFonts w:ascii="Tahoma" w:eastAsia="David" w:hAnsi="Tahoma" w:cs="Tahoma"/>
          <w:sz w:val="18"/>
          <w:szCs w:val="18"/>
          <w:rtl/>
        </w:rPr>
        <w:t>אכן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כל המרבה בהגנה על זכויות האדם הרי זה משובח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שכן זאת יש לזכור</w:t>
      </w:r>
      <w:r w:rsidRPr="00B406C5">
        <w:rPr>
          <w:rFonts w:ascii="Tahoma" w:hAnsi="Tahoma" w:cs="Tahoma"/>
          <w:sz w:val="18"/>
          <w:szCs w:val="18"/>
          <w:rtl/>
        </w:rPr>
        <w:t xml:space="preserve">: </w:t>
      </w:r>
      <w:r w:rsidRPr="00B406C5">
        <w:rPr>
          <w:rFonts w:ascii="Tahoma" w:eastAsia="David" w:hAnsi="Tahoma" w:cs="Tahoma"/>
          <w:sz w:val="18"/>
          <w:szCs w:val="18"/>
          <w:rtl/>
        </w:rPr>
        <w:t>בלי זכויות אדם אין דמוקרטיה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ועל הדמוקרטיה על כולנו להגן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שכן אם לא נגן על הדמוקרטיה</w:t>
      </w:r>
      <w:r w:rsidRPr="00B406C5">
        <w:rPr>
          <w:rFonts w:ascii="Tahoma" w:hAnsi="Tahoma" w:cs="Tahoma"/>
          <w:sz w:val="18"/>
          <w:szCs w:val="18"/>
          <w:rtl/>
        </w:rPr>
        <w:t xml:space="preserve">, </w:t>
      </w:r>
      <w:r w:rsidRPr="00B406C5">
        <w:rPr>
          <w:rFonts w:ascii="Tahoma" w:eastAsia="David" w:hAnsi="Tahoma" w:cs="Tahoma"/>
          <w:sz w:val="18"/>
          <w:szCs w:val="18"/>
          <w:rtl/>
        </w:rPr>
        <w:t>היא לא תגן עלינו</w:t>
      </w:r>
      <w:r w:rsidRPr="00B406C5">
        <w:rPr>
          <w:rFonts w:ascii="Tahoma" w:hAnsi="Tahoma" w:cs="Tahoma"/>
          <w:sz w:val="18"/>
          <w:szCs w:val="18"/>
          <w:rtl/>
        </w:rPr>
        <w:t>.</w:t>
      </w:r>
    </w:p>
    <w:p w:rsidR="00443948" w:rsidP="00546EC0">
      <w:pPr>
        <w:spacing w:line="280" w:lineRule="exact"/>
        <w:ind w:right="360"/>
        <w:rPr>
          <w:sz w:val="20"/>
          <w:szCs w:val="20"/>
          <w:rtl/>
        </w:rPr>
        <w:sectPr w:rsidSect="00443948">
          <w:headerReference w:type="even" r:id="rId6"/>
          <w:headerReference w:type="default" r:id="rId7"/>
          <w:headerReference w:type="first" r:id="rId8"/>
          <w:pgSz w:w="11906" w:h="16838" w:code="9"/>
          <w:pgMar w:top="3402" w:right="2268" w:bottom="2552" w:left="2268" w:header="2268" w:footer="2268" w:gutter="0"/>
          <w:pgNumType w:start="37"/>
          <w:cols w:space="708"/>
          <w:titlePg/>
          <w:bidi/>
          <w:rtlGutter/>
          <w:docGrid w:linePitch="360"/>
        </w:sectPr>
      </w:pPr>
    </w:p>
    <w:p w:rsidR="00B406C5" w:rsidP="00546EC0">
      <w:pPr>
        <w:spacing w:line="280" w:lineRule="exact"/>
        <w:ind w:right="360"/>
        <w:rPr>
          <w:sz w:val="20"/>
          <w:szCs w:val="20"/>
        </w:rPr>
      </w:pPr>
    </w:p>
    <w:sectPr w:rsidSect="00443948">
      <w:headerReference w:type="first" r:id="rId9"/>
      <w:pgSz w:w="11906" w:h="16838" w:code="9"/>
      <w:pgMar w:top="3402" w:right="2268" w:bottom="2552" w:left="2268" w:header="2268" w:footer="226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82DE8" w:rsidRPr="008A007A" w:rsidP="008A007A">
      <w:pPr>
        <w:pStyle w:val="Footer"/>
      </w:pPr>
    </w:p>
  </w:footnote>
  <w:footnote w:type="continuationSeparator" w:id="1">
    <w:p w:rsidR="00182DE8" w:rsidP="00CB3322">
      <w:pPr>
        <w:spacing w:after="0" w:line="240" w:lineRule="auto"/>
      </w:pPr>
      <w:r>
        <w:continuationSeparator/>
      </w:r>
    </w:p>
    <w:p w:rsidR="00182DE8"/>
  </w:footnote>
  <w:footnote w:id="2">
    <w:p w:rsidR="00FF2F6B" w:rsidRPr="00B406C5" w:rsidP="00637472">
      <w:pPr>
        <w:spacing w:after="40" w:line="200" w:lineRule="exact"/>
        <w:ind w:left="397" w:hanging="397"/>
        <w:jc w:val="both"/>
        <w:rPr>
          <w:rStyle w:val="FootnoteReference0"/>
          <w:rFonts w:ascii="Tahoma" w:hAnsi="Tahoma" w:cs="Tahoma"/>
          <w:b/>
          <w:bCs/>
          <w:color w:val="000000"/>
          <w:sz w:val="14"/>
          <w:szCs w:val="14"/>
          <w:vertAlign w:val="baseline"/>
          <w:rtl/>
        </w:rPr>
      </w:pPr>
      <w:r>
        <w:rPr>
          <w:rStyle w:val="FootnoteReference0"/>
          <w:rFonts w:ascii="Tahoma" w:hAnsi="Tahoma" w:cs="Tahoma"/>
          <w:sz w:val="14"/>
          <w:szCs w:val="14"/>
          <w:rtl/>
        </w:rPr>
        <w:t>*</w:t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b/>
          <w:bCs/>
          <w:color w:val="000000"/>
          <w:sz w:val="14"/>
          <w:szCs w:val="14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הרצאה במסגרת יום עיון בנושא 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מוסד מבקר המדינה ונציב תלונות הציבור בסביבה חברתית משתנה</w:t>
      </w:r>
      <w:r w:rsidRPr="00B406C5">
        <w:rPr>
          <w:rFonts w:ascii="Tahoma" w:hAnsi="Tahoma" w:cs="Tahoma"/>
          <w:sz w:val="14"/>
          <w:szCs w:val="14"/>
          <w:rtl/>
        </w:rPr>
        <w:t xml:space="preserve">", </w:t>
      </w:r>
      <w:r w:rsidRPr="00B406C5">
        <w:rPr>
          <w:rFonts w:ascii="Tahoma" w:eastAsia="David" w:hAnsi="Tahoma" w:cs="Tahoma"/>
          <w:sz w:val="14"/>
          <w:szCs w:val="14"/>
          <w:rtl/>
        </w:rPr>
        <w:t>המרכז הבינתחומי הרצליה</w:t>
      </w:r>
      <w:r w:rsidRPr="00B406C5">
        <w:rPr>
          <w:rFonts w:ascii="Tahoma" w:hAnsi="Tahoma" w:cs="Tahoma"/>
          <w:sz w:val="14"/>
          <w:szCs w:val="14"/>
          <w:rtl/>
        </w:rPr>
        <w:t xml:space="preserve">, 11.7.2013. </w:t>
      </w:r>
      <w:r w:rsidRPr="00B406C5">
        <w:rPr>
          <w:rFonts w:ascii="Tahoma" w:eastAsia="David" w:hAnsi="Tahoma" w:cs="Tahoma"/>
          <w:sz w:val="14"/>
          <w:szCs w:val="14"/>
          <w:rtl/>
        </w:rPr>
        <w:t>ההרצאה תורגמה לאנגלית ופורסמה ב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hAnsi="Tahoma" w:cs="Tahoma"/>
          <w:smallCaps/>
          <w:sz w:val="14"/>
          <w:szCs w:val="14"/>
        </w:rPr>
        <w:t>Office of the State Comptroller and Ombudsman of Israel, State Audit and Human Rights 6 (2014)</w:t>
      </w:r>
      <w:r w:rsidRPr="00B406C5">
        <w:rPr>
          <w:rFonts w:ascii="Tahoma" w:hAnsi="Tahoma" w:cs="Tahoma"/>
          <w:smallCaps/>
          <w:sz w:val="14"/>
          <w:szCs w:val="14"/>
          <w:rtl/>
        </w:rPr>
        <w:t>.</w:t>
      </w:r>
      <w:r w:rsidR="00801194">
        <w:rPr>
          <w:rFonts w:ascii="Tahoma" w:hAnsi="Tahoma" w:cs="Tahoma" w:hint="cs"/>
          <w:b/>
          <w:bCs/>
          <w:color w:val="000000"/>
          <w:sz w:val="14"/>
          <w:szCs w:val="14"/>
          <w:rtl/>
        </w:rPr>
        <w:t xml:space="preserve"> </w:t>
      </w:r>
      <w:r w:rsidRPr="00801194" w:rsidR="00801194">
        <w:rPr>
          <w:rFonts w:ascii="Tahoma" w:hAnsi="Tahoma" w:cs="Tahoma" w:hint="cs"/>
          <w:color w:val="000000"/>
          <w:sz w:val="14"/>
          <w:szCs w:val="14"/>
          <w:rtl/>
        </w:rPr>
        <w:t>הדברים פורסמו גם</w:t>
      </w:r>
      <w:r w:rsidR="00801194">
        <w:rPr>
          <w:rFonts w:ascii="Tahoma" w:hAnsi="Tahoma" w:cs="Tahoma" w:hint="cs"/>
          <w:b/>
          <w:bCs/>
          <w:color w:val="000000"/>
          <w:sz w:val="14"/>
          <w:szCs w:val="14"/>
          <w:rtl/>
        </w:rPr>
        <w:t xml:space="preserve"> </w:t>
      </w:r>
      <w:r w:rsidRPr="00801194" w:rsidR="00801194">
        <w:rPr>
          <w:rFonts w:ascii="Tahoma" w:hAnsi="Tahoma" w:cs="Tahoma" w:hint="cs"/>
          <w:color w:val="000000"/>
          <w:sz w:val="14"/>
          <w:szCs w:val="14"/>
          <w:rtl/>
        </w:rPr>
        <w:t>ב</w:t>
      </w:r>
      <w:r w:rsidRPr="00ED7E4B" w:rsidR="00801194">
        <w:rPr>
          <w:rFonts w:ascii="Tahoma" w:hAnsi="Tahoma" w:cs="Tahoma" w:hint="cs"/>
          <w:b/>
          <w:bCs/>
          <w:color w:val="000000"/>
          <w:sz w:val="14"/>
          <w:szCs w:val="14"/>
          <w:rtl/>
        </w:rPr>
        <w:t xml:space="preserve">מבחר כתבים </w:t>
      </w:r>
      <w:r w:rsidRPr="00801194" w:rsidR="00801194">
        <w:rPr>
          <w:rFonts w:ascii="Tahoma" w:hAnsi="Tahoma" w:cs="Tahoma" w:hint="cs"/>
          <w:color w:val="000000"/>
          <w:sz w:val="14"/>
          <w:szCs w:val="14"/>
          <w:rtl/>
        </w:rPr>
        <w:t>כרך ג - עיונים חוקתיים 81 (2017).</w:t>
      </w:r>
      <w:r w:rsidR="00ED7E4B">
        <w:rPr>
          <w:rFonts w:ascii="Tahoma" w:hAnsi="Tahoma" w:cs="Tahoma" w:hint="cs"/>
          <w:b/>
          <w:bCs/>
          <w:color w:val="000000"/>
          <w:sz w:val="14"/>
          <w:szCs w:val="14"/>
          <w:rtl/>
        </w:rPr>
        <w:t xml:space="preserve"> </w:t>
      </w:r>
    </w:p>
  </w:footnote>
  <w:footnote w:id="3">
    <w:p w:rsidR="00FF2F6B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b/>
          <w:bCs/>
          <w:color w:val="000000"/>
          <w:sz w:val="14"/>
          <w:szCs w:val="14"/>
          <w:rtl/>
        </w:rPr>
      </w:pPr>
      <w:r>
        <w:rPr>
          <w:rStyle w:val="FootnoteReference0"/>
          <w:rFonts w:ascii="Tahoma" w:hAnsi="Tahoma" w:cs="Tahoma"/>
          <w:sz w:val="14"/>
          <w:szCs w:val="14"/>
          <w:rtl/>
        </w:rPr>
        <w:t>**</w:t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נשיא בית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המשפט העליון בדימוס</w:t>
      </w:r>
      <w:r w:rsidRPr="00B406C5">
        <w:rPr>
          <w:rFonts w:ascii="Tahoma" w:hAnsi="Tahoma" w:cs="Tahoma"/>
          <w:sz w:val="14"/>
          <w:szCs w:val="14"/>
          <w:rtl/>
        </w:rPr>
        <w:t xml:space="preserve">; </w:t>
      </w:r>
      <w:r w:rsidRPr="00B406C5">
        <w:rPr>
          <w:rFonts w:ascii="Tahoma" w:eastAsia="David" w:hAnsi="Tahoma" w:cs="Tahoma"/>
          <w:sz w:val="14"/>
          <w:szCs w:val="14"/>
          <w:rtl/>
        </w:rPr>
        <w:t>בית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ספר </w:t>
      </w:r>
      <w:r w:rsidRPr="00B406C5">
        <w:rPr>
          <w:rFonts w:ascii="Tahoma" w:eastAsia="David" w:hAnsi="Tahoma" w:cs="Tahoma"/>
          <w:sz w:val="14"/>
          <w:szCs w:val="14"/>
          <w:rtl/>
        </w:rPr>
        <w:t>רדזינר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למשפטים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המרכז הבינתחומי הרצליה</w:t>
      </w:r>
      <w:r w:rsidRPr="00B406C5">
        <w:rPr>
          <w:rFonts w:ascii="Tahoma" w:hAnsi="Tahoma" w:cs="Tahoma"/>
          <w:sz w:val="14"/>
          <w:szCs w:val="14"/>
          <w:rtl/>
        </w:rPr>
        <w:t xml:space="preserve">. </w:t>
      </w:r>
    </w:p>
  </w:footnote>
  <w:footnote w:id="4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Style w:val="FootnoteReference0"/>
          <w:rFonts w:ascii="Tahoma" w:hAnsi="Tahoma" w:cs="Tahoma"/>
          <w:color w:val="000000"/>
          <w:sz w:val="14"/>
          <w:szCs w:val="14"/>
          <w:vertAlign w:val="baseline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1/49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בז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>'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רנו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שר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המשטרה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ד ב </w:t>
      </w:r>
      <w:r w:rsidRPr="00B406C5">
        <w:rPr>
          <w:rFonts w:ascii="Tahoma" w:hAnsi="Tahoma" w:cs="Tahoma"/>
          <w:sz w:val="14"/>
          <w:szCs w:val="14"/>
          <w:rtl/>
        </w:rPr>
        <w:t>80, 82–83 (1949).</w:t>
      </w:r>
    </w:p>
  </w:footnote>
  <w:footnote w:id="5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Style w:val="FootnoteReference0"/>
          <w:rFonts w:ascii="Tahoma" w:hAnsi="Tahoma" w:cs="Tahoma"/>
          <w:color w:val="000000"/>
          <w:sz w:val="14"/>
          <w:szCs w:val="14"/>
          <w:vertAlign w:val="baseline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95/49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אל כורי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ראש המטה הכללי של צבא ההגנה לישראל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ד ד </w:t>
      </w:r>
      <w:r w:rsidRPr="00B406C5">
        <w:rPr>
          <w:rFonts w:ascii="Tahoma" w:hAnsi="Tahoma" w:cs="Tahoma"/>
          <w:sz w:val="14"/>
          <w:szCs w:val="14"/>
          <w:rtl/>
        </w:rPr>
        <w:t>34, 37 (1950).</w:t>
      </w:r>
    </w:p>
  </w:footnote>
  <w:footnote w:id="6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Style w:val="FootnoteReference0"/>
          <w:rFonts w:ascii="Tahoma" w:hAnsi="Tahoma" w:cs="Tahoma"/>
          <w:color w:val="000000"/>
          <w:sz w:val="14"/>
          <w:szCs w:val="14"/>
          <w:vertAlign w:val="baseline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73/53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חברת 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קול העם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"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בע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מ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שר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הפנים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ד ז </w:t>
      </w:r>
      <w:r w:rsidRPr="00B406C5">
        <w:rPr>
          <w:rFonts w:ascii="Tahoma" w:hAnsi="Tahoma" w:cs="Tahoma"/>
          <w:sz w:val="14"/>
          <w:szCs w:val="14"/>
          <w:rtl/>
        </w:rPr>
        <w:t xml:space="preserve">871 (1953). </w:t>
      </w:r>
    </w:p>
  </w:footnote>
  <w:footnote w:id="7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Style w:val="FootnoteReference0"/>
          <w:rFonts w:ascii="Tahoma" w:hAnsi="Tahoma" w:cs="Tahoma"/>
          <w:color w:val="000000"/>
          <w:sz w:val="14"/>
          <w:szCs w:val="14"/>
          <w:vertAlign w:val="baseline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241/60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כרדוש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רשם החברות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ד טו </w:t>
      </w:r>
      <w:r w:rsidRPr="00B406C5">
        <w:rPr>
          <w:rFonts w:ascii="Tahoma" w:hAnsi="Tahoma" w:cs="Tahoma"/>
          <w:sz w:val="14"/>
          <w:szCs w:val="14"/>
          <w:rtl/>
        </w:rPr>
        <w:t>1151 (1961).</w:t>
      </w:r>
    </w:p>
  </w:footnote>
  <w:footnote w:id="8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Style w:val="FootnoteReference0"/>
          <w:rFonts w:ascii="Tahoma" w:hAnsi="Tahoma" w:cs="Tahoma"/>
          <w:color w:val="000000"/>
          <w:sz w:val="14"/>
          <w:szCs w:val="14"/>
          <w:vertAlign w:val="baseline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148/79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סער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שר הפנים והמשטרה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ד לד</w:t>
      </w:r>
      <w:r w:rsidRPr="00B406C5">
        <w:rPr>
          <w:rFonts w:ascii="Tahoma" w:hAnsi="Tahoma" w:cs="Tahoma"/>
          <w:sz w:val="14"/>
          <w:szCs w:val="14"/>
          <w:rtl/>
        </w:rPr>
        <w:t xml:space="preserve">(2) 169 (1980); </w:t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153/83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לוי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מפקד המחוז הדרומי של משטרת ישראל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ד לח</w:t>
      </w:r>
      <w:r w:rsidRPr="00B406C5">
        <w:rPr>
          <w:rFonts w:ascii="Tahoma" w:hAnsi="Tahoma" w:cs="Tahoma"/>
          <w:sz w:val="14"/>
          <w:szCs w:val="14"/>
          <w:rtl/>
        </w:rPr>
        <w:t>(2) 393 (1984).</w:t>
      </w:r>
    </w:p>
  </w:footnote>
  <w:footnote w:id="9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Style w:val="FootnoteReference0"/>
          <w:rFonts w:ascii="Tahoma" w:hAnsi="Tahoma" w:cs="Tahoma"/>
          <w:color w:val="000000"/>
          <w:sz w:val="14"/>
          <w:szCs w:val="14"/>
          <w:vertAlign w:val="baseline"/>
          <w:rtl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ראו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eastAsia="David" w:hAnsi="Tahoma" w:cs="Tahoma"/>
          <w:sz w:val="14"/>
          <w:szCs w:val="14"/>
          <w:shd w:val="clear" w:color="auto" w:fill="FFFFFF"/>
          <w:rtl/>
        </w:rPr>
        <w:t>חוק שיווי זכויות</w:t>
      </w:r>
      <w:r w:rsidRPr="00B406C5">
        <w:rPr>
          <w:rFonts w:ascii="Tahoma" w:hAnsi="Tahoma" w:cs="Tahoma"/>
          <w:sz w:val="14"/>
          <w:szCs w:val="14"/>
          <w:shd w:val="clear" w:color="auto" w:fill="FFFFFF"/>
        </w:rPr>
        <w:t> </w:t>
      </w:r>
      <w:r w:rsidRPr="00B406C5">
        <w:rPr>
          <w:rFonts w:ascii="Tahoma" w:eastAsia="David" w:hAnsi="Tahoma" w:cs="Tahoma"/>
          <w:sz w:val="14"/>
          <w:szCs w:val="14"/>
          <w:shd w:val="clear" w:color="auto" w:fill="FFFFFF"/>
          <w:rtl/>
        </w:rPr>
        <w:t>האישה</w:t>
      </w:r>
      <w:r w:rsidRPr="00B406C5">
        <w:rPr>
          <w:rFonts w:ascii="Tahoma" w:hAnsi="Tahoma" w:cs="Tahoma"/>
          <w:sz w:val="14"/>
          <w:szCs w:val="14"/>
          <w:shd w:val="clear" w:color="auto" w:fill="FFFFFF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shd w:val="clear" w:color="auto" w:fill="FFFFFF"/>
          <w:rtl/>
        </w:rPr>
        <w:t>התשי</w:t>
      </w:r>
      <w:r w:rsidRPr="00B406C5">
        <w:rPr>
          <w:rFonts w:ascii="Tahoma" w:hAnsi="Tahoma" w:cs="Tahoma"/>
          <w:sz w:val="14"/>
          <w:szCs w:val="14"/>
          <w:shd w:val="clear" w:color="auto" w:fill="FFFFFF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shd w:val="clear" w:color="auto" w:fill="FFFFFF"/>
          <w:rtl/>
        </w:rPr>
        <w:t>א</w:t>
      </w:r>
      <w:r w:rsidRPr="00B406C5">
        <w:rPr>
          <w:rFonts w:ascii="Tahoma" w:hAnsi="Tahoma" w:cs="Tahoma"/>
          <w:sz w:val="14"/>
          <w:szCs w:val="14"/>
          <w:shd w:val="clear" w:color="auto" w:fill="FFFFFF"/>
          <w:rtl/>
        </w:rPr>
        <w:t xml:space="preserve">–1951, </w:t>
      </w:r>
      <w:r w:rsidRPr="00B406C5">
        <w:rPr>
          <w:rFonts w:ascii="Tahoma" w:eastAsia="David" w:hAnsi="Tahoma" w:cs="Tahoma"/>
          <w:sz w:val="14"/>
          <w:szCs w:val="14"/>
          <w:shd w:val="clear" w:color="auto" w:fill="FFFFFF"/>
          <w:rtl/>
        </w:rPr>
        <w:t>ס</w:t>
      </w:r>
      <w:r w:rsidRPr="00B406C5">
        <w:rPr>
          <w:rFonts w:ascii="Tahoma" w:hAnsi="Tahoma" w:cs="Tahoma"/>
          <w:sz w:val="14"/>
          <w:szCs w:val="14"/>
          <w:shd w:val="clear" w:color="auto" w:fill="FFFFFF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shd w:val="clear" w:color="auto" w:fill="FFFFFF"/>
          <w:rtl/>
        </w:rPr>
        <w:t xml:space="preserve">ח </w:t>
      </w:r>
      <w:r w:rsidRPr="00B406C5">
        <w:rPr>
          <w:rFonts w:ascii="Tahoma" w:hAnsi="Tahoma" w:cs="Tahoma"/>
          <w:sz w:val="14"/>
          <w:szCs w:val="14"/>
          <w:shd w:val="clear" w:color="auto" w:fill="FFFFFF"/>
          <w:rtl/>
        </w:rPr>
        <w:t xml:space="preserve">248; </w:t>
      </w:r>
      <w:r w:rsidRPr="00B406C5">
        <w:rPr>
          <w:rFonts w:ascii="Tahoma" w:eastAsia="David" w:hAnsi="Tahoma" w:cs="Tahoma"/>
          <w:sz w:val="14"/>
          <w:szCs w:val="14"/>
          <w:rtl/>
        </w:rPr>
        <w:t>חוק שוויון ההזדמנויות בעבודה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התשמ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ח</w:t>
      </w:r>
      <w:r w:rsidRPr="00B406C5">
        <w:rPr>
          <w:rFonts w:ascii="Tahoma" w:hAnsi="Tahoma" w:cs="Tahoma"/>
          <w:sz w:val="14"/>
          <w:szCs w:val="14"/>
          <w:rtl/>
        </w:rPr>
        <w:t xml:space="preserve">–1988, </w:t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ח </w:t>
      </w:r>
      <w:r w:rsidRPr="00B406C5">
        <w:rPr>
          <w:rFonts w:ascii="Tahoma" w:hAnsi="Tahoma" w:cs="Tahoma"/>
          <w:sz w:val="14"/>
          <w:szCs w:val="14"/>
          <w:rtl/>
        </w:rPr>
        <w:t xml:space="preserve">38; </w:t>
      </w:r>
      <w:r w:rsidRPr="00B406C5">
        <w:rPr>
          <w:rFonts w:ascii="Tahoma" w:eastAsia="David" w:hAnsi="Tahoma" w:cs="Tahoma"/>
          <w:sz w:val="14"/>
          <w:szCs w:val="14"/>
          <w:rtl/>
        </w:rPr>
        <w:t>חוק הגנת הפרטיות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התשמ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א</w:t>
      </w:r>
      <w:r w:rsidRPr="00B406C5">
        <w:rPr>
          <w:rFonts w:ascii="Tahoma" w:hAnsi="Tahoma" w:cs="Tahoma"/>
          <w:sz w:val="14"/>
          <w:szCs w:val="14"/>
          <w:rtl/>
        </w:rPr>
        <w:t xml:space="preserve">–1981, </w:t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ח </w:t>
      </w:r>
      <w:r w:rsidRPr="00B406C5">
        <w:rPr>
          <w:rFonts w:ascii="Tahoma" w:hAnsi="Tahoma" w:cs="Tahoma"/>
          <w:sz w:val="14"/>
          <w:szCs w:val="14"/>
          <w:rtl/>
        </w:rPr>
        <w:t>128.</w:t>
      </w:r>
    </w:p>
  </w:footnote>
  <w:footnote w:id="10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 xml:space="preserve">' 2 </w:t>
      </w:r>
      <w:r w:rsidRPr="00B406C5">
        <w:rPr>
          <w:rFonts w:ascii="Tahoma" w:eastAsia="David" w:hAnsi="Tahoma" w:cs="Tahoma"/>
          <w:sz w:val="14"/>
          <w:szCs w:val="14"/>
          <w:rtl/>
        </w:rPr>
        <w:t>ו</w:t>
      </w:r>
      <w:r w:rsidRPr="00B406C5">
        <w:rPr>
          <w:rFonts w:ascii="Tahoma" w:hAnsi="Tahoma" w:cs="Tahoma"/>
          <w:sz w:val="14"/>
          <w:szCs w:val="14"/>
          <w:rtl/>
        </w:rPr>
        <w:t xml:space="preserve">-4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כבוד האדם וחירותו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ח </w:t>
      </w:r>
      <w:r w:rsidRPr="00B406C5">
        <w:rPr>
          <w:rFonts w:ascii="Tahoma" w:eastAsia="David" w:hAnsi="Tahoma" w:cs="Tahoma"/>
          <w:sz w:val="14"/>
          <w:szCs w:val="14"/>
          <w:rtl/>
        </w:rPr>
        <w:t>התשנ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ב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>150.</w:t>
      </w:r>
    </w:p>
  </w:footnote>
  <w:footnote w:id="11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שם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12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שם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13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 xml:space="preserve">' 3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כבוד האדם וחירותו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14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 xml:space="preserve">' 5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כבוד האדם וחירותו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15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 xml:space="preserve">' 6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כבוד האדם וחירותו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16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 xml:space="preserve">' 7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כבוד האדם וחירותו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17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אהרן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פרשנות במשפט 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כרך שני </w:t>
      </w:r>
      <w:r w:rsidRPr="00B406C5">
        <w:rPr>
          <w:rFonts w:ascii="Tahoma" w:hAnsi="Tahoma" w:cs="Tahoma"/>
          <w:sz w:val="14"/>
          <w:szCs w:val="14"/>
          <w:rtl/>
        </w:rPr>
        <w:t xml:space="preserve">– 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פרשנות חוקתית </w:t>
      </w:r>
      <w:r w:rsidRPr="00B406C5">
        <w:rPr>
          <w:rFonts w:ascii="Tahoma" w:hAnsi="Tahoma" w:cs="Tahoma"/>
          <w:sz w:val="14"/>
          <w:szCs w:val="14"/>
          <w:rtl/>
        </w:rPr>
        <w:t>285 (1994) (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להלן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פרשנות חוקתית</w:t>
      </w:r>
      <w:r w:rsidRPr="00B406C5">
        <w:rPr>
          <w:rFonts w:ascii="Tahoma" w:hAnsi="Tahoma" w:cs="Tahoma"/>
          <w:sz w:val="14"/>
          <w:szCs w:val="14"/>
          <w:rtl/>
        </w:rPr>
        <w:t>).</w:t>
      </w:r>
    </w:p>
  </w:footnote>
  <w:footnote w:id="18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ראו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שם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בעמ</w:t>
      </w:r>
      <w:r w:rsidRPr="00B406C5">
        <w:rPr>
          <w:rFonts w:ascii="Tahoma" w:hAnsi="Tahoma" w:cs="Tahoma"/>
          <w:sz w:val="14"/>
          <w:szCs w:val="14"/>
          <w:rtl/>
        </w:rPr>
        <w:t>' 289.</w:t>
      </w:r>
    </w:p>
  </w:footnote>
  <w:footnote w:id="19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ראו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אהרן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כבוד האדם 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–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הזכות החוקתית ובנותיה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כרך א </w:t>
      </w:r>
      <w:r w:rsidRPr="00B406C5">
        <w:rPr>
          <w:rFonts w:ascii="Tahoma" w:hAnsi="Tahoma" w:cs="Tahoma"/>
          <w:sz w:val="14"/>
          <w:szCs w:val="14"/>
          <w:rtl/>
        </w:rPr>
        <w:t>303 (2014) (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להלן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כבוד האדם </w:t>
      </w:r>
      <w:r w:rsidRPr="00B406C5">
        <w:rPr>
          <w:rFonts w:ascii="Tahoma" w:eastAsia="David" w:hAnsi="Tahoma" w:cs="Tahoma"/>
          <w:sz w:val="14"/>
          <w:szCs w:val="14"/>
          <w:rtl/>
        </w:rPr>
        <w:t>א</w:t>
      </w:r>
      <w:r w:rsidRPr="00B406C5">
        <w:rPr>
          <w:rFonts w:ascii="Tahoma" w:hAnsi="Tahoma" w:cs="Tahoma"/>
          <w:sz w:val="14"/>
          <w:szCs w:val="14"/>
          <w:rtl/>
        </w:rPr>
        <w:t>).</w:t>
      </w:r>
    </w:p>
  </w:footnote>
  <w:footnote w:id="20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על המושגיות של זכות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אם וזכות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בת ראו אהרן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כבוד האדם 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–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הזכות החוקתית ובנותיה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כרך ב </w:t>
      </w:r>
      <w:r w:rsidRPr="00B406C5">
        <w:rPr>
          <w:rFonts w:ascii="Tahoma" w:hAnsi="Tahoma" w:cs="Tahoma"/>
          <w:sz w:val="14"/>
          <w:szCs w:val="14"/>
          <w:rtl/>
        </w:rPr>
        <w:t>533 (2014) (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להלן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כבוד האדם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ב</w:t>
      </w:r>
      <w:r w:rsidRPr="00B406C5">
        <w:rPr>
          <w:rFonts w:ascii="Tahoma" w:hAnsi="Tahoma" w:cs="Tahoma"/>
          <w:sz w:val="14"/>
          <w:szCs w:val="14"/>
          <w:rtl/>
        </w:rPr>
        <w:t>).</w:t>
      </w:r>
    </w:p>
  </w:footnote>
  <w:footnote w:id="21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בג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ץ </w:t>
      </w:r>
      <w:r w:rsidRPr="00B406C5">
        <w:rPr>
          <w:rFonts w:ascii="Tahoma" w:hAnsi="Tahoma" w:cs="Tahoma"/>
          <w:sz w:val="14"/>
          <w:szCs w:val="14"/>
          <w:rtl/>
        </w:rPr>
        <w:t xml:space="preserve">6298/07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רסלר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 נ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כנסת ישראל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ד סה</w:t>
      </w:r>
      <w:r w:rsidRPr="00B406C5">
        <w:rPr>
          <w:rFonts w:ascii="Tahoma" w:hAnsi="Tahoma" w:cs="Tahoma"/>
          <w:sz w:val="14"/>
          <w:szCs w:val="14"/>
          <w:rtl/>
        </w:rPr>
        <w:t xml:space="preserve">(3) 1, </w:t>
      </w:r>
      <w:r w:rsidRPr="00B406C5">
        <w:rPr>
          <w:rFonts w:ascii="Tahoma" w:eastAsia="David" w:hAnsi="Tahoma" w:cs="Tahoma"/>
          <w:sz w:val="14"/>
          <w:szCs w:val="14"/>
          <w:rtl/>
        </w:rPr>
        <w:t>פס</w:t>
      </w:r>
      <w:r w:rsidRPr="00B406C5">
        <w:rPr>
          <w:rFonts w:ascii="Tahoma" w:hAnsi="Tahoma" w:cs="Tahoma"/>
          <w:sz w:val="14"/>
          <w:szCs w:val="14"/>
          <w:rtl/>
        </w:rPr>
        <w:t xml:space="preserve">' 54 </w:t>
      </w:r>
      <w:r w:rsidRPr="00B406C5">
        <w:rPr>
          <w:rFonts w:ascii="Tahoma" w:eastAsia="David" w:hAnsi="Tahoma" w:cs="Tahoma"/>
          <w:sz w:val="14"/>
          <w:szCs w:val="14"/>
          <w:rtl/>
        </w:rPr>
        <w:t>לפסק דינה של הנשיאה ד</w:t>
      </w:r>
      <w:r w:rsidRPr="00B406C5">
        <w:rPr>
          <w:rFonts w:ascii="Tahoma" w:hAnsi="Tahoma" w:cs="Tahoma"/>
          <w:sz w:val="14"/>
          <w:szCs w:val="14"/>
          <w:rtl/>
        </w:rPr>
        <w:t xml:space="preserve">' 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ביניש </w:t>
      </w:r>
      <w:r w:rsidRPr="00B406C5">
        <w:rPr>
          <w:rFonts w:ascii="Tahoma" w:hAnsi="Tahoma" w:cs="Tahoma"/>
          <w:sz w:val="14"/>
          <w:szCs w:val="14"/>
          <w:rtl/>
        </w:rPr>
        <w:t xml:space="preserve">(2012); </w:t>
      </w:r>
      <w:r w:rsidRPr="00B406C5">
        <w:rPr>
          <w:rFonts w:ascii="Tahoma" w:eastAsia="David" w:hAnsi="Tahoma" w:cs="Tahoma"/>
          <w:sz w:val="14"/>
          <w:szCs w:val="14"/>
          <w:rtl/>
        </w:rPr>
        <w:t>ראו גם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כבוד האדם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א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לעיל </w:t>
      </w:r>
      <w:r w:rsidRPr="00B406C5">
        <w:rPr>
          <w:rFonts w:ascii="Tahoma" w:eastAsia="David" w:hAnsi="Tahoma" w:cs="Tahoma"/>
          <w:sz w:val="14"/>
          <w:szCs w:val="14"/>
          <w:rtl/>
        </w:rPr>
        <w:t>ה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ש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 xml:space="preserve">16, </w:t>
      </w:r>
      <w:r w:rsidRPr="00B406C5">
        <w:rPr>
          <w:rFonts w:ascii="Tahoma" w:eastAsia="David" w:hAnsi="Tahoma" w:cs="Tahoma"/>
          <w:sz w:val="14"/>
          <w:szCs w:val="14"/>
          <w:rtl/>
        </w:rPr>
        <w:t>בעמ</w:t>
      </w:r>
      <w:r w:rsidRPr="00B406C5">
        <w:rPr>
          <w:rFonts w:ascii="Tahoma" w:hAnsi="Tahoma" w:cs="Tahoma"/>
          <w:sz w:val="14"/>
          <w:szCs w:val="14"/>
          <w:rtl/>
        </w:rPr>
        <w:t>' 347.</w:t>
      </w:r>
    </w:p>
  </w:footnote>
  <w:footnote w:id="22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ראו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שם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בעמ</w:t>
      </w:r>
      <w:r w:rsidRPr="00B406C5">
        <w:rPr>
          <w:rFonts w:ascii="Tahoma" w:hAnsi="Tahoma" w:cs="Tahoma"/>
          <w:sz w:val="14"/>
          <w:szCs w:val="14"/>
          <w:rtl/>
        </w:rPr>
        <w:t>' 379.</w:t>
      </w:r>
    </w:p>
  </w:footnote>
  <w:footnote w:id="23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ראו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אהרן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 xml:space="preserve">מידתיות במשפט 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–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הפגיעה בזכות החוקתית והגבלותיה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>419 (2010).</w:t>
      </w:r>
    </w:p>
  </w:footnote>
  <w:footnote w:id="24">
    <w:p w:rsidR="00B406C5" w:rsidRPr="00B406C5" w:rsidP="006C2061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אהרן ברק 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חוקת המשפחה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היבטים חוקתיים של דיני המשפחה</w:t>
      </w:r>
      <w:r w:rsidRPr="00B406C5">
        <w:rPr>
          <w:rFonts w:ascii="Tahoma" w:hAnsi="Tahoma" w:cs="Tahoma"/>
          <w:sz w:val="14"/>
          <w:szCs w:val="14"/>
          <w:rtl/>
        </w:rPr>
        <w:t xml:space="preserve">"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משפט ועסקים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eastAsia="David" w:hAnsi="Tahoma" w:cs="Tahoma"/>
          <w:sz w:val="14"/>
          <w:szCs w:val="14"/>
          <w:rtl/>
        </w:rPr>
        <w:t>טז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 xml:space="preserve">13, 50–54 (2013). </w:t>
      </w:r>
      <w:r w:rsidRPr="00B406C5">
        <w:rPr>
          <w:rFonts w:ascii="Tahoma" w:eastAsia="David" w:hAnsi="Tahoma" w:cs="Tahoma"/>
          <w:sz w:val="14"/>
          <w:szCs w:val="14"/>
          <w:rtl/>
        </w:rPr>
        <w:t>ראו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גם 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כבוד האדם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="006C2061">
        <w:rPr>
          <w:rFonts w:ascii="Tahoma" w:eastAsia="David" w:hAnsi="Tahoma" w:cs="Tahoma" w:hint="cs"/>
          <w:sz w:val="14"/>
          <w:szCs w:val="14"/>
          <w:rtl/>
        </w:rPr>
        <w:t>ב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לעיל </w:t>
      </w:r>
      <w:r w:rsidRPr="00B406C5">
        <w:rPr>
          <w:rFonts w:ascii="Tahoma" w:eastAsia="David" w:hAnsi="Tahoma" w:cs="Tahoma"/>
          <w:sz w:val="14"/>
          <w:szCs w:val="14"/>
          <w:rtl/>
        </w:rPr>
        <w:t>ה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ש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="006C2061">
        <w:rPr>
          <w:rFonts w:ascii="Tahoma" w:hAnsi="Tahoma" w:cs="Tahoma" w:hint="cs"/>
          <w:sz w:val="14"/>
          <w:szCs w:val="14"/>
          <w:rtl/>
        </w:rPr>
        <w:t>17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בעמ</w:t>
      </w:r>
      <w:r w:rsidRPr="00B406C5">
        <w:rPr>
          <w:rFonts w:ascii="Tahoma" w:hAnsi="Tahoma" w:cs="Tahoma"/>
          <w:sz w:val="14"/>
          <w:szCs w:val="14"/>
          <w:rtl/>
        </w:rPr>
        <w:t>' 632.</w:t>
      </w:r>
    </w:p>
  </w:footnote>
  <w:footnote w:id="25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 xml:space="preserve">' 10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כבוד האדם וחירותו</w:t>
      </w:r>
      <w:r w:rsidRPr="00B406C5">
        <w:rPr>
          <w:rFonts w:ascii="Tahoma" w:hAnsi="Tahoma" w:cs="Tahoma"/>
          <w:sz w:val="14"/>
          <w:szCs w:val="14"/>
          <w:rtl/>
        </w:rPr>
        <w:t>.</w:t>
      </w:r>
    </w:p>
  </w:footnote>
  <w:footnote w:id="26">
    <w:p w:rsidR="00B406C5" w:rsidRPr="00ED2260" w:rsidP="00561DDF">
      <w:pPr>
        <w:spacing w:after="40" w:line="200" w:lineRule="exact"/>
        <w:ind w:left="397" w:hanging="397"/>
        <w:jc w:val="both"/>
        <w:rPr>
          <w:rFonts w:ascii="Tahoma" w:hAnsi="Tahoma" w:cs="Tahoma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hAnsi="Tahoma" w:cs="Tahoma"/>
          <w:smallCaps/>
          <w:sz w:val="14"/>
          <w:szCs w:val="14"/>
        </w:rPr>
        <w:t>Human Rights Commissions and Ombudsman Offices: National Experiences Throughout the World (</w:t>
      </w:r>
      <w:r w:rsidRPr="00B406C5">
        <w:rPr>
          <w:rFonts w:ascii="Tahoma" w:hAnsi="Tahoma" w:cs="Tahoma"/>
          <w:sz w:val="14"/>
          <w:szCs w:val="14"/>
        </w:rPr>
        <w:t xml:space="preserve">Kamal Hossain et al. eds. </w:t>
      </w:r>
      <w:r w:rsidRPr="00B406C5">
        <w:rPr>
          <w:rFonts w:ascii="Tahoma" w:hAnsi="Tahoma" w:cs="Tahoma"/>
          <w:smallCaps/>
          <w:sz w:val="14"/>
          <w:szCs w:val="14"/>
        </w:rPr>
        <w:t>2000)</w:t>
      </w:r>
      <w:r w:rsidRPr="00B406C5">
        <w:rPr>
          <w:rFonts w:ascii="Tahoma" w:hAnsi="Tahoma" w:cs="Tahoma"/>
          <w:smallCaps/>
          <w:sz w:val="14"/>
          <w:szCs w:val="14"/>
          <w:rtl/>
        </w:rPr>
        <w:t>.</w:t>
      </w:r>
      <w:r w:rsidRPr="00B406C5">
        <w:rPr>
          <w:rFonts w:ascii="Tahoma" w:hAnsi="Tahoma" w:cs="Tahoma"/>
          <w:smallCaps/>
          <w:sz w:val="14"/>
          <w:szCs w:val="14"/>
        </w:rPr>
        <w:t xml:space="preserve"> </w:t>
      </w:r>
    </w:p>
  </w:footnote>
  <w:footnote w:id="27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הצעת חוק נציבות זכויות אדם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התשס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ו</w:t>
      </w:r>
      <w:r w:rsidRPr="00B406C5">
        <w:rPr>
          <w:rFonts w:ascii="Tahoma" w:hAnsi="Tahoma" w:cs="Tahoma"/>
          <w:sz w:val="14"/>
          <w:szCs w:val="14"/>
          <w:rtl/>
        </w:rPr>
        <w:t xml:space="preserve">–2006, </w:t>
      </w:r>
      <w:r w:rsidRPr="00B406C5">
        <w:rPr>
          <w:rFonts w:ascii="Tahoma" w:eastAsia="David" w:hAnsi="Tahoma" w:cs="Tahoma"/>
          <w:sz w:val="14"/>
          <w:szCs w:val="14"/>
          <w:rtl/>
        </w:rPr>
        <w:t>פ</w:t>
      </w:r>
      <w:r w:rsidRPr="00B406C5">
        <w:rPr>
          <w:rFonts w:ascii="Tahoma" w:hAnsi="Tahoma" w:cs="Tahoma"/>
          <w:sz w:val="14"/>
          <w:szCs w:val="14"/>
          <w:rtl/>
        </w:rPr>
        <w:t>/1561/17.</w:t>
      </w:r>
    </w:p>
  </w:footnote>
  <w:footnote w:id="28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ברק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כבוד האדם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ב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לעיל </w:t>
      </w:r>
      <w:r w:rsidRPr="00B406C5">
        <w:rPr>
          <w:rFonts w:ascii="Tahoma" w:eastAsia="David" w:hAnsi="Tahoma" w:cs="Tahoma"/>
          <w:sz w:val="14"/>
          <w:szCs w:val="14"/>
          <w:rtl/>
        </w:rPr>
        <w:t>ה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ש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 xml:space="preserve">17, </w:t>
      </w:r>
      <w:r w:rsidRPr="00B406C5">
        <w:rPr>
          <w:rFonts w:ascii="Tahoma" w:eastAsia="David" w:hAnsi="Tahoma" w:cs="Tahoma"/>
          <w:sz w:val="14"/>
          <w:szCs w:val="14"/>
          <w:rtl/>
        </w:rPr>
        <w:t>בעמ</w:t>
      </w:r>
      <w:r w:rsidRPr="00B406C5">
        <w:rPr>
          <w:rFonts w:ascii="Tahoma" w:hAnsi="Tahoma" w:cs="Tahoma"/>
          <w:sz w:val="14"/>
          <w:szCs w:val="14"/>
          <w:rtl/>
        </w:rPr>
        <w:t>' 793;</w:t>
      </w:r>
      <w:r w:rsidRPr="00B406C5">
        <w:rPr>
          <w:rFonts w:ascii="Tahoma" w:hAnsi="Tahoma" w:cs="Tahoma"/>
          <w:b/>
          <w:bCs/>
          <w:sz w:val="14"/>
          <w:szCs w:val="14"/>
          <w:rtl/>
        </w:rPr>
        <w:t xml:space="preserve"> </w:t>
      </w:r>
      <w:r w:rsidRPr="00B406C5">
        <w:rPr>
          <w:rFonts w:ascii="Tahoma" w:eastAsia="David" w:hAnsi="Tahoma" w:cs="Tahoma"/>
          <w:sz w:val="14"/>
          <w:szCs w:val="14"/>
          <w:rtl/>
        </w:rPr>
        <w:t>ראו גם</w:t>
      </w:r>
      <w:r w:rsidR="00430545">
        <w:rPr>
          <w:rFonts w:ascii="Tahoma" w:eastAsia="David" w:hAnsi="Tahoma" w:cs="Tahoma" w:hint="cs"/>
          <w:sz w:val="14"/>
          <w:szCs w:val="14"/>
          <w:rtl/>
        </w:rPr>
        <w:t>: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יורם רבין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הזכות לחינוך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>304 (2002).</w:t>
      </w:r>
    </w:p>
  </w:footnote>
  <w:footnote w:id="29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>' 2(</w:t>
      </w:r>
      <w:r w:rsidRPr="00B406C5">
        <w:rPr>
          <w:rFonts w:ascii="Tahoma" w:eastAsia="David" w:hAnsi="Tahoma" w:cs="Tahoma"/>
          <w:sz w:val="14"/>
          <w:szCs w:val="14"/>
          <w:rtl/>
        </w:rPr>
        <w:t>ב</w:t>
      </w:r>
      <w:r w:rsidRPr="00B406C5">
        <w:rPr>
          <w:rFonts w:ascii="Tahoma" w:hAnsi="Tahoma" w:cs="Tahoma"/>
          <w:sz w:val="14"/>
          <w:szCs w:val="14"/>
          <w:rtl/>
        </w:rPr>
        <w:t xml:space="preserve">) </w:t>
      </w:r>
      <w:r w:rsidRPr="00B406C5">
        <w:rPr>
          <w:rFonts w:ascii="Tahoma" w:eastAsia="David" w:hAnsi="Tahoma" w:cs="Tahoma"/>
          <w:sz w:val="14"/>
          <w:szCs w:val="14"/>
          <w:rtl/>
        </w:rPr>
        <w:t>לחוק</w:t>
      </w:r>
      <w:r w:rsidRPr="00B406C5">
        <w:rPr>
          <w:rFonts w:ascii="Tahoma" w:hAnsi="Tahoma" w:cs="Tahoma"/>
          <w:sz w:val="14"/>
          <w:szCs w:val="14"/>
          <w:rtl/>
        </w:rPr>
        <w:t>-</w:t>
      </w:r>
      <w:r w:rsidRPr="00B406C5">
        <w:rPr>
          <w:rFonts w:ascii="Tahoma" w:eastAsia="David" w:hAnsi="Tahoma" w:cs="Tahoma"/>
          <w:sz w:val="14"/>
          <w:szCs w:val="14"/>
          <w:rtl/>
        </w:rPr>
        <w:t>יסוד</w:t>
      </w:r>
      <w:r w:rsidRPr="00B406C5">
        <w:rPr>
          <w:rFonts w:ascii="Tahoma" w:hAnsi="Tahoma" w:cs="Tahoma"/>
          <w:sz w:val="14"/>
          <w:szCs w:val="14"/>
          <w:rtl/>
        </w:rPr>
        <w:t xml:space="preserve">: </w:t>
      </w:r>
      <w:r w:rsidRPr="00B406C5">
        <w:rPr>
          <w:rFonts w:ascii="Tahoma" w:eastAsia="David" w:hAnsi="Tahoma" w:cs="Tahoma"/>
          <w:sz w:val="14"/>
          <w:szCs w:val="14"/>
          <w:rtl/>
        </w:rPr>
        <w:t>מבקר המדינה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ס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ח </w:t>
      </w:r>
      <w:r w:rsidRPr="00B406C5">
        <w:rPr>
          <w:rFonts w:ascii="Tahoma" w:eastAsia="David" w:hAnsi="Tahoma" w:cs="Tahoma"/>
          <w:sz w:val="14"/>
          <w:szCs w:val="14"/>
          <w:rtl/>
        </w:rPr>
        <w:t>התשמ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ח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>30.</w:t>
      </w:r>
    </w:p>
  </w:footnote>
  <w:footnote w:id="30">
    <w:p w:rsidR="00B406C5" w:rsidRPr="00B406C5" w:rsidP="00637472">
      <w:pPr>
        <w:spacing w:after="40" w:line="200" w:lineRule="exact"/>
        <w:ind w:left="397" w:hanging="397"/>
        <w:jc w:val="both"/>
        <w:rPr>
          <w:rFonts w:ascii="Tahoma" w:hAnsi="Tahoma" w:cs="Tahoma"/>
          <w:color w:val="000000"/>
          <w:sz w:val="14"/>
          <w:szCs w:val="14"/>
          <w:rtl/>
        </w:rPr>
      </w:pPr>
      <w:r w:rsidRPr="00B406C5">
        <w:rPr>
          <w:rStyle w:val="FootnoteReference0"/>
          <w:rFonts w:ascii="Tahoma" w:hAnsi="Tahoma" w:cs="Tahoma"/>
          <w:sz w:val="14"/>
          <w:szCs w:val="14"/>
          <w:vertAlign w:val="baseline"/>
        </w:rPr>
        <w:footnoteRef/>
      </w:r>
      <w:r w:rsidRPr="00B406C5">
        <w:rPr>
          <w:rFonts w:ascii="Tahoma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</w:rPr>
        <w:tab/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אהרן ברק </w:t>
      </w:r>
      <w:r w:rsidRPr="00B406C5">
        <w:rPr>
          <w:rFonts w:ascii="Tahoma" w:hAnsi="Tahoma" w:cs="Tahoma"/>
          <w:sz w:val="14"/>
          <w:szCs w:val="14"/>
          <w:rtl/>
        </w:rPr>
        <w:t>"</w:t>
      </w:r>
      <w:r w:rsidRPr="00B406C5">
        <w:rPr>
          <w:rFonts w:ascii="Tahoma" w:eastAsia="David" w:hAnsi="Tahoma" w:cs="Tahoma"/>
          <w:sz w:val="14"/>
          <w:szCs w:val="14"/>
          <w:rtl/>
        </w:rPr>
        <w:t>על ערכים</w:t>
      </w:r>
      <w:r w:rsidRPr="00B406C5">
        <w:rPr>
          <w:rFonts w:ascii="Tahoma" w:hAnsi="Tahoma" w:cs="Tahoma"/>
          <w:sz w:val="14"/>
          <w:szCs w:val="14"/>
          <w:rtl/>
        </w:rPr>
        <w:t xml:space="preserve">, </w:t>
      </w:r>
      <w:r w:rsidRPr="00B406C5">
        <w:rPr>
          <w:rFonts w:ascii="Tahoma" w:eastAsia="David" w:hAnsi="Tahoma" w:cs="Tahoma"/>
          <w:sz w:val="14"/>
          <w:szCs w:val="14"/>
          <w:rtl/>
        </w:rPr>
        <w:t>שיפוט ודמוקרטיה בישראל</w:t>
      </w:r>
      <w:r w:rsidRPr="00B406C5">
        <w:rPr>
          <w:rFonts w:ascii="Tahoma" w:hAnsi="Tahoma" w:cs="Tahoma"/>
          <w:sz w:val="14"/>
          <w:szCs w:val="14"/>
          <w:rtl/>
        </w:rPr>
        <w:t xml:space="preserve">" </w:t>
      </w:r>
      <w:r w:rsidRPr="00B406C5">
        <w:rPr>
          <w:rFonts w:ascii="Tahoma" w:eastAsia="David" w:hAnsi="Tahoma" w:cs="Tahoma"/>
          <w:b/>
          <w:bCs/>
          <w:sz w:val="14"/>
          <w:szCs w:val="14"/>
          <w:rtl/>
        </w:rPr>
        <w:t>עיונים בביקורת המדינה</w:t>
      </w:r>
      <w:r w:rsidR="008B4DB8">
        <w:rPr>
          <w:rFonts w:ascii="Tahoma" w:eastAsia="David" w:hAnsi="Tahoma" w:cs="Tahoma" w:hint="cs"/>
          <w:sz w:val="14"/>
          <w:szCs w:val="14"/>
          <w:rtl/>
        </w:rPr>
        <w:t>, חוברת</w:t>
      </w:r>
      <w:r w:rsidRPr="00B406C5">
        <w:rPr>
          <w:rFonts w:ascii="Tahoma" w:eastAsia="David" w:hAnsi="Tahoma" w:cs="Tahoma"/>
          <w:sz w:val="14"/>
          <w:szCs w:val="14"/>
          <w:rtl/>
        </w:rPr>
        <w:t xml:space="preserve"> </w:t>
      </w:r>
      <w:r w:rsidRPr="00B406C5">
        <w:rPr>
          <w:rFonts w:ascii="Tahoma" w:hAnsi="Tahoma" w:cs="Tahoma"/>
          <w:sz w:val="14"/>
          <w:szCs w:val="14"/>
          <w:rtl/>
        </w:rPr>
        <w:t>59, 21, 25 (2002).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01E" w:rsidRPr="00B4501E" w:rsidP="003C4E55">
    <w:pPr>
      <w:pStyle w:val="Header"/>
      <w:spacing w:before="240" w:after="180"/>
      <w:rPr>
        <w:rFonts w:ascii="Tahoma" w:hAnsi="Tahoma" w:eastAsiaTheme="majorEastAsia" w:cs="Tahoma"/>
        <w:color w:val="0B5294" w:themeColor="accent1" w:themeShade="BF"/>
        <w:sz w:val="16"/>
        <w:szCs w:val="16"/>
      </w:rPr>
    </w:pP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begin"/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instrText xml:space="preserve"> PAGE   \* MERGEFORMAT </w:instrText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separate"/>
    </w:r>
    <w:r w:rsidR="00E10A4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  <w:rtl/>
      </w:rPr>
      <w:t>40</w:t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end"/>
    </w:r>
    <w:r w:rsidRPr="00B4501E">
      <w:rPr>
        <w:rFonts w:ascii="Tahoma" w:hAnsi="Tahoma" w:eastAsiaTheme="majorEastAsia" w:cs="Tahoma"/>
        <w:color w:val="0B5294" w:themeColor="accent1" w:themeShade="BF"/>
        <w:sz w:val="16"/>
        <w:szCs w:val="16"/>
        <w:rtl/>
      </w:rPr>
      <w:t xml:space="preserve">  |  </w:t>
    </w:r>
    <w:r w:rsidR="008011FA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עיונים </w:t>
    </w:r>
    <w:r w:rsidR="003C4E55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בביקורת המדינה, חוברת </w:t>
    </w:r>
    <w:r w:rsidR="008011FA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>63</w:t>
    </w:r>
    <w:r w:rsidR="003C4E55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 (2018)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01E" w:rsidRPr="007F1A39" w:rsidP="007F1A39">
    <w:pPr>
      <w:pStyle w:val="Header"/>
      <w:spacing w:before="240" w:after="180"/>
      <w:jc w:val="right"/>
      <w:rPr>
        <w:rFonts w:ascii="Tahoma" w:hAnsi="Tahoma" w:eastAsiaTheme="majorEastAsia" w:cs="Tahoma"/>
        <w:noProof/>
        <w:color w:val="0B5294" w:themeColor="accent1" w:themeShade="BF"/>
        <w:sz w:val="16"/>
        <w:szCs w:val="16"/>
      </w:rPr>
    </w:pPr>
    <w:r w:rsidRPr="00B406C5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מבקר</w:t>
    </w:r>
    <w:r w:rsidRPr="00B406C5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406C5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המדינה</w:t>
    </w:r>
    <w:r w:rsidRPr="00B406C5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406C5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וזכויות</w:t>
    </w:r>
    <w:r w:rsidRPr="00B406C5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406C5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האדם</w:t>
    </w:r>
    <w:r w:rsidRPr="00B406C5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406C5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בישראל</w:t>
    </w:r>
    <w:r w:rsidRPr="007F1A39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  |  </w: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begin"/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instrText xml:space="preserve"> PAGE   \* MERGEFORMAT </w:instrTex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separate"/>
    </w:r>
    <w:r w:rsidR="00E10A4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  <w:rtl/>
      </w:rPr>
      <w:t>41</w: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396" w:rsidRPr="007F1A39" w:rsidP="00526396">
    <w:pPr>
      <w:pStyle w:val="Header"/>
      <w:spacing w:before="240" w:after="180"/>
      <w:jc w:val="right"/>
      <w:rPr>
        <w:rFonts w:ascii="Tahoma" w:hAnsi="Tahoma" w:eastAsiaTheme="majorEastAsia" w:cs="Tahoma"/>
        <w:noProof/>
        <w:color w:val="0B5294" w:themeColor="accent1" w:themeShade="BF"/>
        <w:sz w:val="16"/>
        <w:szCs w:val="16"/>
      </w:rPr>
    </w:pPr>
    <w:r w:rsidRPr="007F1A39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  </w:t>
    </w:r>
    <w:r w:rsidRPr="007F1A39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|  </w: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begin"/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instrText xml:space="preserve"> PAGE   \* MERGEFORMAT </w:instrTex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separate"/>
    </w:r>
    <w:r w:rsidR="00E10A4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  <w:rtl/>
      </w:rPr>
      <w:t>37</w: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948" w:rsidRPr="00443948" w:rsidP="00443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2DF7"/>
    <w:multiLevelType w:val="multilevel"/>
    <w:tmpl w:val="9232320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CAD3FFE"/>
    <w:multiLevelType w:val="hybridMultilevel"/>
    <w:tmpl w:val="46189C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0">
    <w:nsid w:val="6A812C87"/>
    <w:multiLevelType w:val="multilevel"/>
    <w:tmpl w:val="E7A098D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1">
    <w:nsid w:val="71E067E3"/>
    <w:multiLevelType w:val="hybridMultilevel"/>
    <w:tmpl w:val="E94E0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D3472"/>
    <w:multiLevelType w:val="hybridMultilevel"/>
    <w:tmpl w:val="5242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3"/>
  </w:num>
  <w:num w:numId="22">
    <w:abstractNumId w:val="0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5C3"/>
    <w:rsid w:val="0000362C"/>
    <w:rsid w:val="000047FD"/>
    <w:rsid w:val="00005D49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17C4"/>
    <w:rsid w:val="0002194A"/>
    <w:rsid w:val="000225D3"/>
    <w:rsid w:val="000249E2"/>
    <w:rsid w:val="00025440"/>
    <w:rsid w:val="00025650"/>
    <w:rsid w:val="0002681A"/>
    <w:rsid w:val="0002689B"/>
    <w:rsid w:val="00027245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1D0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786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9F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00B"/>
    <w:rsid w:val="00114587"/>
    <w:rsid w:val="001156F5"/>
    <w:rsid w:val="00115F32"/>
    <w:rsid w:val="00116EC6"/>
    <w:rsid w:val="00117163"/>
    <w:rsid w:val="00117668"/>
    <w:rsid w:val="00120C15"/>
    <w:rsid w:val="00121460"/>
    <w:rsid w:val="001215F4"/>
    <w:rsid w:val="001221B2"/>
    <w:rsid w:val="00124D10"/>
    <w:rsid w:val="00125732"/>
    <w:rsid w:val="00126FB8"/>
    <w:rsid w:val="00127083"/>
    <w:rsid w:val="00127147"/>
    <w:rsid w:val="00127204"/>
    <w:rsid w:val="001275EC"/>
    <w:rsid w:val="00130912"/>
    <w:rsid w:val="00130ABF"/>
    <w:rsid w:val="00130E45"/>
    <w:rsid w:val="0013170A"/>
    <w:rsid w:val="00131A11"/>
    <w:rsid w:val="00131AAF"/>
    <w:rsid w:val="00131E30"/>
    <w:rsid w:val="00132921"/>
    <w:rsid w:val="00132FFC"/>
    <w:rsid w:val="00134716"/>
    <w:rsid w:val="00135EB9"/>
    <w:rsid w:val="00136B9E"/>
    <w:rsid w:val="00141E28"/>
    <w:rsid w:val="00143613"/>
    <w:rsid w:val="00144786"/>
    <w:rsid w:val="00145DAD"/>
    <w:rsid w:val="00146345"/>
    <w:rsid w:val="00150E90"/>
    <w:rsid w:val="001510CF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56A81"/>
    <w:rsid w:val="00160149"/>
    <w:rsid w:val="00160DE1"/>
    <w:rsid w:val="00161297"/>
    <w:rsid w:val="00161324"/>
    <w:rsid w:val="0016160F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C02"/>
    <w:rsid w:val="00171743"/>
    <w:rsid w:val="00171E57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2DE8"/>
    <w:rsid w:val="001856B7"/>
    <w:rsid w:val="0018650A"/>
    <w:rsid w:val="001866EE"/>
    <w:rsid w:val="00186FA6"/>
    <w:rsid w:val="0018762D"/>
    <w:rsid w:val="0018773C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40DE"/>
    <w:rsid w:val="001B476F"/>
    <w:rsid w:val="001B7FC5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179C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6E89"/>
    <w:rsid w:val="0020737B"/>
    <w:rsid w:val="00211542"/>
    <w:rsid w:val="002115E2"/>
    <w:rsid w:val="00211890"/>
    <w:rsid w:val="00211CD5"/>
    <w:rsid w:val="00212C70"/>
    <w:rsid w:val="00212CC9"/>
    <w:rsid w:val="00213D63"/>
    <w:rsid w:val="00214667"/>
    <w:rsid w:val="002164D6"/>
    <w:rsid w:val="00216564"/>
    <w:rsid w:val="00216CE4"/>
    <w:rsid w:val="00216E18"/>
    <w:rsid w:val="00217002"/>
    <w:rsid w:val="00217D25"/>
    <w:rsid w:val="00220150"/>
    <w:rsid w:val="00220A56"/>
    <w:rsid w:val="00220B1E"/>
    <w:rsid w:val="00220D93"/>
    <w:rsid w:val="00221B6D"/>
    <w:rsid w:val="00222BC8"/>
    <w:rsid w:val="00222EFD"/>
    <w:rsid w:val="00223E18"/>
    <w:rsid w:val="00225614"/>
    <w:rsid w:val="00225E4F"/>
    <w:rsid w:val="002262C7"/>
    <w:rsid w:val="00226BE5"/>
    <w:rsid w:val="00226D6C"/>
    <w:rsid w:val="002303B8"/>
    <w:rsid w:val="00230A8A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F89"/>
    <w:rsid w:val="00245388"/>
    <w:rsid w:val="002455D9"/>
    <w:rsid w:val="002511A2"/>
    <w:rsid w:val="002518DB"/>
    <w:rsid w:val="002525CC"/>
    <w:rsid w:val="002530C2"/>
    <w:rsid w:val="00255959"/>
    <w:rsid w:val="00255CC3"/>
    <w:rsid w:val="00257CCD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5DC"/>
    <w:rsid w:val="00273C82"/>
    <w:rsid w:val="00274D7E"/>
    <w:rsid w:val="00277717"/>
    <w:rsid w:val="00277BC2"/>
    <w:rsid w:val="00277E0B"/>
    <w:rsid w:val="002805E4"/>
    <w:rsid w:val="00280807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651"/>
    <w:rsid w:val="00293C1D"/>
    <w:rsid w:val="00294765"/>
    <w:rsid w:val="00295C22"/>
    <w:rsid w:val="0029606C"/>
    <w:rsid w:val="002963FC"/>
    <w:rsid w:val="0029657A"/>
    <w:rsid w:val="00296649"/>
    <w:rsid w:val="00296C96"/>
    <w:rsid w:val="002975FB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B701A"/>
    <w:rsid w:val="002C0374"/>
    <w:rsid w:val="002C0D01"/>
    <w:rsid w:val="002C167F"/>
    <w:rsid w:val="002C1805"/>
    <w:rsid w:val="002C3001"/>
    <w:rsid w:val="002C3A61"/>
    <w:rsid w:val="002C53F1"/>
    <w:rsid w:val="002C5D25"/>
    <w:rsid w:val="002C6165"/>
    <w:rsid w:val="002C6364"/>
    <w:rsid w:val="002C68CB"/>
    <w:rsid w:val="002C6F0A"/>
    <w:rsid w:val="002D0A19"/>
    <w:rsid w:val="002D1462"/>
    <w:rsid w:val="002D1F63"/>
    <w:rsid w:val="002D2002"/>
    <w:rsid w:val="002D238D"/>
    <w:rsid w:val="002D239D"/>
    <w:rsid w:val="002D2A02"/>
    <w:rsid w:val="002D2A09"/>
    <w:rsid w:val="002D2B39"/>
    <w:rsid w:val="002D41DC"/>
    <w:rsid w:val="002D4324"/>
    <w:rsid w:val="002D54F5"/>
    <w:rsid w:val="002D62C9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319"/>
    <w:rsid w:val="002F2754"/>
    <w:rsid w:val="002F3251"/>
    <w:rsid w:val="003006EA"/>
    <w:rsid w:val="00300E9F"/>
    <w:rsid w:val="00301280"/>
    <w:rsid w:val="003027AA"/>
    <w:rsid w:val="00302CDA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47CC2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A39"/>
    <w:rsid w:val="00381B6E"/>
    <w:rsid w:val="00381C43"/>
    <w:rsid w:val="00381C86"/>
    <w:rsid w:val="00381F88"/>
    <w:rsid w:val="00382017"/>
    <w:rsid w:val="0038206D"/>
    <w:rsid w:val="00382614"/>
    <w:rsid w:val="00383BAA"/>
    <w:rsid w:val="00384065"/>
    <w:rsid w:val="00384B2A"/>
    <w:rsid w:val="003850F7"/>
    <w:rsid w:val="00385249"/>
    <w:rsid w:val="003859A8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4BB0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57"/>
    <w:rsid w:val="003A436D"/>
    <w:rsid w:val="003B0565"/>
    <w:rsid w:val="003B159D"/>
    <w:rsid w:val="003B1E8D"/>
    <w:rsid w:val="003B1FEC"/>
    <w:rsid w:val="003B348F"/>
    <w:rsid w:val="003B4D44"/>
    <w:rsid w:val="003B5B95"/>
    <w:rsid w:val="003B5DA6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4E55"/>
    <w:rsid w:val="003C57DC"/>
    <w:rsid w:val="003C5926"/>
    <w:rsid w:val="003C5929"/>
    <w:rsid w:val="003C67A4"/>
    <w:rsid w:val="003D04FC"/>
    <w:rsid w:val="003D0701"/>
    <w:rsid w:val="003D09D3"/>
    <w:rsid w:val="003D14AF"/>
    <w:rsid w:val="003D15EC"/>
    <w:rsid w:val="003D3AD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E7BF7"/>
    <w:rsid w:val="003F0A5C"/>
    <w:rsid w:val="003F0C3A"/>
    <w:rsid w:val="003F112F"/>
    <w:rsid w:val="003F2367"/>
    <w:rsid w:val="003F2902"/>
    <w:rsid w:val="003F2CA1"/>
    <w:rsid w:val="003F2E86"/>
    <w:rsid w:val="003F2FA6"/>
    <w:rsid w:val="003F35EC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545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3948"/>
    <w:rsid w:val="00444737"/>
    <w:rsid w:val="00445112"/>
    <w:rsid w:val="00445C07"/>
    <w:rsid w:val="00445CE5"/>
    <w:rsid w:val="00446104"/>
    <w:rsid w:val="0044687F"/>
    <w:rsid w:val="00446C74"/>
    <w:rsid w:val="00447EBD"/>
    <w:rsid w:val="0045028B"/>
    <w:rsid w:val="004505D6"/>
    <w:rsid w:val="00450E59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196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43FA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1BCE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896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6396"/>
    <w:rsid w:val="00527462"/>
    <w:rsid w:val="00527873"/>
    <w:rsid w:val="00530040"/>
    <w:rsid w:val="005302AB"/>
    <w:rsid w:val="00530A7F"/>
    <w:rsid w:val="00531652"/>
    <w:rsid w:val="00532AAB"/>
    <w:rsid w:val="00532B27"/>
    <w:rsid w:val="00535208"/>
    <w:rsid w:val="00536356"/>
    <w:rsid w:val="00537262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C0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1DDF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69BD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40BC"/>
    <w:rsid w:val="005B426A"/>
    <w:rsid w:val="005B463B"/>
    <w:rsid w:val="005B515A"/>
    <w:rsid w:val="005B59FC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FCA"/>
    <w:rsid w:val="0060059B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55E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37472"/>
    <w:rsid w:val="00640298"/>
    <w:rsid w:val="00641FC6"/>
    <w:rsid w:val="006423C5"/>
    <w:rsid w:val="0064502B"/>
    <w:rsid w:val="006453AA"/>
    <w:rsid w:val="006454C5"/>
    <w:rsid w:val="00646CF4"/>
    <w:rsid w:val="006474EC"/>
    <w:rsid w:val="00650187"/>
    <w:rsid w:val="0065147A"/>
    <w:rsid w:val="00651AFD"/>
    <w:rsid w:val="00652312"/>
    <w:rsid w:val="00652A0E"/>
    <w:rsid w:val="00652ADF"/>
    <w:rsid w:val="006548CE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2ED9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4685"/>
    <w:rsid w:val="00674B39"/>
    <w:rsid w:val="00674CB4"/>
    <w:rsid w:val="00676370"/>
    <w:rsid w:val="00677315"/>
    <w:rsid w:val="006779F2"/>
    <w:rsid w:val="00677C89"/>
    <w:rsid w:val="00680880"/>
    <w:rsid w:val="0068493A"/>
    <w:rsid w:val="00685F36"/>
    <w:rsid w:val="006864D0"/>
    <w:rsid w:val="006869CE"/>
    <w:rsid w:val="00686AC9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2A65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B3C"/>
    <w:rsid w:val="006B6E97"/>
    <w:rsid w:val="006B77AC"/>
    <w:rsid w:val="006B78C5"/>
    <w:rsid w:val="006C2061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3D4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6E79"/>
    <w:rsid w:val="00717591"/>
    <w:rsid w:val="007177E4"/>
    <w:rsid w:val="007215EA"/>
    <w:rsid w:val="0072550A"/>
    <w:rsid w:val="007256CC"/>
    <w:rsid w:val="00725709"/>
    <w:rsid w:val="00726A8E"/>
    <w:rsid w:val="00726E7C"/>
    <w:rsid w:val="007310D1"/>
    <w:rsid w:val="00731C66"/>
    <w:rsid w:val="00731F92"/>
    <w:rsid w:val="007323EF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5EA3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A50"/>
    <w:rsid w:val="00751CE2"/>
    <w:rsid w:val="00752D9A"/>
    <w:rsid w:val="00754C8A"/>
    <w:rsid w:val="00755065"/>
    <w:rsid w:val="00755174"/>
    <w:rsid w:val="00755361"/>
    <w:rsid w:val="0075563D"/>
    <w:rsid w:val="007568D6"/>
    <w:rsid w:val="00757121"/>
    <w:rsid w:val="007579EE"/>
    <w:rsid w:val="0076145B"/>
    <w:rsid w:val="007621B6"/>
    <w:rsid w:val="00762B63"/>
    <w:rsid w:val="00763840"/>
    <w:rsid w:val="00763FE4"/>
    <w:rsid w:val="0076417E"/>
    <w:rsid w:val="00764C43"/>
    <w:rsid w:val="00766F23"/>
    <w:rsid w:val="00767C08"/>
    <w:rsid w:val="0077052B"/>
    <w:rsid w:val="00770607"/>
    <w:rsid w:val="00770C49"/>
    <w:rsid w:val="00770FE5"/>
    <w:rsid w:val="00772DF5"/>
    <w:rsid w:val="007763DB"/>
    <w:rsid w:val="00777AED"/>
    <w:rsid w:val="00781580"/>
    <w:rsid w:val="00781B8F"/>
    <w:rsid w:val="007825F8"/>
    <w:rsid w:val="00783C28"/>
    <w:rsid w:val="0078411D"/>
    <w:rsid w:val="0078455B"/>
    <w:rsid w:val="00784CEF"/>
    <w:rsid w:val="00784DDB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1C50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EC7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A39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0C75"/>
    <w:rsid w:val="00801194"/>
    <w:rsid w:val="008011FA"/>
    <w:rsid w:val="008011FB"/>
    <w:rsid w:val="00801750"/>
    <w:rsid w:val="00801B26"/>
    <w:rsid w:val="00801D83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49B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0F2E"/>
    <w:rsid w:val="0083167E"/>
    <w:rsid w:val="00831F16"/>
    <w:rsid w:val="00832EA1"/>
    <w:rsid w:val="00833570"/>
    <w:rsid w:val="008341F0"/>
    <w:rsid w:val="00835A31"/>
    <w:rsid w:val="00835FA2"/>
    <w:rsid w:val="00837A4C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3B8F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28E0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A71"/>
    <w:rsid w:val="008B3389"/>
    <w:rsid w:val="008B4DB8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4A5"/>
    <w:rsid w:val="008C6B96"/>
    <w:rsid w:val="008C6DE4"/>
    <w:rsid w:val="008D0753"/>
    <w:rsid w:val="008D14B1"/>
    <w:rsid w:val="008D1C34"/>
    <w:rsid w:val="008D3AE9"/>
    <w:rsid w:val="008D405B"/>
    <w:rsid w:val="008D629E"/>
    <w:rsid w:val="008D6F63"/>
    <w:rsid w:val="008D7A33"/>
    <w:rsid w:val="008E0524"/>
    <w:rsid w:val="008E0A00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44F4"/>
    <w:rsid w:val="009053DA"/>
    <w:rsid w:val="009059FF"/>
    <w:rsid w:val="009060FE"/>
    <w:rsid w:val="00910747"/>
    <w:rsid w:val="00910E3B"/>
    <w:rsid w:val="009122D0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672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17F6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6AD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2D4"/>
    <w:rsid w:val="0097535C"/>
    <w:rsid w:val="00975A23"/>
    <w:rsid w:val="009761D3"/>
    <w:rsid w:val="009762F4"/>
    <w:rsid w:val="00976F28"/>
    <w:rsid w:val="009822AB"/>
    <w:rsid w:val="00982A00"/>
    <w:rsid w:val="00983048"/>
    <w:rsid w:val="0098318A"/>
    <w:rsid w:val="0098335A"/>
    <w:rsid w:val="00983B82"/>
    <w:rsid w:val="00986127"/>
    <w:rsid w:val="009864F0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106"/>
    <w:rsid w:val="009A29D8"/>
    <w:rsid w:val="009A29E9"/>
    <w:rsid w:val="009A2D45"/>
    <w:rsid w:val="009A56C0"/>
    <w:rsid w:val="009A6C25"/>
    <w:rsid w:val="009A6D2A"/>
    <w:rsid w:val="009A7FF9"/>
    <w:rsid w:val="009B015F"/>
    <w:rsid w:val="009B04E6"/>
    <w:rsid w:val="009B0883"/>
    <w:rsid w:val="009B0AD1"/>
    <w:rsid w:val="009B0AF0"/>
    <w:rsid w:val="009B0CDF"/>
    <w:rsid w:val="009B2515"/>
    <w:rsid w:val="009B2CE1"/>
    <w:rsid w:val="009B3AFA"/>
    <w:rsid w:val="009B3B5C"/>
    <w:rsid w:val="009B7036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4DAB"/>
    <w:rsid w:val="009F6428"/>
    <w:rsid w:val="009F64DC"/>
    <w:rsid w:val="00A0092D"/>
    <w:rsid w:val="00A00AB9"/>
    <w:rsid w:val="00A014DF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23E9"/>
    <w:rsid w:val="00A12A8C"/>
    <w:rsid w:val="00A12D45"/>
    <w:rsid w:val="00A131D7"/>
    <w:rsid w:val="00A13326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8C6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2A6"/>
    <w:rsid w:val="00B104B5"/>
    <w:rsid w:val="00B1068B"/>
    <w:rsid w:val="00B1079F"/>
    <w:rsid w:val="00B1096F"/>
    <w:rsid w:val="00B10C4B"/>
    <w:rsid w:val="00B10F65"/>
    <w:rsid w:val="00B11E1B"/>
    <w:rsid w:val="00B121B5"/>
    <w:rsid w:val="00B12714"/>
    <w:rsid w:val="00B12DE1"/>
    <w:rsid w:val="00B12E08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5E04"/>
    <w:rsid w:val="00B26A10"/>
    <w:rsid w:val="00B278EC"/>
    <w:rsid w:val="00B30AF1"/>
    <w:rsid w:val="00B30C3B"/>
    <w:rsid w:val="00B3356E"/>
    <w:rsid w:val="00B3392D"/>
    <w:rsid w:val="00B33F95"/>
    <w:rsid w:val="00B353A7"/>
    <w:rsid w:val="00B35CE3"/>
    <w:rsid w:val="00B367CB"/>
    <w:rsid w:val="00B37757"/>
    <w:rsid w:val="00B406C5"/>
    <w:rsid w:val="00B408F3"/>
    <w:rsid w:val="00B40D7B"/>
    <w:rsid w:val="00B4220B"/>
    <w:rsid w:val="00B42E84"/>
    <w:rsid w:val="00B42FD8"/>
    <w:rsid w:val="00B43740"/>
    <w:rsid w:val="00B43D6C"/>
    <w:rsid w:val="00B44292"/>
    <w:rsid w:val="00B44488"/>
    <w:rsid w:val="00B4501E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3F8E"/>
    <w:rsid w:val="00B55203"/>
    <w:rsid w:val="00B55C79"/>
    <w:rsid w:val="00B56002"/>
    <w:rsid w:val="00B570C1"/>
    <w:rsid w:val="00B572E8"/>
    <w:rsid w:val="00B57514"/>
    <w:rsid w:val="00B57CE4"/>
    <w:rsid w:val="00B57E03"/>
    <w:rsid w:val="00B616D3"/>
    <w:rsid w:val="00B634DD"/>
    <w:rsid w:val="00B638B6"/>
    <w:rsid w:val="00B6458A"/>
    <w:rsid w:val="00B658C4"/>
    <w:rsid w:val="00B66841"/>
    <w:rsid w:val="00B670B3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675C"/>
    <w:rsid w:val="00BD6C42"/>
    <w:rsid w:val="00BD704C"/>
    <w:rsid w:val="00BD71E6"/>
    <w:rsid w:val="00BE03E9"/>
    <w:rsid w:val="00BE0988"/>
    <w:rsid w:val="00BE13C0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745"/>
    <w:rsid w:val="00C21781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32D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CA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2AC3"/>
    <w:rsid w:val="00C63553"/>
    <w:rsid w:val="00C64599"/>
    <w:rsid w:val="00C658F0"/>
    <w:rsid w:val="00C65C4E"/>
    <w:rsid w:val="00C66A56"/>
    <w:rsid w:val="00C66B15"/>
    <w:rsid w:val="00C7227D"/>
    <w:rsid w:val="00C72405"/>
    <w:rsid w:val="00C73D25"/>
    <w:rsid w:val="00C74397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553A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D133E"/>
    <w:rsid w:val="00CD1B85"/>
    <w:rsid w:val="00CD2727"/>
    <w:rsid w:val="00CD293F"/>
    <w:rsid w:val="00CD3559"/>
    <w:rsid w:val="00CD3FC9"/>
    <w:rsid w:val="00CD632A"/>
    <w:rsid w:val="00CD63F0"/>
    <w:rsid w:val="00CD7551"/>
    <w:rsid w:val="00CE0511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3F5E"/>
    <w:rsid w:val="00D0513D"/>
    <w:rsid w:val="00D074AE"/>
    <w:rsid w:val="00D0792B"/>
    <w:rsid w:val="00D10410"/>
    <w:rsid w:val="00D10817"/>
    <w:rsid w:val="00D108DB"/>
    <w:rsid w:val="00D114FE"/>
    <w:rsid w:val="00D11AF0"/>
    <w:rsid w:val="00D13727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781"/>
    <w:rsid w:val="00D33D8A"/>
    <w:rsid w:val="00D343EC"/>
    <w:rsid w:val="00D35F20"/>
    <w:rsid w:val="00D36781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14D0"/>
    <w:rsid w:val="00D7180F"/>
    <w:rsid w:val="00D719EC"/>
    <w:rsid w:val="00D71DD0"/>
    <w:rsid w:val="00D7311C"/>
    <w:rsid w:val="00D73182"/>
    <w:rsid w:val="00D73FED"/>
    <w:rsid w:val="00D74906"/>
    <w:rsid w:val="00D74C73"/>
    <w:rsid w:val="00D74F71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4FD"/>
    <w:rsid w:val="00D94743"/>
    <w:rsid w:val="00D94783"/>
    <w:rsid w:val="00D949DF"/>
    <w:rsid w:val="00D94B67"/>
    <w:rsid w:val="00D94BA9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514B"/>
    <w:rsid w:val="00DB553B"/>
    <w:rsid w:val="00DB6C5A"/>
    <w:rsid w:val="00DC00AE"/>
    <w:rsid w:val="00DC01A4"/>
    <w:rsid w:val="00DC0951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234"/>
    <w:rsid w:val="00E10A13"/>
    <w:rsid w:val="00E10A49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0ADE"/>
    <w:rsid w:val="00E41D67"/>
    <w:rsid w:val="00E43F01"/>
    <w:rsid w:val="00E46189"/>
    <w:rsid w:val="00E46878"/>
    <w:rsid w:val="00E46C28"/>
    <w:rsid w:val="00E50BA5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056"/>
    <w:rsid w:val="00E677DE"/>
    <w:rsid w:val="00E67E7C"/>
    <w:rsid w:val="00E721AF"/>
    <w:rsid w:val="00E72DE0"/>
    <w:rsid w:val="00E7492C"/>
    <w:rsid w:val="00E74E55"/>
    <w:rsid w:val="00E76C73"/>
    <w:rsid w:val="00E77874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5E94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3E34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2260"/>
    <w:rsid w:val="00ED347F"/>
    <w:rsid w:val="00ED37A2"/>
    <w:rsid w:val="00ED4BB5"/>
    <w:rsid w:val="00ED5E40"/>
    <w:rsid w:val="00ED6E15"/>
    <w:rsid w:val="00ED7E4B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D72"/>
    <w:rsid w:val="00EE5292"/>
    <w:rsid w:val="00EE658F"/>
    <w:rsid w:val="00EE6649"/>
    <w:rsid w:val="00EE6B18"/>
    <w:rsid w:val="00EE7D3F"/>
    <w:rsid w:val="00EF020B"/>
    <w:rsid w:val="00EF2B60"/>
    <w:rsid w:val="00EF2C79"/>
    <w:rsid w:val="00EF3241"/>
    <w:rsid w:val="00EF41CD"/>
    <w:rsid w:val="00EF524B"/>
    <w:rsid w:val="00EF58D8"/>
    <w:rsid w:val="00EF6212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4E5B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378B"/>
    <w:rsid w:val="00F340BA"/>
    <w:rsid w:val="00F34506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07EE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67E4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409"/>
    <w:rsid w:val="00F90FEF"/>
    <w:rsid w:val="00F9180A"/>
    <w:rsid w:val="00F91BEA"/>
    <w:rsid w:val="00F92254"/>
    <w:rsid w:val="00F926D1"/>
    <w:rsid w:val="00F92DC1"/>
    <w:rsid w:val="00F92FE3"/>
    <w:rsid w:val="00F9311F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8E1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2648"/>
    <w:rsid w:val="00FB301D"/>
    <w:rsid w:val="00FB3070"/>
    <w:rsid w:val="00FB3B5A"/>
    <w:rsid w:val="00FB4797"/>
    <w:rsid w:val="00FB5D10"/>
    <w:rsid w:val="00FC0A33"/>
    <w:rsid w:val="00FC10A2"/>
    <w:rsid w:val="00FC11B6"/>
    <w:rsid w:val="00FC149D"/>
    <w:rsid w:val="00FC1512"/>
    <w:rsid w:val="00FC1B41"/>
    <w:rsid w:val="00FC2CE7"/>
    <w:rsid w:val="00FC2E4B"/>
    <w:rsid w:val="00FC35E0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D4B"/>
    <w:rsid w:val="00FD3F95"/>
    <w:rsid w:val="00FD4271"/>
    <w:rsid w:val="00FE1FB9"/>
    <w:rsid w:val="00FE2588"/>
    <w:rsid w:val="00FE28E3"/>
    <w:rsid w:val="00FE31DC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2F6B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nhideWhenUsed/>
    <w:rsid w:val="00B12714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FootnoteTextChar">
    <w:name w:val="Footnote Text Char"/>
    <w:aliases w:val=" Char Char1,FOOTNOTES Char1,Footnote Text - Sharp Char Char Char1,Footnote Text - Sharp Char Char2,Footnote Text - Sharp Char2,Footnote Text Char Char Char Char Char Char1,Footnote reference Char1,Sharp - Footnote Text Char1,fn Char1"/>
    <w:basedOn w:val="DefaultParagraphFont"/>
    <w:link w:val="FootnoteText"/>
    <w:rsid w:val="00B12714"/>
    <w:rPr>
      <w:rFonts w:ascii="Tahoma" w:hAnsi="Tahoma" w:cs="Tahoma"/>
      <w:sz w:val="14"/>
      <w:szCs w:val="14"/>
    </w:rPr>
  </w:style>
  <w:style w:type="character" w:styleId="FootnoteReference0">
    <w:name w:val="footnote reference"/>
    <w:basedOn w:val="DefaultParagraphFont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82017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28"/>
    </w:rPr>
  </w:style>
  <w:style w:type="paragraph" w:customStyle="1" w:styleId="KOT5">
    <w:name w:val="KOT5"/>
    <w:basedOn w:val="KOT4"/>
    <w:rsid w:val="00382017"/>
    <w:pPr>
      <w:spacing w:line="320" w:lineRule="exact"/>
      <w:outlineLvl w:val="2"/>
    </w:pPr>
    <w:rPr>
      <w:rFonts w:eastAsiaTheme="majorEastAsia"/>
      <w:color w:val="387026"/>
      <w:sz w:val="24"/>
      <w:szCs w:val="24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F67E4C"/>
    <w:pPr>
      <w:keepLines/>
      <w:pBdr>
        <w:top w:val="single" w:sz="12" w:space="4" w:color="EBF5F6"/>
        <w:left w:val="single" w:sz="12" w:space="11" w:color="EBF5F6"/>
        <w:bottom w:val="single" w:sz="12" w:space="6" w:color="EBF5F6"/>
        <w:right w:val="single" w:sz="12" w:space="11" w:color="EBF5F6"/>
      </w:pBdr>
      <w:shd w:val="solid" w:color="EBF5F6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14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footnotes" Target="footnotes.xml"/><Relationship Id="rId1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customXml" Target="../customXml/item1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header" Target="header4.xml"/><Relationship Id="rId14" Type="http://schemas.openxmlformats.org/officeDocument/2006/relationships/customXml" Target="../customXml/item3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E1148-0C93-4A03-B6AD-233A7DA6E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D01CA-3115-4CE7-86BC-E5252CE0B614}"/>
</file>

<file path=customXml/itemProps3.xml><?xml version="1.0" encoding="utf-8"?>
<ds:datastoreItem xmlns:ds="http://schemas.openxmlformats.org/officeDocument/2006/customXml" ds:itemID="{76D76087-565F-4CD4-93AB-056D9D787CC1}"/>
</file>

<file path=customXml/itemProps4.xml><?xml version="1.0" encoding="utf-8"?>
<ds:datastoreItem xmlns:ds="http://schemas.openxmlformats.org/officeDocument/2006/customXml" ds:itemID="{EA908BE5-374F-45B4-B9CC-313D887B4FF7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