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Heading9"/>
        <w:rPr>
          <w:rFonts w:hint="cs"/>
          <w:rtl/>
        </w:rPr>
      </w:pPr>
      <w:r>
        <w:rPr>
          <w:rFonts w:hint="cs"/>
          <w:rtl/>
        </w:rPr>
        <w:t>עיונים בביקורת המדינה</w:t>
      </w: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rPr>
          <w:szCs w:val="22"/>
        </w:rPr>
      </w:pPr>
    </w:p>
    <w:p w:rsidR="00000000">
      <w:pPr>
        <w:jc w:val="center"/>
        <w:rPr>
          <w:rFonts w:hint="cs"/>
          <w:sz w:val="30"/>
          <w:rtl/>
        </w:rPr>
      </w:pPr>
    </w:p>
    <w:p w:rsidR="00000000">
      <w:pPr>
        <w:jc w:val="center"/>
        <w:rPr>
          <w:sz w:val="30"/>
          <w:rtl/>
        </w:rPr>
        <w:sectPr>
          <w:pgSz w:w="11906" w:h="16838" w:code="9"/>
          <w:pgMar w:top="2098" w:right="2608" w:bottom="4536" w:left="2608" w:header="1531" w:footer="3969" w:gutter="0"/>
          <w:cols w:space="720"/>
          <w:titlePg/>
          <w:bidi/>
          <w:rtlGutter/>
          <w:docGrid w:linePitch="196"/>
        </w:sectPr>
      </w:pPr>
    </w:p>
    <w:p w:rsidR="00000000">
      <w:pPr>
        <w:jc w:val="center"/>
        <w:rPr>
          <w:rFonts w:hint="cs"/>
          <w:sz w:val="30"/>
          <w:rtl/>
        </w:rPr>
      </w:pPr>
    </w:p>
    <w:p w:rsidR="00000000">
      <w:pPr>
        <w:spacing w:after="120" w:line="240" w:lineRule="atLeast"/>
        <w:jc w:val="center"/>
        <w:rPr>
          <w:rFonts w:hint="cs"/>
          <w:b/>
          <w:sz w:val="24"/>
          <w:szCs w:val="22"/>
          <w:rtl/>
        </w:rPr>
      </w:pPr>
      <w:r>
        <w:rPr>
          <w:rFonts w:ascii="FrankRuehl" w:hAnsi="FrankRuehl"/>
          <w:b/>
          <w:bCs/>
          <w:sz w:val="32"/>
          <w:szCs w:val="32"/>
          <w:rtl/>
        </w:rPr>
        <w:br w:type="page"/>
      </w: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pStyle w:val="Heading5"/>
        <w:spacing w:line="240" w:lineRule="atLeast"/>
        <w:rPr>
          <w:rFonts w:hint="cs"/>
          <w:rtl/>
        </w:rPr>
      </w:pPr>
      <w:r>
        <w:rPr>
          <w:rFonts w:hint="cs"/>
          <w:rtl/>
        </w:rPr>
        <w:t>עיונים</w:t>
      </w:r>
    </w:p>
    <w:p w:rsidR="00000000">
      <w:pPr>
        <w:pStyle w:val="Heading6"/>
        <w:rPr>
          <w:rFonts w:hint="cs"/>
          <w:rtl/>
        </w:rPr>
      </w:pPr>
      <w:r>
        <w:rPr>
          <w:rFonts w:hint="cs"/>
          <w:rtl/>
        </w:rPr>
        <w:t>בביקורת המדינה</w:t>
      </w:r>
    </w:p>
    <w:p w:rsidR="00000000">
      <w:pPr>
        <w:spacing w:after="120" w:line="240" w:lineRule="atLeast"/>
        <w:jc w:val="center"/>
        <w:rPr>
          <w:rFonts w:hint="cs"/>
          <w:b/>
          <w:sz w:val="24"/>
          <w:szCs w:val="22"/>
          <w:rtl/>
        </w:rPr>
      </w:pPr>
    </w:p>
    <w:p w:rsidR="00000000">
      <w:pPr>
        <w:pStyle w:val="KOT1"/>
        <w:widowControl w:val="0"/>
        <w:spacing w:after="120" w:line="240" w:lineRule="atLeast"/>
        <w:rPr>
          <w:rFonts w:cs="Narkisim" w:hint="cs"/>
          <w:rtl/>
        </w:rPr>
      </w:pPr>
      <w:r>
        <w:rPr>
          <w:rFonts w:cs="Narkisim" w:hint="cs"/>
          <w:rtl/>
        </w:rPr>
        <w:t>חוברת מס' 61</w:t>
      </w:r>
    </w:p>
    <w:p w:rsidR="00000000">
      <w:pPr>
        <w:pStyle w:val="KOT1"/>
        <w:widowControl w:val="0"/>
        <w:spacing w:after="120" w:line="240" w:lineRule="atLeast"/>
        <w:rPr>
          <w:rFonts w:cs="Narkisim" w:hint="cs"/>
          <w:rtl/>
        </w:rPr>
      </w:pPr>
      <w:r>
        <w:rPr>
          <w:rFonts w:cs="Narkisim" w:hint="cs"/>
          <w:rtl/>
        </w:rPr>
        <w:t>התשס"ח - 2007</w:t>
      </w: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p>
    <w:p w:rsidR="00000000">
      <w:pPr>
        <w:spacing w:after="120" w:line="240" w:lineRule="atLeast"/>
        <w:jc w:val="center"/>
        <w:rPr>
          <w:rFonts w:hint="cs"/>
          <w:b/>
          <w:sz w:val="24"/>
          <w:szCs w:val="22"/>
          <w:rtl/>
        </w:rPr>
      </w:pPr>
      <w:r>
        <w:rPr>
          <w:noProof/>
          <w:lang w:eastAsia="en-US"/>
        </w:rPr>
        <w:drawing>
          <wp:inline distT="0" distB="0" distL="0" distR="0">
            <wp:extent cx="660400" cy="368300"/>
            <wp:effectExtent l="0" t="0" r="6350" b="0"/>
            <wp:docPr id="1" name="תמונה 1" descr="logo-b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19182" name="Picture 1" descr="logo-bl.wm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00" cy="368300"/>
                    </a:xfrm>
                    <a:prstGeom prst="rect">
                      <a:avLst/>
                    </a:prstGeom>
                    <a:noFill/>
                    <a:ln>
                      <a:noFill/>
                    </a:ln>
                  </pic:spPr>
                </pic:pic>
              </a:graphicData>
            </a:graphic>
          </wp:inline>
        </w:drawing>
      </w:r>
    </w:p>
    <w:p w:rsidR="00000000">
      <w:pPr>
        <w:spacing w:after="120" w:line="240" w:lineRule="atLeast"/>
        <w:jc w:val="center"/>
        <w:rPr>
          <w:rFonts w:hint="cs"/>
          <w:b/>
          <w:sz w:val="24"/>
          <w:szCs w:val="22"/>
          <w:rtl/>
        </w:rPr>
      </w:pPr>
    </w:p>
    <w:p w:rsidR="00000000">
      <w:pPr>
        <w:pStyle w:val="Heading4"/>
        <w:spacing w:line="240" w:lineRule="atLeast"/>
        <w:rPr>
          <w:rFonts w:hint="cs"/>
          <w:bCs w:val="0"/>
          <w:spacing w:val="4"/>
          <w:sz w:val="28"/>
          <w:szCs w:val="28"/>
          <w:rtl/>
        </w:rPr>
      </w:pPr>
      <w:r>
        <w:rPr>
          <w:rFonts w:hint="cs"/>
          <w:bCs w:val="0"/>
          <w:spacing w:val="4"/>
          <w:sz w:val="28"/>
          <w:szCs w:val="28"/>
          <w:rtl/>
        </w:rPr>
        <w:t>כתב עת של משרד מבקר המדינה</w:t>
      </w:r>
      <w:r>
        <w:rPr>
          <w:bCs w:val="0"/>
          <w:spacing w:val="4"/>
          <w:sz w:val="28"/>
          <w:szCs w:val="28"/>
          <w:rtl/>
        </w:rPr>
        <w:br/>
      </w:r>
      <w:r>
        <w:rPr>
          <w:rFonts w:hint="cs"/>
          <w:bCs w:val="0"/>
          <w:spacing w:val="4"/>
          <w:sz w:val="28"/>
          <w:szCs w:val="28"/>
          <w:rtl/>
        </w:rPr>
        <w:t>ונציבות תלונות הציבור</w:t>
      </w:r>
    </w:p>
    <w:p w:rsidR="00000000">
      <w:pPr>
        <w:pStyle w:val="a0"/>
        <w:tabs>
          <w:tab w:val="left" w:pos="1074"/>
        </w:tabs>
        <w:spacing w:line="312" w:lineRule="auto"/>
        <w:ind w:right="0"/>
        <w:rPr>
          <w:rFonts w:hint="cs"/>
          <w:rtl/>
        </w:rPr>
      </w:pPr>
      <w:r>
        <w:rPr>
          <w:szCs w:val="22"/>
          <w:rtl/>
        </w:rPr>
        <w:br w:type="page"/>
      </w:r>
      <w:r>
        <w:rPr>
          <w:rFonts w:hint="cs"/>
          <w:b/>
          <w:bCs/>
          <w:rtl/>
        </w:rPr>
        <w:t>המערכת</w:t>
      </w:r>
      <w:r>
        <w:rPr>
          <w:rFonts w:hint="cs"/>
          <w:rtl/>
        </w:rPr>
        <w:t>:</w:t>
      </w:r>
      <w:r>
        <w:tab/>
      </w:r>
      <w:r>
        <w:rPr>
          <w:rFonts w:hint="cs"/>
          <w:rtl/>
        </w:rPr>
        <w:t>יהושע רוט (עורך)</w:t>
      </w:r>
    </w:p>
    <w:p w:rsidR="00000000">
      <w:pPr>
        <w:pStyle w:val="a0"/>
        <w:tabs>
          <w:tab w:val="left" w:pos="1074"/>
        </w:tabs>
        <w:spacing w:line="312" w:lineRule="auto"/>
        <w:ind w:right="0"/>
        <w:rPr>
          <w:rFonts w:hint="cs"/>
          <w:rtl/>
        </w:rPr>
      </w:pPr>
      <w:r>
        <w:tab/>
      </w:r>
      <w:r>
        <w:rPr>
          <w:rFonts w:hint="cs"/>
          <w:rtl/>
        </w:rPr>
        <w:t>ברכה טל</w:t>
      </w:r>
    </w:p>
    <w:p w:rsidR="00000000">
      <w:pPr>
        <w:pStyle w:val="a0"/>
        <w:tabs>
          <w:tab w:val="left" w:pos="1074"/>
        </w:tabs>
        <w:spacing w:line="312" w:lineRule="auto"/>
        <w:ind w:right="0"/>
        <w:rPr>
          <w:rFonts w:hint="cs"/>
          <w:rtl/>
        </w:rPr>
      </w:pPr>
      <w:r>
        <w:tab/>
      </w:r>
      <w:r>
        <w:rPr>
          <w:rFonts w:hint="cs"/>
          <w:rtl/>
        </w:rPr>
        <w:t>נסים מזרחי</w:t>
      </w:r>
    </w:p>
    <w:p w:rsidR="00000000">
      <w:pPr>
        <w:pStyle w:val="a0"/>
        <w:tabs>
          <w:tab w:val="left" w:pos="1074"/>
        </w:tabs>
        <w:spacing w:line="312" w:lineRule="auto"/>
        <w:ind w:right="0"/>
        <w:rPr>
          <w:rFonts w:hint="cs"/>
          <w:rtl/>
        </w:rPr>
      </w:pPr>
      <w:r>
        <w:tab/>
      </w:r>
      <w:r>
        <w:rPr>
          <w:rFonts w:hint="cs"/>
          <w:rtl/>
        </w:rPr>
        <w:t>ד"ר ראובן שוורץ</w:t>
      </w:r>
    </w:p>
    <w:p w:rsidR="00000000">
      <w:pPr>
        <w:pStyle w:val="a0"/>
        <w:tabs>
          <w:tab w:val="left" w:pos="1074"/>
        </w:tabs>
        <w:spacing w:line="312" w:lineRule="auto"/>
        <w:ind w:right="0"/>
        <w:rPr>
          <w:rFonts w:hint="cs"/>
          <w:rtl/>
        </w:rPr>
      </w:pPr>
      <w:r>
        <w:tab/>
      </w:r>
      <w:r>
        <w:rPr>
          <w:rFonts w:hint="cs"/>
          <w:rtl/>
        </w:rPr>
        <w:t>פרופ' עירא שרקנסקי</w:t>
      </w:r>
    </w:p>
    <w:p w:rsidR="00000000">
      <w:pPr>
        <w:pStyle w:val="a0"/>
        <w:tabs>
          <w:tab w:val="left" w:pos="1074"/>
        </w:tabs>
        <w:spacing w:line="312" w:lineRule="auto"/>
        <w:ind w:right="0"/>
        <w:rPr>
          <w:rFonts w:hint="cs"/>
        </w:rPr>
      </w:pPr>
      <w:r>
        <w:rPr>
          <w:rFonts w:hint="cs"/>
          <w:rtl/>
        </w:rPr>
        <w:tab/>
        <w:t>חנה</w:t>
      </w:r>
      <w:r>
        <w:rPr>
          <w:rFonts w:hint="cs"/>
          <w:rtl/>
        </w:rPr>
        <w:t xml:space="preserve"> יזראלוביץ</w:t>
      </w:r>
    </w:p>
    <w:p w:rsidR="00000000">
      <w:pPr>
        <w:pStyle w:val="a0"/>
        <w:spacing w:line="312" w:lineRule="auto"/>
        <w:ind w:right="0"/>
        <w:rPr>
          <w:rFonts w:hint="cs"/>
          <w:rtl/>
        </w:rPr>
      </w:pPr>
    </w:p>
    <w:p w:rsidR="00000000">
      <w:pPr>
        <w:pStyle w:val="a0"/>
        <w:spacing w:line="312" w:lineRule="auto"/>
        <w:ind w:right="0"/>
        <w:rPr>
          <w:rFonts w:hint="cs"/>
          <w:rtl/>
        </w:rPr>
      </w:pPr>
    </w:p>
    <w:p w:rsidR="00000000">
      <w:pPr>
        <w:pStyle w:val="a0"/>
        <w:spacing w:line="312" w:lineRule="auto"/>
        <w:ind w:right="0"/>
        <w:rPr>
          <w:rFonts w:hint="cs"/>
          <w:rtl/>
        </w:rPr>
      </w:pPr>
      <w:r>
        <w:rPr>
          <w:rFonts w:hint="cs"/>
          <w:rtl/>
        </w:rPr>
        <w:t>המאמרים המתפרסמים ב"עיונים" הם על אחריות הכותבים בלבד.</w:t>
      </w:r>
    </w:p>
    <w:p w:rsidR="00000000">
      <w:pPr>
        <w:pStyle w:val="a0"/>
        <w:spacing w:line="312" w:lineRule="auto"/>
        <w:ind w:right="0"/>
        <w:rPr>
          <w:rFonts w:hint="cs"/>
          <w:rtl/>
        </w:rPr>
      </w:pPr>
    </w:p>
    <w:p w:rsidR="00000000">
      <w:pPr>
        <w:pStyle w:val="a0"/>
        <w:spacing w:line="312" w:lineRule="auto"/>
        <w:ind w:right="0"/>
        <w:rPr>
          <w:rFonts w:hint="cs"/>
          <w:rtl/>
        </w:rPr>
      </w:pPr>
      <w:r>
        <w:rPr>
          <w:rFonts w:hint="cs"/>
          <w:rtl/>
        </w:rPr>
        <w:t>פרסום בכתב של החומר מתוך כתב עת זה מותר רק לאחר קבלת הסכמה מראש ובציון המקור.</w:t>
      </w:r>
    </w:p>
    <w:p w:rsidR="00000000">
      <w:pPr>
        <w:pStyle w:val="a0"/>
        <w:spacing w:line="312" w:lineRule="auto"/>
        <w:ind w:right="0"/>
        <w:rPr>
          <w:rFonts w:hint="cs"/>
          <w:rtl/>
        </w:rPr>
      </w:pPr>
    </w:p>
    <w:p w:rsidR="00000000">
      <w:pPr>
        <w:pStyle w:val="a0"/>
        <w:tabs>
          <w:tab w:val="left" w:pos="1434"/>
        </w:tabs>
        <w:spacing w:line="312" w:lineRule="auto"/>
        <w:ind w:right="0"/>
        <w:rPr>
          <w:rFonts w:hint="cs"/>
          <w:rtl/>
        </w:rPr>
      </w:pPr>
      <w:r>
        <w:rPr>
          <w:rFonts w:hint="cs"/>
          <w:b/>
          <w:bCs/>
          <w:rtl/>
        </w:rPr>
        <w:t>כתובת המערכת</w:t>
      </w:r>
      <w:r>
        <w:rPr>
          <w:rFonts w:hint="cs"/>
          <w:rtl/>
        </w:rPr>
        <w:t xml:space="preserve">: </w:t>
      </w:r>
      <w:r>
        <w:tab/>
      </w:r>
      <w:r>
        <w:rPr>
          <w:rFonts w:hint="cs"/>
          <w:rtl/>
        </w:rPr>
        <w:t>משרד מבקר המדינה, ת.ד. 1081 ירושלים 91010</w:t>
      </w:r>
    </w:p>
    <w:p w:rsidR="00000000">
      <w:pPr>
        <w:jc w:val="center"/>
        <w:rPr>
          <w:rFonts w:cs="FrankRuehl" w:hint="cs"/>
          <w:sz w:val="22"/>
          <w:rtl/>
        </w:rPr>
      </w:pPr>
    </w:p>
    <w:p w:rsidR="00000000">
      <w:pPr>
        <w:jc w:val="center"/>
        <w:rPr>
          <w:rFonts w:cs="FrankRuehl" w:hint="cs"/>
          <w:sz w:val="22"/>
          <w:rtl/>
        </w:rPr>
      </w:pPr>
    </w:p>
    <w:p w:rsidR="00000000">
      <w:pPr>
        <w:jc w:val="center"/>
        <w:rPr>
          <w:rFonts w:cs="FrankRuehl" w:hint="cs"/>
          <w:sz w:val="22"/>
          <w:rtl/>
        </w:rPr>
      </w:pPr>
    </w:p>
    <w:p w:rsidR="00000000">
      <w:pPr>
        <w:jc w:val="center"/>
        <w:rPr>
          <w:rFonts w:cs="FrankRuehl" w:hint="cs"/>
          <w:sz w:val="22"/>
          <w:rtl/>
        </w:rPr>
      </w:pPr>
    </w:p>
    <w:p w:rsidR="00000000">
      <w:pPr>
        <w:jc w:val="center"/>
        <w:rPr>
          <w:rFonts w:cs="FrankRuehl"/>
          <w:sz w:val="24"/>
        </w:rPr>
      </w:pPr>
      <w:r>
        <w:rPr>
          <w:rFonts w:cs="FrankRuehl" w:hint="cs"/>
          <w:sz w:val="24"/>
          <w:rtl/>
        </w:rPr>
        <w:t>מס' קטלוגי 759-07</w:t>
      </w:r>
    </w:p>
    <w:p w:rsidR="00000000">
      <w:pPr>
        <w:jc w:val="center"/>
        <w:rPr>
          <w:rFonts w:ascii="FrankRuehl" w:hAnsi="FrankRuehl" w:cs="FrankRuehl"/>
          <w:szCs w:val="20"/>
        </w:rPr>
      </w:pPr>
      <w:r>
        <w:rPr>
          <w:rFonts w:cs="FrankRuehl"/>
          <w:szCs w:val="20"/>
        </w:rPr>
        <w:t xml:space="preserve">ISSN </w:t>
      </w:r>
      <w:bookmarkStart w:id="0" w:name="_GoBack"/>
      <w:r>
        <w:rPr>
          <w:rFonts w:cs="FrankRuehl"/>
          <w:szCs w:val="20"/>
        </w:rPr>
        <w:t>0579-2770</w:t>
      </w:r>
      <w:bookmarkEnd w:id="0"/>
    </w:p>
    <w:p w:rsidR="00000000">
      <w:pPr>
        <w:jc w:val="center"/>
        <w:rPr>
          <w:rFonts w:cs="FrankRuehl" w:hint="cs"/>
          <w:szCs w:val="20"/>
        </w:rPr>
      </w:pPr>
    </w:p>
    <w:p w:rsidR="00000000">
      <w:pPr>
        <w:jc w:val="center"/>
        <w:rPr>
          <w:rFonts w:cs="FrankRuehl" w:hint="cs"/>
          <w:sz w:val="24"/>
          <w:rtl/>
        </w:rPr>
      </w:pPr>
      <w:r>
        <w:rPr>
          <w:rFonts w:cs="FrankRuehl" w:hint="cs"/>
          <w:sz w:val="24"/>
          <w:rtl/>
        </w:rPr>
        <w:t>ניתן לקבל גרס</w:t>
      </w:r>
      <w:r>
        <w:rPr>
          <w:rFonts w:cs="FrankRuehl" w:hint="cs"/>
          <w:sz w:val="24"/>
          <w:rtl/>
        </w:rPr>
        <w:t xml:space="preserve">ה אלקטרונית של דוח זה באתר האינטרנט של </w:t>
      </w:r>
      <w:r>
        <w:rPr>
          <w:rFonts w:cs="FrankRuehl"/>
          <w:sz w:val="24"/>
        </w:rPr>
        <w:br/>
      </w:r>
      <w:r>
        <w:rPr>
          <w:rFonts w:cs="FrankRuehl" w:hint="cs"/>
          <w:sz w:val="24"/>
          <w:rtl/>
        </w:rPr>
        <w:t>משרד מבקר המדינה בכתובת:</w:t>
      </w:r>
    </w:p>
    <w:p w:rsidR="00000000">
      <w:pPr>
        <w:jc w:val="center"/>
        <w:rPr>
          <w:rFonts w:cs="FrankRuehl" w:hint="cs"/>
          <w:sz w:val="22"/>
          <w:szCs w:val="22"/>
          <w:rtl/>
        </w:rPr>
      </w:pPr>
      <w:r>
        <w:rPr>
          <w:rFonts w:cs="FrankRuehl"/>
          <w:sz w:val="22"/>
          <w:szCs w:val="22"/>
        </w:rPr>
        <w:t>www.mevaker.gov.il</w:t>
      </w:r>
    </w:p>
    <w:p w:rsidR="00000000">
      <w:pPr>
        <w:jc w:val="center"/>
        <w:rPr>
          <w:rFonts w:cs="FrankRuehl" w:hint="cs"/>
          <w:sz w:val="22"/>
          <w:rtl/>
        </w:rPr>
      </w:pPr>
    </w:p>
    <w:p w:rsidR="00000000">
      <w:pPr>
        <w:jc w:val="center"/>
        <w:rPr>
          <w:rFonts w:cs="FrankRuehl" w:hint="cs"/>
          <w:sz w:val="22"/>
          <w:rtl/>
        </w:rPr>
      </w:pPr>
    </w:p>
    <w:p w:rsidR="00000000">
      <w:pPr>
        <w:jc w:val="center"/>
        <w:rPr>
          <w:rFonts w:cs="FrankRuehl" w:hint="cs"/>
          <w:sz w:val="22"/>
          <w:rtl/>
        </w:rPr>
      </w:pPr>
      <w:r>
        <w:rPr>
          <w:rFonts w:cs="FrankRuehl" w:hint="cs"/>
          <w:sz w:val="22"/>
          <w:rtl/>
        </w:rPr>
        <w:t>סדר: אונית שירותי מחשב בע"מ, ירושלים</w:t>
      </w:r>
    </w:p>
    <w:p w:rsidR="00000000">
      <w:pPr>
        <w:jc w:val="center"/>
        <w:rPr>
          <w:rFonts w:cs="FrankRuehl" w:hint="cs"/>
          <w:sz w:val="22"/>
          <w:rtl/>
        </w:rPr>
      </w:pPr>
      <w:r>
        <w:rPr>
          <w:rFonts w:cs="FrankRuehl" w:hint="cs"/>
          <w:sz w:val="22"/>
          <w:rtl/>
        </w:rPr>
        <w:t>דפוס: כתר בע"מ</w:t>
      </w:r>
    </w:p>
    <w:p w:rsidR="00000000">
      <w:pPr>
        <w:pStyle w:val="Heading3"/>
        <w:spacing w:before="120" w:line="360" w:lineRule="exact"/>
        <w:rPr>
          <w:rFonts w:hint="cs"/>
          <w:sz w:val="40"/>
          <w:szCs w:val="40"/>
          <w:rtl/>
        </w:rPr>
      </w:pPr>
      <w:r>
        <w:rPr>
          <w:sz w:val="40"/>
          <w:szCs w:val="40"/>
          <w:rtl/>
        </w:rPr>
        <w:br w:type="page"/>
      </w:r>
      <w:r>
        <w:rPr>
          <w:rFonts w:hint="cs"/>
          <w:sz w:val="40"/>
          <w:szCs w:val="40"/>
          <w:rtl/>
        </w:rPr>
        <w:t>תוכן עניינים</w:t>
      </w:r>
    </w:p>
    <w:p w:rsidR="00000000">
      <w:pPr>
        <w:tabs>
          <w:tab w:val="right" w:leader="dot" w:pos="6237"/>
          <w:tab w:val="left" w:pos="6350"/>
        </w:tabs>
        <w:spacing w:line="264" w:lineRule="exact"/>
        <w:ind w:right="1134"/>
        <w:jc w:val="left"/>
        <w:rPr>
          <w:rFonts w:hint="cs"/>
          <w:bCs/>
          <w:sz w:val="24"/>
          <w:rtl/>
        </w:rPr>
      </w:pPr>
    </w:p>
    <w:p w:rsidR="00000000">
      <w:pPr>
        <w:tabs>
          <w:tab w:val="right" w:leader="dot" w:pos="6237"/>
          <w:tab w:val="left" w:pos="6350"/>
        </w:tabs>
        <w:spacing w:line="264" w:lineRule="exact"/>
        <w:ind w:right="1134"/>
        <w:jc w:val="left"/>
        <w:rPr>
          <w:rFonts w:hint="cs"/>
          <w:bCs/>
          <w:sz w:val="24"/>
          <w:rtl/>
        </w:rPr>
      </w:pPr>
    </w:p>
    <w:p w:rsidR="00000000">
      <w:pPr>
        <w:tabs>
          <w:tab w:val="right" w:leader="dot" w:pos="6237"/>
          <w:tab w:val="left" w:pos="6350"/>
        </w:tabs>
        <w:spacing w:after="180" w:line="280" w:lineRule="exact"/>
        <w:ind w:right="936"/>
        <w:jc w:val="left"/>
        <w:rPr>
          <w:rFonts w:hint="cs"/>
          <w:bCs/>
          <w:sz w:val="24"/>
          <w:rtl/>
        </w:rPr>
      </w:pPr>
      <w:r>
        <w:rPr>
          <w:rFonts w:hint="cs"/>
          <w:bCs/>
          <w:sz w:val="24"/>
          <w:rtl/>
        </w:rPr>
        <w:t>דבר העורך</w:t>
      </w:r>
    </w:p>
    <w:p w:rsidR="00000000">
      <w:pPr>
        <w:tabs>
          <w:tab w:val="right" w:leader="dot" w:pos="6237"/>
          <w:tab w:val="left" w:pos="6350"/>
        </w:tabs>
        <w:spacing w:after="180" w:line="280" w:lineRule="exact"/>
        <w:ind w:right="936"/>
        <w:jc w:val="left"/>
        <w:rPr>
          <w:sz w:val="24"/>
          <w:rtl/>
        </w:rPr>
      </w:pPr>
      <w:r>
        <w:rPr>
          <w:bCs/>
          <w:sz w:val="24"/>
          <w:rtl/>
        </w:rPr>
        <w:t>ד</w:t>
      </w:r>
      <w:r>
        <w:rPr>
          <w:rFonts w:hint="cs"/>
          <w:bCs/>
          <w:sz w:val="24"/>
          <w:rtl/>
        </w:rPr>
        <w:t xml:space="preserve">מוקרטיה, שלטון החוק </w:t>
      </w:r>
      <w:r>
        <w:rPr>
          <w:bCs/>
          <w:sz w:val="24"/>
          <w:rtl/>
        </w:rPr>
        <w:t>ו</w:t>
      </w:r>
      <w:r>
        <w:rPr>
          <w:rFonts w:hint="cs"/>
          <w:bCs/>
          <w:sz w:val="24"/>
          <w:rtl/>
        </w:rPr>
        <w:t>האומבודסמן</w:t>
      </w:r>
      <w:r>
        <w:rPr>
          <w:rFonts w:hint="cs"/>
          <w:sz w:val="24"/>
          <w:rtl/>
        </w:rPr>
        <w:t xml:space="preserve"> // פ. ניקיפורוס דיאמנדורוס</w:t>
      </w:r>
      <w:r>
        <w:rPr>
          <w:rFonts w:hint="cs"/>
          <w:sz w:val="24"/>
          <w:rtl/>
        </w:rPr>
        <w:tab/>
      </w:r>
      <w:r>
        <w:rPr>
          <w:rFonts w:hint="cs"/>
          <w:sz w:val="24"/>
          <w:rtl/>
        </w:rPr>
        <w:tab/>
        <w:t>1</w:t>
      </w:r>
    </w:p>
    <w:p w:rsidR="00000000">
      <w:pPr>
        <w:tabs>
          <w:tab w:val="right" w:leader="dot" w:pos="6237"/>
          <w:tab w:val="left" w:pos="6350"/>
        </w:tabs>
        <w:spacing w:after="180" w:line="280" w:lineRule="exact"/>
        <w:ind w:right="936"/>
        <w:jc w:val="left"/>
        <w:rPr>
          <w:sz w:val="24"/>
          <w:rtl/>
        </w:rPr>
      </w:pPr>
      <w:r>
        <w:rPr>
          <w:rFonts w:hint="cs"/>
          <w:bCs/>
          <w:sz w:val="24"/>
          <w:rtl/>
        </w:rPr>
        <w:t xml:space="preserve">המנדט של </w:t>
      </w:r>
      <w:r>
        <w:rPr>
          <w:bCs/>
          <w:sz w:val="24"/>
          <w:rtl/>
        </w:rPr>
        <w:t>האו</w:t>
      </w:r>
      <w:r>
        <w:rPr>
          <w:rFonts w:hint="cs"/>
          <w:bCs/>
          <w:sz w:val="24"/>
          <w:rtl/>
        </w:rPr>
        <w:t>מבודסמן כלפי המדי</w:t>
      </w:r>
      <w:r>
        <w:rPr>
          <w:rFonts w:hint="cs"/>
          <w:bCs/>
          <w:sz w:val="24"/>
          <w:rtl/>
        </w:rPr>
        <w:t>נה,</w:t>
      </w:r>
      <w:r>
        <w:rPr>
          <w:bCs/>
          <w:sz w:val="24"/>
          <w:rtl/>
        </w:rPr>
        <w:t xml:space="preserve"> </w:t>
      </w:r>
      <w:r>
        <w:rPr>
          <w:rFonts w:hint="cs"/>
          <w:bCs/>
          <w:sz w:val="24"/>
          <w:rtl/>
        </w:rPr>
        <w:t xml:space="preserve">כלפי האיחוד </w:t>
      </w:r>
      <w:r>
        <w:rPr>
          <w:bCs/>
          <w:sz w:val="24"/>
          <w:rtl/>
        </w:rPr>
        <w:t>הא</w:t>
      </w:r>
      <w:r>
        <w:rPr>
          <w:rFonts w:hint="cs"/>
          <w:bCs/>
          <w:sz w:val="24"/>
          <w:rtl/>
        </w:rPr>
        <w:t>ירופי וביחס לקשרי החוץ של המדינה</w:t>
      </w:r>
      <w:r>
        <w:rPr>
          <w:rFonts w:hint="cs"/>
          <w:sz w:val="24"/>
          <w:rtl/>
        </w:rPr>
        <w:t xml:space="preserve"> // בַּרנַבָּשׁ לנקוביץ</w:t>
      </w:r>
      <w:r>
        <w:rPr>
          <w:rFonts w:hint="cs"/>
          <w:sz w:val="24"/>
          <w:rtl/>
        </w:rPr>
        <w:tab/>
      </w:r>
      <w:r>
        <w:rPr>
          <w:rFonts w:hint="cs"/>
          <w:sz w:val="24"/>
          <w:rtl/>
        </w:rPr>
        <w:tab/>
        <w:t>15</w:t>
      </w:r>
    </w:p>
    <w:p w:rsidR="00000000">
      <w:pPr>
        <w:tabs>
          <w:tab w:val="right" w:leader="dot" w:pos="6237"/>
          <w:tab w:val="left" w:pos="6350"/>
        </w:tabs>
        <w:spacing w:after="180" w:line="280" w:lineRule="exact"/>
        <w:ind w:right="936"/>
        <w:jc w:val="left"/>
        <w:rPr>
          <w:sz w:val="24"/>
        </w:rPr>
      </w:pPr>
      <w:r>
        <w:rPr>
          <w:rFonts w:hint="cs"/>
          <w:bCs/>
          <w:sz w:val="24"/>
          <w:rtl/>
        </w:rPr>
        <w:t xml:space="preserve">עקרון עצמאות השופטים והביקורת על פעולתם: עיונים בתכליותיו של חוק נציב תלונות הציבור על שופטים, </w:t>
      </w:r>
      <w:r>
        <w:rPr>
          <w:bCs/>
          <w:sz w:val="24"/>
        </w:rPr>
        <w:br/>
      </w:r>
      <w:r>
        <w:rPr>
          <w:rFonts w:hint="cs"/>
          <w:bCs/>
          <w:sz w:val="24"/>
          <w:rtl/>
        </w:rPr>
        <w:t>התשס"ב-2002</w:t>
      </w:r>
      <w:r>
        <w:rPr>
          <w:rFonts w:hint="cs"/>
          <w:sz w:val="24"/>
          <w:rtl/>
        </w:rPr>
        <w:t xml:space="preserve"> // טובה שטרסברג-כהן</w:t>
      </w:r>
      <w:r>
        <w:rPr>
          <w:rFonts w:hint="cs"/>
          <w:sz w:val="24"/>
          <w:rtl/>
        </w:rPr>
        <w:tab/>
      </w:r>
      <w:r>
        <w:rPr>
          <w:rFonts w:hint="cs"/>
          <w:sz w:val="24"/>
          <w:rtl/>
        </w:rPr>
        <w:tab/>
        <w:t>27</w:t>
      </w:r>
    </w:p>
    <w:p w:rsidR="00000000">
      <w:pPr>
        <w:tabs>
          <w:tab w:val="right" w:leader="dot" w:pos="6237"/>
          <w:tab w:val="left" w:pos="6350"/>
        </w:tabs>
        <w:spacing w:after="180" w:line="280" w:lineRule="exact"/>
        <w:ind w:right="936"/>
        <w:jc w:val="left"/>
        <w:rPr>
          <w:sz w:val="24"/>
          <w:rtl/>
        </w:rPr>
      </w:pPr>
      <w:r>
        <w:rPr>
          <w:rFonts w:hint="cs"/>
          <w:bCs/>
          <w:sz w:val="24"/>
          <w:rtl/>
        </w:rPr>
        <w:t>הביקורת והתקשורת ככלבי השמירה של הדמוקרטיה - מ</w:t>
      </w:r>
      <w:r>
        <w:rPr>
          <w:rFonts w:hint="cs"/>
          <w:bCs/>
          <w:sz w:val="24"/>
          <w:rtl/>
        </w:rPr>
        <w:t>בט השוואתי</w:t>
      </w:r>
      <w:r>
        <w:rPr>
          <w:rFonts w:hint="cs"/>
          <w:sz w:val="24"/>
          <w:rtl/>
        </w:rPr>
        <w:t xml:space="preserve"> // גל אלון</w:t>
      </w:r>
      <w:r>
        <w:rPr>
          <w:rFonts w:hint="cs"/>
          <w:sz w:val="24"/>
          <w:rtl/>
        </w:rPr>
        <w:tab/>
      </w:r>
      <w:r>
        <w:rPr>
          <w:rFonts w:hint="cs"/>
          <w:sz w:val="24"/>
          <w:rtl/>
        </w:rPr>
        <w:tab/>
        <w:t>43</w:t>
      </w:r>
    </w:p>
    <w:p w:rsidR="00000000">
      <w:pPr>
        <w:tabs>
          <w:tab w:val="right" w:leader="dot" w:pos="6237"/>
          <w:tab w:val="left" w:pos="6350"/>
        </w:tabs>
        <w:spacing w:after="180" w:line="280" w:lineRule="exact"/>
        <w:ind w:right="936"/>
        <w:jc w:val="left"/>
        <w:rPr>
          <w:rFonts w:hint="cs"/>
          <w:sz w:val="24"/>
          <w:rtl/>
        </w:rPr>
      </w:pPr>
      <w:r>
        <w:rPr>
          <w:rFonts w:hint="cs"/>
          <w:bCs/>
          <w:sz w:val="24"/>
          <w:rtl/>
        </w:rPr>
        <w:t xml:space="preserve">מאפיינים של </w:t>
      </w:r>
      <w:r>
        <w:rPr>
          <w:bCs/>
          <w:sz w:val="24"/>
          <w:rtl/>
        </w:rPr>
        <w:t>סיקור העיתונות הכתובה של סוגיות ונושאים מתוך דוחות מבקר המדינה</w:t>
      </w:r>
      <w:r>
        <w:rPr>
          <w:rFonts w:hint="cs"/>
          <w:sz w:val="24"/>
          <w:rtl/>
        </w:rPr>
        <w:t xml:space="preserve"> // </w:t>
      </w:r>
      <w:r>
        <w:rPr>
          <w:sz w:val="24"/>
          <w:rtl/>
        </w:rPr>
        <w:t>חן ברגמן</w:t>
      </w:r>
      <w:r>
        <w:rPr>
          <w:rFonts w:hint="cs"/>
          <w:sz w:val="24"/>
          <w:rtl/>
        </w:rPr>
        <w:tab/>
      </w:r>
      <w:r>
        <w:rPr>
          <w:rFonts w:hint="cs"/>
          <w:sz w:val="24"/>
          <w:rtl/>
        </w:rPr>
        <w:tab/>
        <w:t>79</w:t>
      </w:r>
    </w:p>
    <w:p w:rsidR="00000000">
      <w:pPr>
        <w:tabs>
          <w:tab w:val="right" w:leader="dot" w:pos="6237"/>
          <w:tab w:val="left" w:pos="6350"/>
        </w:tabs>
        <w:spacing w:after="180" w:line="280" w:lineRule="exact"/>
        <w:ind w:right="936"/>
        <w:jc w:val="left"/>
        <w:rPr>
          <w:sz w:val="24"/>
          <w:rtl/>
        </w:rPr>
      </w:pPr>
      <w:r>
        <w:rPr>
          <w:rFonts w:hint="cs"/>
          <w:bCs/>
          <w:sz w:val="24"/>
          <w:rtl/>
        </w:rPr>
        <w:t>מינויים פוליטיים</w:t>
      </w:r>
      <w:r>
        <w:rPr>
          <w:rFonts w:hint="cs"/>
          <w:sz w:val="24"/>
          <w:rtl/>
        </w:rPr>
        <w:t xml:space="preserve"> // אליעזר גולדברג</w:t>
      </w:r>
      <w:r>
        <w:rPr>
          <w:rFonts w:hint="cs"/>
          <w:sz w:val="24"/>
          <w:rtl/>
        </w:rPr>
        <w:tab/>
      </w:r>
      <w:r>
        <w:rPr>
          <w:rFonts w:hint="cs"/>
          <w:sz w:val="24"/>
          <w:rtl/>
        </w:rPr>
        <w:tab/>
        <w:t>105</w:t>
      </w:r>
    </w:p>
    <w:p w:rsidR="00000000">
      <w:pPr>
        <w:tabs>
          <w:tab w:val="right" w:leader="dot" w:pos="6237"/>
          <w:tab w:val="left" w:pos="6350"/>
        </w:tabs>
        <w:spacing w:after="180" w:line="280" w:lineRule="exact"/>
        <w:ind w:right="936"/>
        <w:jc w:val="left"/>
        <w:rPr>
          <w:sz w:val="24"/>
        </w:rPr>
      </w:pPr>
      <w:r>
        <w:rPr>
          <w:rFonts w:hint="cs"/>
          <w:bCs/>
          <w:sz w:val="24"/>
          <w:rtl/>
        </w:rPr>
        <w:t>משרד מבקר המדינה</w:t>
      </w:r>
      <w:r>
        <w:rPr>
          <w:bCs/>
          <w:sz w:val="24"/>
          <w:rtl/>
        </w:rPr>
        <w:t xml:space="preserve"> בפולין </w:t>
      </w:r>
      <w:r>
        <w:rPr>
          <w:rFonts w:hint="cs"/>
          <w:bCs/>
          <w:sz w:val="24"/>
          <w:rtl/>
        </w:rPr>
        <w:t xml:space="preserve">לעומת </w:t>
      </w:r>
      <w:r>
        <w:rPr>
          <w:bCs/>
          <w:sz w:val="24"/>
          <w:rtl/>
        </w:rPr>
        <w:t>מוסדות ביקורת במדינות אחרות</w:t>
      </w:r>
      <w:r>
        <w:rPr>
          <w:rFonts w:hint="cs"/>
          <w:sz w:val="24"/>
          <w:rtl/>
        </w:rPr>
        <w:t xml:space="preserve"> // יאצק מזור</w:t>
      </w:r>
      <w:r>
        <w:rPr>
          <w:rFonts w:hint="cs"/>
          <w:sz w:val="24"/>
          <w:rtl/>
        </w:rPr>
        <w:tab/>
      </w:r>
      <w:r>
        <w:rPr>
          <w:rFonts w:hint="cs"/>
          <w:sz w:val="24"/>
          <w:rtl/>
        </w:rPr>
        <w:tab/>
        <w:t>115</w:t>
      </w:r>
    </w:p>
    <w:p w:rsidR="00000000">
      <w:pPr>
        <w:tabs>
          <w:tab w:val="right" w:leader="dot" w:pos="6237"/>
          <w:tab w:val="left" w:pos="6350"/>
        </w:tabs>
        <w:spacing w:after="180" w:line="280" w:lineRule="exact"/>
        <w:ind w:right="936"/>
        <w:jc w:val="left"/>
        <w:rPr>
          <w:rFonts w:hint="cs"/>
          <w:sz w:val="24"/>
          <w:rtl/>
        </w:rPr>
      </w:pPr>
      <w:r>
        <w:rPr>
          <w:bCs/>
          <w:sz w:val="24"/>
          <w:rtl/>
        </w:rPr>
        <w:t xml:space="preserve">ביקורת המדינה והביקורת </w:t>
      </w:r>
      <w:r>
        <w:rPr>
          <w:bCs/>
          <w:sz w:val="24"/>
          <w:rtl/>
        </w:rPr>
        <w:t>הפנימית בישראל</w:t>
      </w:r>
      <w:r>
        <w:rPr>
          <w:rFonts w:hint="cs"/>
          <w:bCs/>
          <w:sz w:val="24"/>
          <w:rtl/>
        </w:rPr>
        <w:t xml:space="preserve"> </w:t>
      </w:r>
      <w:r>
        <w:rPr>
          <w:bCs/>
          <w:sz w:val="24"/>
          <w:rtl/>
        </w:rPr>
        <w:t>-</w:t>
      </w:r>
      <w:r>
        <w:rPr>
          <w:rFonts w:hint="cs"/>
          <w:bCs/>
          <w:sz w:val="24"/>
          <w:rtl/>
        </w:rPr>
        <w:t xml:space="preserve"> היבטים </w:t>
      </w:r>
      <w:r>
        <w:rPr>
          <w:bCs/>
          <w:sz w:val="24"/>
          <w:rtl/>
        </w:rPr>
        <w:t>השוואתיים</w:t>
      </w:r>
      <w:r>
        <w:rPr>
          <w:rFonts w:hint="cs"/>
          <w:sz w:val="24"/>
          <w:rtl/>
        </w:rPr>
        <w:t xml:space="preserve"> // </w:t>
      </w:r>
      <w:r>
        <w:rPr>
          <w:sz w:val="24"/>
          <w:rtl/>
        </w:rPr>
        <w:t>נסים מזרחי</w:t>
      </w:r>
      <w:r>
        <w:rPr>
          <w:rFonts w:hint="cs"/>
          <w:sz w:val="24"/>
          <w:rtl/>
        </w:rPr>
        <w:tab/>
      </w:r>
      <w:r>
        <w:rPr>
          <w:rFonts w:hint="cs"/>
          <w:sz w:val="24"/>
          <w:rtl/>
        </w:rPr>
        <w:tab/>
        <w:t>135</w:t>
      </w:r>
    </w:p>
    <w:p w:rsidR="00000000">
      <w:pPr>
        <w:tabs>
          <w:tab w:val="right" w:leader="dot" w:pos="6237"/>
          <w:tab w:val="left" w:pos="6350"/>
        </w:tabs>
        <w:spacing w:after="180" w:line="280" w:lineRule="exact"/>
        <w:ind w:right="936"/>
        <w:jc w:val="left"/>
        <w:rPr>
          <w:rFonts w:hint="cs"/>
          <w:sz w:val="24"/>
          <w:rtl/>
        </w:rPr>
      </w:pPr>
      <w:r>
        <w:rPr>
          <w:rFonts w:hint="cs"/>
          <w:bCs/>
          <w:sz w:val="24"/>
          <w:rtl/>
        </w:rPr>
        <w:t>יחסי אזרח-שלטון מקומי בישראל</w:t>
      </w:r>
      <w:r>
        <w:rPr>
          <w:rFonts w:hint="cs"/>
          <w:sz w:val="24"/>
          <w:rtl/>
        </w:rPr>
        <w:t xml:space="preserve"> // שוקי אמרני</w:t>
      </w:r>
      <w:r>
        <w:rPr>
          <w:rFonts w:hint="cs"/>
          <w:sz w:val="24"/>
          <w:rtl/>
        </w:rPr>
        <w:tab/>
      </w:r>
      <w:r>
        <w:rPr>
          <w:rFonts w:hint="cs"/>
          <w:sz w:val="24"/>
          <w:rtl/>
        </w:rPr>
        <w:tab/>
        <w:t>179</w:t>
      </w:r>
    </w:p>
    <w:p w:rsidR="00000000">
      <w:pPr>
        <w:tabs>
          <w:tab w:val="right" w:leader="dot" w:pos="6237"/>
          <w:tab w:val="left" w:pos="6350"/>
        </w:tabs>
        <w:spacing w:after="180" w:line="280" w:lineRule="exact"/>
        <w:ind w:right="936"/>
        <w:jc w:val="left"/>
        <w:rPr>
          <w:sz w:val="24"/>
        </w:rPr>
      </w:pPr>
      <w:r>
        <w:rPr>
          <w:bCs/>
          <w:sz w:val="24"/>
          <w:rtl/>
        </w:rPr>
        <w:t>הערכת תרומת</w:t>
      </w:r>
      <w:r>
        <w:rPr>
          <w:rFonts w:hint="cs"/>
          <w:bCs/>
          <w:sz w:val="24"/>
          <w:rtl/>
        </w:rPr>
        <w:t>ו</w:t>
      </w:r>
      <w:r>
        <w:rPr>
          <w:bCs/>
          <w:sz w:val="24"/>
          <w:rtl/>
        </w:rPr>
        <w:t xml:space="preserve"> של </w:t>
      </w:r>
      <w:r>
        <w:rPr>
          <w:rFonts w:hint="cs"/>
          <w:bCs/>
          <w:sz w:val="24"/>
          <w:rtl/>
        </w:rPr>
        <w:t xml:space="preserve">מוסד מבקר </w:t>
      </w:r>
      <w:r>
        <w:rPr>
          <w:bCs/>
          <w:sz w:val="24"/>
          <w:rtl/>
        </w:rPr>
        <w:t>המדינה לקידום מעמד האישה בישראל</w:t>
      </w:r>
      <w:r>
        <w:rPr>
          <w:rFonts w:hint="cs"/>
          <w:bCs/>
          <w:sz w:val="24"/>
          <w:rtl/>
        </w:rPr>
        <w:t xml:space="preserve"> בין השנים 1980-2004</w:t>
      </w:r>
      <w:r>
        <w:rPr>
          <w:rFonts w:hint="cs"/>
          <w:sz w:val="24"/>
          <w:rtl/>
        </w:rPr>
        <w:t xml:space="preserve"> // יפעת לב ארי פרידברג</w:t>
      </w:r>
      <w:r>
        <w:rPr>
          <w:rFonts w:hint="cs"/>
          <w:sz w:val="24"/>
          <w:rtl/>
        </w:rPr>
        <w:tab/>
      </w:r>
      <w:r>
        <w:rPr>
          <w:rFonts w:hint="cs"/>
          <w:sz w:val="24"/>
          <w:rtl/>
        </w:rPr>
        <w:tab/>
        <w:t>201</w:t>
      </w:r>
    </w:p>
    <w:p w:rsidR="00000000">
      <w:pPr>
        <w:tabs>
          <w:tab w:val="right" w:leader="dot" w:pos="6237"/>
          <w:tab w:val="left" w:pos="6350"/>
        </w:tabs>
        <w:spacing w:after="180" w:line="280" w:lineRule="exact"/>
        <w:ind w:right="936"/>
        <w:jc w:val="left"/>
        <w:rPr>
          <w:sz w:val="24"/>
        </w:rPr>
      </w:pPr>
      <w:r>
        <w:rPr>
          <w:rFonts w:hint="cs"/>
          <w:bCs/>
          <w:sz w:val="24"/>
          <w:rtl/>
        </w:rPr>
        <w:t>כותבי המאמרים</w:t>
      </w:r>
      <w:r>
        <w:rPr>
          <w:rFonts w:hint="cs"/>
          <w:sz w:val="24"/>
          <w:rtl/>
        </w:rPr>
        <w:tab/>
      </w:r>
      <w:r>
        <w:rPr>
          <w:rFonts w:hint="cs"/>
          <w:sz w:val="24"/>
          <w:rtl/>
        </w:rPr>
        <w:tab/>
        <w:t>243</w:t>
      </w:r>
    </w:p>
    <w:p w:rsidR="00000000">
      <w:pPr>
        <w:spacing w:line="240" w:lineRule="atLeast"/>
        <w:jc w:val="center"/>
        <w:rPr>
          <w:rFonts w:hint="cs"/>
          <w:szCs w:val="22"/>
          <w:rtl/>
        </w:rPr>
      </w:pPr>
    </w:p>
    <w:p w:rsidR="00000000">
      <w:pPr>
        <w:spacing w:line="240" w:lineRule="atLeast"/>
        <w:jc w:val="center"/>
        <w:rPr>
          <w:rFonts w:hint="cs"/>
          <w:szCs w:val="22"/>
          <w:rtl/>
        </w:rPr>
      </w:pPr>
      <w:r>
        <w:rPr>
          <w:szCs w:val="22"/>
          <w:rtl/>
        </w:rPr>
        <w:br w:type="page"/>
      </w:r>
    </w:p>
    <w:p w:rsidR="00000000">
      <w:pPr>
        <w:spacing w:line="240" w:lineRule="atLeast"/>
        <w:jc w:val="center"/>
        <w:rPr>
          <w:szCs w:val="22"/>
          <w:rtl/>
        </w:rPr>
        <w:sectPr>
          <w:pgSz w:w="11906" w:h="16838" w:code="9"/>
          <w:pgMar w:top="2098" w:right="2608" w:bottom="4536" w:left="2608" w:header="1531" w:footer="3969" w:gutter="0"/>
          <w:cols w:space="720"/>
          <w:titlePg/>
          <w:bidi/>
          <w:rtlGutter/>
          <w:docGrid w:linePitch="196"/>
        </w:sectPr>
      </w:pPr>
    </w:p>
    <w:p w:rsidR="00000000">
      <w:pPr>
        <w:pStyle w:val="Heading8"/>
        <w:spacing w:after="240"/>
        <w:ind w:left="0"/>
        <w:rPr>
          <w:rFonts w:hint="cs"/>
          <w:rtl/>
        </w:rPr>
      </w:pPr>
      <w:r>
        <w:rPr>
          <w:rFonts w:hint="cs"/>
          <w:rtl/>
        </w:rPr>
        <w:t>דבר העורך</w:t>
      </w:r>
    </w:p>
    <w:p w:rsidR="00000000">
      <w:pPr>
        <w:widowControl/>
        <w:spacing w:after="120" w:line="280" w:lineRule="exact"/>
        <w:rPr>
          <w:rFonts w:hint="cs"/>
          <w:sz w:val="22"/>
          <w:rtl/>
        </w:rPr>
      </w:pPr>
      <w:r>
        <w:rPr>
          <w:rFonts w:hint="cs"/>
          <w:b/>
          <w:bCs/>
          <w:sz w:val="22"/>
          <w:rtl/>
        </w:rPr>
        <w:t>קובץ</w:t>
      </w:r>
      <w:r>
        <w:rPr>
          <w:rFonts w:hint="cs"/>
          <w:sz w:val="22"/>
          <w:rtl/>
        </w:rPr>
        <w:t xml:space="preserve"> מאמרים זה ע</w:t>
      </w:r>
      <w:r>
        <w:rPr>
          <w:rFonts w:hint="cs"/>
          <w:sz w:val="22"/>
          <w:rtl/>
        </w:rPr>
        <w:t>וסק במגוון סוגיות העומדות על סדר יומם של מוסדות ביקורת המדינה והאומבודסמן ובניסיון להתחקות אחר הגורמים המשפיעים על התפתחותם של מוסדות אלה.</w:t>
      </w:r>
    </w:p>
    <w:p w:rsidR="00000000">
      <w:pPr>
        <w:widowControl/>
        <w:spacing w:after="120" w:line="280" w:lineRule="exact"/>
        <w:rPr>
          <w:rFonts w:hint="cs"/>
          <w:sz w:val="22"/>
          <w:rtl/>
        </w:rPr>
      </w:pPr>
      <w:r>
        <w:rPr>
          <w:rFonts w:hint="cs"/>
          <w:sz w:val="22"/>
          <w:rtl/>
        </w:rPr>
        <w:t>התרבות הפוליטית היא מרכיב רב עצמה בעיצוב הדפוסים החוקתיים והמוסדיים של רשויות המדינה ומוסדותיה השלטוניים וביצירת איזו</w:t>
      </w:r>
      <w:r>
        <w:rPr>
          <w:rFonts w:hint="cs"/>
          <w:sz w:val="22"/>
          <w:rtl/>
        </w:rPr>
        <w:t>ן הכוחות בין מרכיבי המשולש הקלאסי של הרשויות. תנאים שונים, התפתחות רעיונית ומסורות שונות מולידים מטבע הדברים התפתחות מושגית ותובנות שונות ובעקבותיהם דפוסים שונים של מוסדות אומבודסמן וביקורת מדינה. נסיבות היווצרותם של מוסדות אלה משפיעות גם על מידת הצלחתם לה</w:t>
      </w:r>
      <w:r>
        <w:rPr>
          <w:rFonts w:hint="cs"/>
          <w:sz w:val="22"/>
          <w:rtl/>
        </w:rPr>
        <w:t>שיג את מטרותיהם (ראו את מאמריהם של ניקיפורוס, לנקוביץ ומזור).</w:t>
      </w:r>
    </w:p>
    <w:p w:rsidR="00000000">
      <w:pPr>
        <w:widowControl/>
        <w:spacing w:after="120" w:line="280" w:lineRule="exact"/>
        <w:rPr>
          <w:rFonts w:hint="cs"/>
          <w:sz w:val="22"/>
          <w:rtl/>
        </w:rPr>
      </w:pPr>
      <w:r>
        <w:rPr>
          <w:rFonts w:hint="cs"/>
          <w:sz w:val="22"/>
          <w:rtl/>
        </w:rPr>
        <w:t>סוגיית יחסי ביקורת המדינה עם התקשורת רובצת לפתחו של כל מבקר מדינה (אלון, ברגמן). תוצאתה של המדיניות בתחום זה, בין אם היא שמרנית ומסויגת ובין אם היא אקטיבית ופתוחה, קשורה בטבורה למדיניות בדבר אופ</w:t>
      </w:r>
      <w:r>
        <w:rPr>
          <w:rFonts w:hint="cs"/>
          <w:sz w:val="22"/>
          <w:rtl/>
        </w:rPr>
        <w:t xml:space="preserve">י הביקורת ולסגנונה. מדיניותו של מבקר המדינה המכהן, השופט (בדימ') מיכה לינדנשטראוס, היא לפרסם את שמותיהם של עובדי ציבור בדוחות הביקורת - מדיניות המבטאת את תפישתו שיש להטיל אחריות אישית על עובדי ציבור - וכן לבצע ביקורת בזמן אמת. מדיניות זו, במקביל למדיניותו </w:t>
      </w:r>
      <w:r>
        <w:rPr>
          <w:rFonts w:hint="cs"/>
          <w:sz w:val="22"/>
          <w:rtl/>
        </w:rPr>
        <w:t xml:space="preserve">האקטיבית אל מול התקשורת , משפיעה על יחסי הגומלין בין משרד מבקר המדינה לרשויות השלטון האחרות. מכלול זה והשפעתו על השגת המטרה של שינוי דפוסי הניהול של הגופים המבוקרים ראויים וודאי יזכו למחקר אקדמי מקיף. </w:t>
      </w:r>
    </w:p>
    <w:p w:rsidR="00000000">
      <w:pPr>
        <w:widowControl/>
        <w:spacing w:after="120" w:line="280" w:lineRule="exact"/>
        <w:rPr>
          <w:rFonts w:hint="cs"/>
          <w:sz w:val="22"/>
          <w:rtl/>
        </w:rPr>
      </w:pPr>
      <w:r>
        <w:rPr>
          <w:rFonts w:hint="cs"/>
          <w:sz w:val="22"/>
          <w:rtl/>
        </w:rPr>
        <w:t>על רקע זה יש לבחון את המסקנות באשר לאופי הסוגיות המושכ</w:t>
      </w:r>
      <w:r>
        <w:rPr>
          <w:rFonts w:hint="cs"/>
          <w:sz w:val="22"/>
          <w:rtl/>
        </w:rPr>
        <w:t>ות את תשומת ליבה של התקשורת ולהשפעתן של הביקורת והתקשורת על תיקון הליקויים (אלון, ברגמן). אחד מסממניה האמפיריים של השפעה זו בא לידי ביטוי במגזר הרשויות המקומיות (אמרני). בהקשר זה יש להתייחס אף  למבט המשווה בין פעילותה של ביקורת המדינה לזו של הביקורת הפנימי</w:t>
      </w:r>
      <w:r>
        <w:rPr>
          <w:rFonts w:hint="cs"/>
          <w:sz w:val="22"/>
          <w:rtl/>
        </w:rPr>
        <w:t>ת (מזרחי).</w:t>
      </w:r>
    </w:p>
    <w:p w:rsidR="00000000">
      <w:pPr>
        <w:widowControl/>
        <w:spacing w:after="120" w:line="280" w:lineRule="exact"/>
        <w:rPr>
          <w:rFonts w:hint="cs"/>
          <w:sz w:val="22"/>
          <w:rtl/>
        </w:rPr>
      </w:pPr>
      <w:r>
        <w:rPr>
          <w:rFonts w:hint="cs"/>
          <w:sz w:val="22"/>
          <w:rtl/>
        </w:rPr>
        <w:t>מערכות ציבוריות הן בדרך כלל מסגרות נוקשות המתקשות להסתגל לשינויים. עם זאת הן מתקיימות ופועלות בסביבה דינמית של ערכים משתנים, המאפשרים  ודוחפים את החברה לפלס את דרכה לעבר יעדים גבוהים יותר תוך פיתוח כלים חדשים, או אקטיביים יותר. לביקורת המדינה ול</w:t>
      </w:r>
      <w:r>
        <w:rPr>
          <w:rFonts w:hint="cs"/>
          <w:sz w:val="22"/>
          <w:rtl/>
        </w:rPr>
        <w:t>אומבודסמן תפקיד חשוב בחידוד ובשכלול של ערכים וביצירת כלים להגשמתם. כך לגבי סוגית המינויים הפוליטיים בישראל (גולדברג) וכך לגבי הטיפול בתלונות על שופטים (שטרסברג-כהן).</w:t>
      </w:r>
    </w:p>
    <w:p w:rsidR="00000000">
      <w:pPr>
        <w:widowControl/>
        <w:spacing w:after="120" w:line="280" w:lineRule="exact"/>
        <w:rPr>
          <w:rFonts w:hint="cs"/>
          <w:sz w:val="22"/>
          <w:rtl/>
        </w:rPr>
      </w:pPr>
      <w:r>
        <w:rPr>
          <w:rFonts w:hint="cs"/>
          <w:sz w:val="22"/>
          <w:rtl/>
        </w:rPr>
        <w:t xml:space="preserve">סוגיית המינויים הפוליטיים מלווה את השירות הציבורי בישראל מאז הקמת המדינה ומבקר המדינה עסק </w:t>
      </w:r>
      <w:r>
        <w:rPr>
          <w:rFonts w:hint="cs"/>
          <w:sz w:val="22"/>
          <w:rtl/>
        </w:rPr>
        <w:t>בה לראשונה ב-1989. הטיפול של מבקרי המדינה בסוגיה זו במהלך השנים העלה  וחידד את מודעות הציבור והמחוקקים להשלכות השליליות של תופעה פסולה זו. מודעות זו באה לידי ביטוי הן בחקיקה והן בהעלאת הרף של דרך הטיפול בנגע זה על ידי שימוש בכלים של חקירה פלילית.</w:t>
      </w:r>
    </w:p>
    <w:p w:rsidR="00000000">
      <w:pPr>
        <w:widowControl/>
        <w:spacing w:after="120" w:line="280" w:lineRule="exact"/>
        <w:rPr>
          <w:rFonts w:hint="cs"/>
          <w:sz w:val="22"/>
          <w:rtl/>
        </w:rPr>
      </w:pPr>
      <w:r>
        <w:rPr>
          <w:rFonts w:hint="cs"/>
          <w:sz w:val="22"/>
          <w:rtl/>
        </w:rPr>
        <w:t>אשר לסוגי</w:t>
      </w:r>
      <w:r>
        <w:rPr>
          <w:rFonts w:hint="cs"/>
          <w:sz w:val="22"/>
          <w:rtl/>
        </w:rPr>
        <w:t>ית הטיפול בתלונות על שופטים, בישראל מתבררות תלונות בתחום זה על ידי מוסד מיוחד שהוקם למטרה זו ואילו בשבדיה הן מתבררות על ידי מוסד האומבודסמן. לשני המוסדות מטרה דומה. את השוני בין המסגרות המוסדיות העוסקות בכך ניתן להסביר ב?נסיבות השונות של היווצרות מוסדות, ה</w:t>
      </w:r>
      <w:r>
        <w:rPr>
          <w:rFonts w:hint="cs"/>
          <w:sz w:val="22"/>
          <w:rtl/>
        </w:rPr>
        <w:t xml:space="preserve">יבט שבו דובר ברישה של מבוא זה. עם זאת, במרבית מדינות העולם אין טיפול ממוסד בתחום זה, ועל רקע זה ניתן להבין את העלאתו של נושא זה על סדר היום בכנס האומבודסמנים של אירופה שהתקיים בוינה </w:t>
      </w:r>
      <w:r>
        <w:rPr>
          <w:sz w:val="22"/>
          <w:rtl/>
        </w:rPr>
        <w:br/>
      </w:r>
      <w:r>
        <w:rPr>
          <w:rFonts w:hint="cs"/>
          <w:sz w:val="22"/>
          <w:rtl/>
        </w:rPr>
        <w:t>ב-2006, במטרה לחדד את המודעות לצורך ליצור מסגרת ממוסדת לטיפול בתלונות אלה</w:t>
      </w:r>
      <w:r>
        <w:rPr>
          <w:rFonts w:hint="cs"/>
          <w:sz w:val="22"/>
          <w:rtl/>
        </w:rPr>
        <w:t xml:space="preserve"> - כל מדינה בהתאם לרגישויות הנובעות ממסורותיה ומתרבותה הפוליטית.</w:t>
      </w:r>
    </w:p>
    <w:p w:rsidR="00000000">
      <w:pPr>
        <w:widowControl/>
        <w:spacing w:after="120" w:line="280" w:lineRule="exact"/>
        <w:rPr>
          <w:rFonts w:hint="cs"/>
          <w:sz w:val="22"/>
          <w:rtl/>
        </w:rPr>
      </w:pPr>
      <w:r>
        <w:rPr>
          <w:rFonts w:hint="cs"/>
          <w:sz w:val="22"/>
          <w:rtl/>
        </w:rPr>
        <w:t>ולבסוף, סוגיית שוויון ההזדמנויות בין יחידים ובין קבוצות בחברה ובחינת היישום ההוגן של עיקרון בסיסי זה, שהיא בבחינת אתגר גדול לביקורת המדינה. סוגיה זו עלתה על שולחנו של מבקר המדינה בישראל בהיבט</w:t>
      </w:r>
      <w:r>
        <w:rPr>
          <w:rFonts w:hint="cs"/>
          <w:sz w:val="22"/>
          <w:rtl/>
        </w:rPr>
        <w:t>ים שונים, ובכלל זה מזווית הראייה של הקצאת משאבים ממלכתיים למגזרים שונים בחברה, המשפיעה מטבע הדברים על יכולתם של היחידים והקבוצות ליהנות משוויון ההזדמנויות. המאמר הכלול בקובץ זה (לב-ארי פרידברג) עוסק בשאלה זו מנקודת הראות המגדרית. עם זאת, ברי כי יש לראות סו</w:t>
      </w:r>
      <w:r>
        <w:rPr>
          <w:rFonts w:hint="cs"/>
          <w:sz w:val="22"/>
          <w:rtl/>
        </w:rPr>
        <w:t>גיה זו בפרספקטיבה רחבה יותר. מבחינת ביקורת המדינה משמעותה הוספת ה-</w:t>
      </w:r>
      <w:r>
        <w:rPr>
          <w:rFonts w:hint="cs"/>
          <w:sz w:val="22"/>
        </w:rPr>
        <w:t>E</w:t>
      </w:r>
      <w:r>
        <w:rPr>
          <w:rFonts w:hint="cs"/>
          <w:sz w:val="22"/>
          <w:rtl/>
        </w:rPr>
        <w:t xml:space="preserve"> הרביעי, ה-</w:t>
      </w:r>
      <w:r>
        <w:rPr>
          <w:rFonts w:hint="cs"/>
          <w:sz w:val="22"/>
        </w:rPr>
        <w:t>E</w:t>
      </w:r>
      <w:r>
        <w:rPr>
          <w:sz w:val="22"/>
        </w:rPr>
        <w:t>quity</w:t>
      </w:r>
      <w:r>
        <w:rPr>
          <w:rFonts w:hint="cs"/>
          <w:sz w:val="22"/>
          <w:rtl/>
        </w:rPr>
        <w:t>, על שלושת ה-</w:t>
      </w:r>
      <w:r>
        <w:rPr>
          <w:sz w:val="22"/>
        </w:rPr>
        <w:t xml:space="preserve">'s </w:t>
      </w:r>
      <w:r>
        <w:rPr>
          <w:rFonts w:hint="cs"/>
          <w:sz w:val="22"/>
          <w:rtl/>
        </w:rPr>
        <w:t xml:space="preserve"> המסורתיים (</w:t>
      </w:r>
      <w:r>
        <w:rPr>
          <w:sz w:val="22"/>
        </w:rPr>
        <w:t>Economy, Efficiency,</w:t>
      </w:r>
      <w:r>
        <w:rPr>
          <w:sz w:val="22"/>
        </w:rPr>
        <w:br/>
        <w:t>Effectiveness</w:t>
      </w:r>
      <w:r>
        <w:rPr>
          <w:rFonts w:hint="cs"/>
          <w:sz w:val="22"/>
          <w:rtl/>
        </w:rPr>
        <w:t>). זוהי תרומה חשובה שמוסדות ביקורת המדינה והאומבודסמן יכולים להרים - וראוי שכך יעשו - לשיפור פני החברה והפיכתה</w:t>
      </w:r>
      <w:r>
        <w:rPr>
          <w:rFonts w:hint="cs"/>
          <w:sz w:val="22"/>
          <w:rtl/>
        </w:rPr>
        <w:t xml:space="preserve"> לטובה וצודקת יותר.</w:t>
      </w:r>
    </w:p>
    <w:p w:rsidR="00000000">
      <w:pPr>
        <w:widowControl/>
        <w:spacing w:line="260" w:lineRule="exact"/>
        <w:rPr>
          <w:rFonts w:hint="cs"/>
          <w:sz w:val="24"/>
          <w:rtl/>
          <w:lang w:eastAsia="en-US"/>
        </w:rPr>
      </w:pPr>
    </w:p>
    <w:p w:rsidR="00000000">
      <w:pPr>
        <w:pStyle w:val="Heading3"/>
        <w:spacing w:line="260" w:lineRule="exact"/>
        <w:jc w:val="right"/>
        <w:rPr>
          <w:rFonts w:hint="cs"/>
          <w:rtl/>
        </w:rPr>
      </w:pPr>
      <w:r>
        <w:rPr>
          <w:rFonts w:hint="cs"/>
          <w:rtl/>
        </w:rPr>
        <w:t>יהושע רוט</w:t>
      </w:r>
    </w:p>
    <w:p w:rsidR="00000000">
      <w:pPr>
        <w:widowControl/>
        <w:spacing w:line="264" w:lineRule="exact"/>
        <w:rPr>
          <w:rFonts w:hint="cs"/>
          <w:sz w:val="24"/>
          <w:rtl/>
          <w:lang w:eastAsia="en-US"/>
        </w:rPr>
      </w:pPr>
    </w:p>
    <w:sectPr>
      <w:footerReference w:type="default" r:id="rId5"/>
      <w:footerReference w:type="first" r:id="rId6"/>
      <w:pgSz w:w="11906" w:h="16838" w:code="9"/>
      <w:pgMar w:top="2098" w:right="2608" w:bottom="4536" w:left="2608" w:header="1531" w:footer="3969" w:gutter="0"/>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rPr>
        <w:szCs w:val="20"/>
        <w:rt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CE0B11"/>
    <w:multiLevelType w:val="hybridMultilevel"/>
    <w:tmpl w:val="19726A20"/>
    <w:lvl w:ilvl="0">
      <w:start w:val="0"/>
      <w:numFmt w:val="bullet"/>
      <w:lvlText w:val="-"/>
      <w:lvlJc w:val="left"/>
      <w:pPr>
        <w:tabs>
          <w:tab w:val="num" w:pos="360"/>
        </w:tabs>
        <w:ind w:left="360" w:right="360" w:hanging="360"/>
      </w:pPr>
      <w:rPr>
        <w:rFonts w:ascii="Times New Roman" w:eastAsia="Times New Roman" w:hAnsi="Times New Roman" w:cs="Times New Roman" w:hint="default"/>
        <w:b w:val="0"/>
      </w:rPr>
    </w:lvl>
    <w:lvl w:ilvl="1" w:tentative="1">
      <w:start w:val="1"/>
      <w:numFmt w:val="bullet"/>
      <w:lvlText w:val="o"/>
      <w:lvlJc w:val="left"/>
      <w:pPr>
        <w:tabs>
          <w:tab w:val="num" w:pos="1080"/>
        </w:tabs>
        <w:ind w:left="1080" w:right="1080" w:hanging="360"/>
      </w:pPr>
      <w:rPr>
        <w:rFonts w:ascii="Courier New" w:hAnsi="Courier New" w:hint="default"/>
      </w:rPr>
    </w:lvl>
    <w:lvl w:ilvl="2" w:tentative="1">
      <w:start w:val="1"/>
      <w:numFmt w:val="bullet"/>
      <w:lvlText w:val=""/>
      <w:lvlJc w:val="left"/>
      <w:pPr>
        <w:tabs>
          <w:tab w:val="num" w:pos="1800"/>
        </w:tabs>
        <w:ind w:left="1800" w:right="1800" w:hanging="360"/>
      </w:pPr>
      <w:rPr>
        <w:rFonts w:ascii="Wingdings" w:hAnsi="Wingdings" w:hint="default"/>
      </w:rPr>
    </w:lvl>
    <w:lvl w:ilvl="3" w:tentative="1">
      <w:start w:val="1"/>
      <w:numFmt w:val="bullet"/>
      <w:lvlText w:val=""/>
      <w:lvlJc w:val="left"/>
      <w:pPr>
        <w:tabs>
          <w:tab w:val="num" w:pos="2520"/>
        </w:tabs>
        <w:ind w:left="2520" w:right="2520" w:hanging="360"/>
      </w:pPr>
      <w:rPr>
        <w:rFonts w:ascii="Symbol" w:hAnsi="Symbol" w:hint="default"/>
      </w:rPr>
    </w:lvl>
    <w:lvl w:ilvl="4" w:tentative="1">
      <w:start w:val="1"/>
      <w:numFmt w:val="bullet"/>
      <w:lvlText w:val="o"/>
      <w:lvlJc w:val="left"/>
      <w:pPr>
        <w:tabs>
          <w:tab w:val="num" w:pos="3240"/>
        </w:tabs>
        <w:ind w:left="3240" w:right="3240" w:hanging="360"/>
      </w:pPr>
      <w:rPr>
        <w:rFonts w:ascii="Courier New" w:hAnsi="Courier New" w:hint="default"/>
      </w:rPr>
    </w:lvl>
    <w:lvl w:ilvl="5" w:tentative="1">
      <w:start w:val="1"/>
      <w:numFmt w:val="bullet"/>
      <w:lvlText w:val=""/>
      <w:lvlJc w:val="left"/>
      <w:pPr>
        <w:tabs>
          <w:tab w:val="num" w:pos="3960"/>
        </w:tabs>
        <w:ind w:left="3960" w:right="3960" w:hanging="360"/>
      </w:pPr>
      <w:rPr>
        <w:rFonts w:ascii="Wingdings" w:hAnsi="Wingdings" w:hint="default"/>
      </w:rPr>
    </w:lvl>
    <w:lvl w:ilvl="6" w:tentative="1">
      <w:start w:val="1"/>
      <w:numFmt w:val="bullet"/>
      <w:lvlText w:val=""/>
      <w:lvlJc w:val="left"/>
      <w:pPr>
        <w:tabs>
          <w:tab w:val="num" w:pos="4680"/>
        </w:tabs>
        <w:ind w:left="4680" w:right="4680" w:hanging="360"/>
      </w:pPr>
      <w:rPr>
        <w:rFonts w:ascii="Symbol" w:hAnsi="Symbol" w:hint="default"/>
      </w:rPr>
    </w:lvl>
    <w:lvl w:ilvl="7" w:tentative="1">
      <w:start w:val="1"/>
      <w:numFmt w:val="bullet"/>
      <w:lvlText w:val="o"/>
      <w:lvlJc w:val="left"/>
      <w:pPr>
        <w:tabs>
          <w:tab w:val="num" w:pos="5400"/>
        </w:tabs>
        <w:ind w:left="5400" w:right="5400" w:hanging="360"/>
      </w:pPr>
      <w:rPr>
        <w:rFonts w:ascii="Courier New" w:hAnsi="Courier New" w:hint="default"/>
      </w:rPr>
    </w:lvl>
    <w:lvl w:ilvl="8" w:tentative="1">
      <w:start w:val="1"/>
      <w:numFmt w:val="bullet"/>
      <w:lvlText w:val=""/>
      <w:lvlJc w:val="left"/>
      <w:pPr>
        <w:tabs>
          <w:tab w:val="num" w:pos="6120"/>
        </w:tabs>
        <w:ind w:left="6120" w:right="6120" w:hanging="360"/>
      </w:pPr>
      <w:rPr>
        <w:rFonts w:ascii="Wingdings" w:hAnsi="Wingdings" w:hint="default"/>
      </w:rPr>
    </w:lvl>
  </w:abstractNum>
  <w:abstractNum w:abstractNumId="2">
    <w:nsid w:val="1B430E51"/>
    <w:multiLevelType w:val="hybridMultilevel"/>
    <w:tmpl w:val="D352A584"/>
    <w:lvl w:ilvl="0">
      <w:start w:val="1"/>
      <w:numFmt w:val="hebrew1"/>
      <w:lvlText w:val="%1."/>
      <w:lvlJc w:val="left"/>
      <w:pPr>
        <w:tabs>
          <w:tab w:val="num" w:pos="720"/>
        </w:tabs>
        <w:ind w:left="720" w:right="720" w:hanging="360"/>
      </w:pPr>
      <w:rPr>
        <w:rFonts w:hint="cs"/>
        <w:b/>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2EFE71FA"/>
    <w:multiLevelType w:val="hybridMultilevel"/>
    <w:tmpl w:val="3DE01E68"/>
    <w:lvl w:ilvl="0">
      <w:start w:val="1"/>
      <w:numFmt w:val="decimal"/>
      <w:pStyle w:val="Heading7"/>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325A6466"/>
    <w:multiLevelType w:val="hybridMultilevel"/>
    <w:tmpl w:val="BB5A1A96"/>
    <w:lvl w:ilvl="0">
      <w:start w:val="6"/>
      <w:numFmt w:val="bullet"/>
      <w:lvlText w:val=""/>
      <w:lvlJc w:val="left"/>
      <w:pPr>
        <w:tabs>
          <w:tab w:val="num" w:pos="720"/>
        </w:tabs>
        <w:ind w:left="720" w:right="720" w:hanging="36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5">
    <w:nsid w:val="3443390D"/>
    <w:multiLevelType w:val="singleLevel"/>
    <w:tmpl w:val="A07AD338"/>
    <w:lvl w:ilvl="0">
      <w:start w:val="1"/>
      <w:numFmt w:val="upperRoman"/>
      <w:lvlText w:val="%1."/>
      <w:lvlJc w:val="center"/>
      <w:pPr>
        <w:tabs>
          <w:tab w:val="num" w:pos="648"/>
        </w:tabs>
        <w:ind w:right="648" w:hanging="360"/>
      </w:pPr>
    </w:lvl>
  </w:abstractNum>
  <w:abstractNum w:abstractNumId="6">
    <w:nsid w:val="346C5E39"/>
    <w:multiLevelType w:val="hybridMultilevel"/>
    <w:tmpl w:val="7D9E7D1E"/>
    <w:lvl w:ilvl="0">
      <w:start w:val="6"/>
      <w:numFmt w:val="bullet"/>
      <w:lvlText w:val=""/>
      <w:lvlJc w:val="left"/>
      <w:pPr>
        <w:tabs>
          <w:tab w:val="num" w:pos="720"/>
        </w:tabs>
        <w:ind w:left="720" w:right="720" w:hanging="36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7">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8">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25529E5"/>
    <w:multiLevelType w:val="hybridMultilevel"/>
    <w:tmpl w:val="017C3F36"/>
    <w:lvl w:ilvl="0">
      <w:start w:val="1"/>
      <w:numFmt w:val="decimal"/>
      <w:lvlText w:val="(%1)"/>
      <w:lvlJc w:val="left"/>
      <w:pPr>
        <w:tabs>
          <w:tab w:val="num" w:pos="735"/>
        </w:tabs>
        <w:ind w:left="735" w:right="735" w:hanging="375"/>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6A1C7FB5"/>
    <w:multiLevelType w:val="singleLevel"/>
    <w:tmpl w:val="CB646ABA"/>
    <w:lvl w:ilvl="0">
      <w:start w:val="1"/>
      <w:numFmt w:val="hebrew1"/>
      <w:lvlText w:val="%1."/>
      <w:lvlJc w:val="center"/>
      <w:pPr>
        <w:tabs>
          <w:tab w:val="num" w:pos="797"/>
        </w:tabs>
        <w:ind w:left="797" w:hanging="360"/>
      </w:pPr>
    </w:lvl>
  </w:abstractNum>
  <w:abstractNum w:abstractNumId="11">
    <w:nsid w:val="722A7ED5"/>
    <w:multiLevelType w:val="hybridMultilevel"/>
    <w:tmpl w:val="3352482C"/>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2">
    <w:nsid w:val="7A8B7AE1"/>
    <w:multiLevelType w:val="hybridMultilevel"/>
    <w:tmpl w:val="25D6F010"/>
    <w:lvl w:ilvl="0">
      <w:start w:val="3"/>
      <w:numFmt w:val="hebrew1"/>
      <w:lvlText w:val="%1."/>
      <w:lvlJc w:val="left"/>
      <w:pPr>
        <w:tabs>
          <w:tab w:val="num" w:pos="-60"/>
        </w:tabs>
        <w:ind w:left="-60" w:right="-60" w:hanging="360"/>
      </w:pPr>
      <w:rPr>
        <w:rFonts w:hint="cs"/>
      </w:rPr>
    </w:lvl>
    <w:lvl w:ilvl="1" w:tentative="1">
      <w:start w:val="1"/>
      <w:numFmt w:val="lowerLetter"/>
      <w:lvlText w:val="%2."/>
      <w:lvlJc w:val="left"/>
      <w:pPr>
        <w:tabs>
          <w:tab w:val="num" w:pos="660"/>
        </w:tabs>
        <w:ind w:left="660" w:right="660" w:hanging="360"/>
      </w:pPr>
    </w:lvl>
    <w:lvl w:ilvl="2" w:tentative="1">
      <w:start w:val="1"/>
      <w:numFmt w:val="lowerRoman"/>
      <w:lvlText w:val="%3."/>
      <w:lvlJc w:val="right"/>
      <w:pPr>
        <w:tabs>
          <w:tab w:val="num" w:pos="1380"/>
        </w:tabs>
        <w:ind w:left="1380" w:right="1380" w:hanging="180"/>
      </w:pPr>
    </w:lvl>
    <w:lvl w:ilvl="3" w:tentative="1">
      <w:start w:val="1"/>
      <w:numFmt w:val="decimal"/>
      <w:lvlText w:val="%4."/>
      <w:lvlJc w:val="left"/>
      <w:pPr>
        <w:tabs>
          <w:tab w:val="num" w:pos="2100"/>
        </w:tabs>
        <w:ind w:left="2100" w:right="2100" w:hanging="360"/>
      </w:pPr>
    </w:lvl>
    <w:lvl w:ilvl="4" w:tentative="1">
      <w:start w:val="1"/>
      <w:numFmt w:val="lowerLetter"/>
      <w:lvlText w:val="%5."/>
      <w:lvlJc w:val="left"/>
      <w:pPr>
        <w:tabs>
          <w:tab w:val="num" w:pos="2820"/>
        </w:tabs>
        <w:ind w:left="2820" w:right="2820" w:hanging="360"/>
      </w:pPr>
    </w:lvl>
    <w:lvl w:ilvl="5" w:tentative="1">
      <w:start w:val="1"/>
      <w:numFmt w:val="lowerRoman"/>
      <w:lvlText w:val="%6."/>
      <w:lvlJc w:val="right"/>
      <w:pPr>
        <w:tabs>
          <w:tab w:val="num" w:pos="3540"/>
        </w:tabs>
        <w:ind w:left="3540" w:right="3540" w:hanging="180"/>
      </w:pPr>
    </w:lvl>
    <w:lvl w:ilvl="6" w:tentative="1">
      <w:start w:val="1"/>
      <w:numFmt w:val="decimal"/>
      <w:lvlText w:val="%7."/>
      <w:lvlJc w:val="left"/>
      <w:pPr>
        <w:tabs>
          <w:tab w:val="num" w:pos="4260"/>
        </w:tabs>
        <w:ind w:left="4260" w:right="4260" w:hanging="360"/>
      </w:pPr>
    </w:lvl>
    <w:lvl w:ilvl="7" w:tentative="1">
      <w:start w:val="1"/>
      <w:numFmt w:val="lowerLetter"/>
      <w:lvlText w:val="%8."/>
      <w:lvlJc w:val="left"/>
      <w:pPr>
        <w:tabs>
          <w:tab w:val="num" w:pos="4980"/>
        </w:tabs>
        <w:ind w:left="4980" w:right="4980" w:hanging="360"/>
      </w:pPr>
    </w:lvl>
    <w:lvl w:ilvl="8" w:tentative="1">
      <w:start w:val="1"/>
      <w:numFmt w:val="lowerRoman"/>
      <w:lvlText w:val="%9."/>
      <w:lvlJc w:val="right"/>
      <w:pPr>
        <w:tabs>
          <w:tab w:val="num" w:pos="5700"/>
        </w:tabs>
        <w:ind w:left="5700" w:right="5700" w:hanging="180"/>
      </w:pPr>
    </w:lvl>
  </w:abstractNum>
  <w:num w:numId="1">
    <w:abstractNumId w:val="7"/>
  </w:num>
  <w:num w:numId="2">
    <w:abstractNumId w:val="7"/>
  </w:num>
  <w:num w:numId="3">
    <w:abstractNumId w:val="7"/>
  </w:num>
  <w:num w:numId="4">
    <w:abstractNumId w:val="5"/>
  </w:num>
  <w:num w:numId="5">
    <w:abstractNumId w:val="10"/>
  </w:num>
  <w:num w:numId="6">
    <w:abstractNumId w:val="10"/>
  </w:num>
  <w:num w:numId="7">
    <w:abstractNumId w:val="7"/>
  </w:num>
  <w:num w:numId="8">
    <w:abstractNumId w:val="7"/>
  </w:num>
  <w:num w:numId="9">
    <w:abstractNumId w:val="10"/>
  </w:num>
  <w:num w:numId="10">
    <w:abstractNumId w:val="7"/>
  </w:num>
  <w:num w:numId="11">
    <w:abstractNumId w:val="10"/>
  </w:num>
  <w:num w:numId="12">
    <w:abstractNumId w:val="8"/>
  </w:num>
  <w:num w:numId="13">
    <w:abstractNumId w:val="0"/>
  </w:num>
  <w:num w:numId="14">
    <w:abstractNumId w:val="11"/>
  </w:num>
  <w:num w:numId="15">
    <w:abstractNumId w:val="9"/>
  </w:num>
  <w:num w:numId="16">
    <w:abstractNumId w:val="3"/>
  </w:num>
  <w:num w:numId="17">
    <w:abstractNumId w:val="6"/>
  </w:num>
  <w:num w:numId="18">
    <w:abstractNumId w:val="4"/>
  </w:num>
  <w:num w:numId="19">
    <w:abstractNumId w:val="2"/>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drawingGridHorizontalSpacing w:val="72"/>
  <w:drawingGridVerticalSpacing w:val="98"/>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8F"/>
    <w:rsid w:val="007B618F"/>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jc w:val="both"/>
    </w:pPr>
    <w:rPr>
      <w:rFonts w:cs="David"/>
      <w:szCs w:val="24"/>
      <w:lang w:eastAsia="he-IL"/>
    </w:rPr>
  </w:style>
  <w:style w:type="paragraph" w:styleId="Heading1">
    <w:name w:val="heading 1"/>
    <w:basedOn w:val="Normal"/>
    <w:next w:val="Normal"/>
    <w:uiPriority w:val="9"/>
    <w:qFormat/>
    <w:pPr>
      <w:keepNext/>
      <w:spacing w:before="240" w:after="6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widowControl/>
      <w:spacing w:after="120" w:line="264" w:lineRule="exact"/>
      <w:jc w:val="center"/>
      <w:outlineLvl w:val="2"/>
    </w:pPr>
    <w:rPr>
      <w:b/>
      <w:bCs/>
      <w:sz w:val="24"/>
    </w:rPr>
  </w:style>
  <w:style w:type="paragraph" w:styleId="Heading4">
    <w:name w:val="heading 4"/>
    <w:basedOn w:val="Normal"/>
    <w:next w:val="Normal"/>
    <w:uiPriority w:val="9"/>
    <w:qFormat/>
    <w:pPr>
      <w:keepNext/>
      <w:jc w:val="center"/>
      <w:outlineLvl w:val="3"/>
    </w:pPr>
    <w:rPr>
      <w:b/>
      <w:bCs/>
    </w:rPr>
  </w:style>
  <w:style w:type="paragraph" w:styleId="Heading5">
    <w:name w:val="heading 5"/>
    <w:basedOn w:val="Normal"/>
    <w:next w:val="Normal"/>
    <w:uiPriority w:val="9"/>
    <w:qFormat/>
    <w:pPr>
      <w:keepNext/>
      <w:spacing w:after="120" w:line="240" w:lineRule="exact"/>
      <w:jc w:val="center"/>
      <w:outlineLvl w:val="4"/>
    </w:pPr>
    <w:rPr>
      <w:b/>
      <w:bCs/>
      <w:sz w:val="96"/>
      <w:szCs w:val="96"/>
    </w:rPr>
  </w:style>
  <w:style w:type="paragraph" w:styleId="Heading6">
    <w:name w:val="heading 6"/>
    <w:basedOn w:val="Normal"/>
    <w:next w:val="Normal"/>
    <w:uiPriority w:val="9"/>
    <w:qFormat/>
    <w:pPr>
      <w:keepNext/>
      <w:spacing w:after="120" w:line="240" w:lineRule="atLeast"/>
      <w:jc w:val="center"/>
      <w:outlineLvl w:val="5"/>
    </w:pPr>
    <w:rPr>
      <w:b/>
      <w:bCs/>
      <w:sz w:val="52"/>
      <w:szCs w:val="52"/>
    </w:rPr>
  </w:style>
  <w:style w:type="paragraph" w:styleId="Heading7">
    <w:name w:val="heading 7"/>
    <w:basedOn w:val="Normal"/>
    <w:next w:val="Normal"/>
    <w:uiPriority w:val="9"/>
    <w:qFormat/>
    <w:pPr>
      <w:keepNext/>
      <w:numPr>
        <w:numId w:val="16"/>
      </w:numPr>
      <w:spacing w:line="480" w:lineRule="auto"/>
      <w:ind w:right="0"/>
      <w:outlineLvl w:val="6"/>
    </w:pPr>
    <w:rPr>
      <w:b/>
      <w:bCs/>
    </w:rPr>
  </w:style>
  <w:style w:type="paragraph" w:styleId="Heading8">
    <w:name w:val="heading 8"/>
    <w:basedOn w:val="Normal"/>
    <w:next w:val="Normal"/>
    <w:uiPriority w:val="9"/>
    <w:qFormat/>
    <w:pPr>
      <w:keepNext/>
      <w:spacing w:after="120" w:line="240" w:lineRule="atLeast"/>
      <w:ind w:left="11"/>
      <w:jc w:val="center"/>
      <w:outlineLvl w:val="7"/>
    </w:pPr>
    <w:rPr>
      <w:b/>
      <w:bCs/>
      <w:sz w:val="36"/>
      <w:szCs w:val="36"/>
    </w:rPr>
  </w:style>
  <w:style w:type="paragraph" w:styleId="Heading9">
    <w:name w:val="heading 9"/>
    <w:basedOn w:val="Normal"/>
    <w:next w:val="Normal"/>
    <w:uiPriority w:val="9"/>
    <w:qFormat/>
    <w:pPr>
      <w:keepNext/>
      <w:tabs>
        <w:tab w:val="left" w:pos="340"/>
      </w:tabs>
      <w:spacing w:after="120" w:line="264" w:lineRule="exact"/>
      <w:ind w:left="3855"/>
      <w:outlineLvl w:val="8"/>
    </w:pPr>
    <w:rPr>
      <w:rFonts w:ascii="FrankRuehl" w:hAnsi="FrankRuehl"/>
      <w:b/>
      <w:bCs/>
      <w:sz w:val="32"/>
      <w:szCs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11">
    <w:name w:val="כותרת 11"/>
    <w:basedOn w:val="Normal"/>
    <w:next w:val="Normal"/>
    <w:pPr>
      <w:spacing w:before="240" w:after="480" w:line="288" w:lineRule="auto"/>
      <w:jc w:val="center"/>
    </w:pPr>
    <w:rPr>
      <w:b/>
      <w:bCs/>
      <w:sz w:val="32"/>
      <w:szCs w:val="36"/>
      <w:u w:val="single"/>
    </w:rPr>
  </w:style>
  <w:style w:type="paragraph" w:customStyle="1" w:styleId="21">
    <w:name w:val="כותרת 21"/>
    <w:basedOn w:val="Normal"/>
    <w:next w:val="Normal"/>
    <w:pPr>
      <w:spacing w:before="100" w:beforeAutospacing="1" w:after="240" w:line="264" w:lineRule="auto"/>
      <w:jc w:val="center"/>
    </w:pPr>
    <w:rPr>
      <w:b/>
      <w:bCs/>
      <w:sz w:val="28"/>
      <w:szCs w:val="32"/>
    </w:rPr>
  </w:style>
  <w:style w:type="paragraph" w:customStyle="1" w:styleId="31">
    <w:name w:val="כותרת 31"/>
    <w:basedOn w:val="Normal"/>
    <w:next w:val="Normal"/>
    <w:pPr>
      <w:spacing w:before="100" w:beforeAutospacing="1" w:line="288" w:lineRule="auto"/>
      <w:jc w:val="left"/>
    </w:pPr>
    <w:rPr>
      <w:b/>
      <w:bCs/>
      <w:sz w:val="24"/>
      <w:szCs w:val="28"/>
      <w:u w:val="single"/>
    </w:rPr>
  </w:style>
  <w:style w:type="paragraph" w:customStyle="1" w:styleId="41">
    <w:name w:val="כותרת 41"/>
    <w:basedOn w:val="Normal"/>
    <w:next w:val="Normal"/>
    <w:pPr>
      <w:spacing w:before="100" w:beforeAutospacing="1" w:line="264" w:lineRule="auto"/>
      <w:jc w:val="left"/>
    </w:pPr>
    <w:rPr>
      <w:b/>
      <w:bCs/>
      <w:sz w:val="22"/>
      <w:szCs w:val="26"/>
    </w:rPr>
  </w:style>
  <w:style w:type="paragraph" w:customStyle="1" w:styleId="a">
    <w:name w:val="נבנצלים"/>
    <w:basedOn w:val="Normal"/>
    <w:next w:val="Normal"/>
    <w:pPr>
      <w:ind w:left="-567"/>
    </w:pPr>
    <w:rPr>
      <w:szCs w:val="20"/>
    </w:rPr>
  </w:style>
  <w:style w:type="paragraph" w:styleId="BodyText">
    <w:name w:val="Body Text"/>
    <w:basedOn w:val="Normal"/>
  </w:style>
  <w:style w:type="paragraph" w:styleId="BodyText2">
    <w:name w:val="Body Text 2"/>
    <w:basedOn w:val="Normal"/>
    <w:pPr>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ind w:left="567" w:hanging="567"/>
    </w:pPr>
    <w:rPr>
      <w:szCs w:val="20"/>
    </w:rPr>
  </w:style>
  <w:style w:type="character" w:styleId="FootnoteReference">
    <w:name w:val="footnote reference"/>
    <w:basedOn w:val="DefaultParagraphFont"/>
    <w:rPr>
      <w:vertAlign w:val="superscript"/>
    </w:rPr>
  </w:style>
  <w:style w:type="paragraph" w:styleId="EndnoteText">
    <w:name w:val="endnote text"/>
    <w:basedOn w:val="Normal"/>
    <w:rPr>
      <w:szCs w:val="20"/>
    </w:rPr>
  </w:style>
  <w:style w:type="character" w:styleId="EndnoteReference">
    <w:name w:val="endnote reference"/>
    <w:basedOn w:val="DefaultParagraphFont"/>
    <w:rPr>
      <w:vertAlign w:val="superscript"/>
    </w:rPr>
  </w:style>
  <w:style w:type="paragraph" w:styleId="BodyText3">
    <w:name w:val="Body Text 3"/>
    <w:basedOn w:val="Normal"/>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spacing w:line="480" w:lineRule="auto"/>
      <w:ind w:left="804"/>
    </w:pPr>
  </w:style>
  <w:style w:type="paragraph" w:customStyle="1" w:styleId="KOT1">
    <w:name w:val="KOT1"/>
    <w:basedOn w:val="Normal"/>
    <w:pPr>
      <w:widowControl/>
      <w:spacing w:line="400" w:lineRule="exact"/>
      <w:jc w:val="center"/>
    </w:pPr>
    <w:rPr>
      <w:b/>
      <w:bCs/>
      <w:sz w:val="36"/>
      <w:szCs w:val="36"/>
    </w:rPr>
  </w:style>
  <w:style w:type="paragraph" w:customStyle="1" w:styleId="KOT2">
    <w:name w:val="KOT2"/>
    <w:basedOn w:val="Normal"/>
    <w:pPr>
      <w:keepNext/>
      <w:widowControl/>
      <w:spacing w:after="120" w:line="320" w:lineRule="exact"/>
      <w:jc w:val="left"/>
    </w:pPr>
    <w:rPr>
      <w:b/>
      <w:bCs/>
      <w:sz w:val="32"/>
      <w:szCs w:val="32"/>
    </w:rPr>
  </w:style>
  <w:style w:type="paragraph" w:customStyle="1" w:styleId="NAME">
    <w:name w:val="NAME"/>
    <w:basedOn w:val="Normal"/>
    <w:pPr>
      <w:widowControl/>
      <w:pBdr>
        <w:bottom w:val="single" w:sz="4" w:space="6" w:color="auto"/>
      </w:pBdr>
      <w:jc w:val="right"/>
      <w:outlineLvl w:val="0"/>
    </w:pPr>
    <w:rPr>
      <w:sz w:val="44"/>
      <w:szCs w:val="44"/>
    </w:rPr>
  </w:style>
  <w:style w:type="paragraph" w:customStyle="1" w:styleId="PATIAH">
    <w:name w:val="PATIAH"/>
    <w:basedOn w:val="Normal"/>
    <w:pPr>
      <w:widowControl/>
      <w:spacing w:line="280" w:lineRule="exact"/>
      <w:ind w:left="510" w:right="510"/>
    </w:pPr>
  </w:style>
  <w:style w:type="paragraph" w:customStyle="1" w:styleId="RESHET">
    <w:name w:val="RESHET"/>
    <w:basedOn w:val="Normal"/>
    <w:pPr>
      <w:widowControl/>
      <w:pBdr>
        <w:top w:val="single" w:sz="4" w:space="4" w:color="FFFFFF"/>
        <w:left w:val="single" w:sz="4" w:space="11" w:color="FFFFFF"/>
        <w:bottom w:val="single" w:sz="4" w:space="6" w:color="FFFFFF"/>
        <w:right w:val="single" w:sz="4" w:space="11" w:color="FFFFFF"/>
      </w:pBdr>
      <w:shd w:val="solid" w:color="00FFFF" w:fill="auto"/>
      <w:spacing w:line="266" w:lineRule="exact"/>
      <w:ind w:left="227" w:right="227"/>
    </w:pPr>
    <w:rPr>
      <w:rFonts w:cs="FrankRuehl"/>
      <w:b/>
      <w:bCs/>
      <w:sz w:val="24"/>
    </w:rPr>
  </w:style>
  <w:style w:type="paragraph" w:customStyle="1" w:styleId="KOT3">
    <w:name w:val="KOT3"/>
    <w:basedOn w:val="KOT2"/>
    <w:pPr>
      <w:ind w:left="340" w:hanging="340"/>
    </w:pPr>
    <w:rPr>
      <w:sz w:val="24"/>
      <w:szCs w:val="26"/>
      <w:lang w:eastAsia="en-US"/>
    </w:rPr>
  </w:style>
  <w:style w:type="paragraph" w:customStyle="1" w:styleId="KOT4">
    <w:name w:val="KOT4"/>
    <w:basedOn w:val="KOT3"/>
    <w:rPr>
      <w:sz w:val="22"/>
      <w:szCs w:val="24"/>
    </w:rPr>
  </w:style>
  <w:style w:type="paragraph" w:customStyle="1" w:styleId="a0">
    <w:name w:val="סגנון בסיס"/>
    <w:basedOn w:val="Normal"/>
    <w:pPr>
      <w:widowControl/>
      <w:spacing w:line="360" w:lineRule="auto"/>
      <w:ind w:right="3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image" Target="media/image1.wmf"/><Relationship Id="rId9"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5A95D4-DEA7-4BB7-A2D7-2D92D385D7C4}"/>
</file>

<file path=customXml/itemProps2.xml><?xml version="1.0" encoding="utf-8"?>
<ds:datastoreItem xmlns:ds="http://schemas.openxmlformats.org/officeDocument/2006/customXml" ds:itemID="{E8DA6A09-95FB-4561-B48E-A062D7633704}"/>
</file>

<file path=customXml/itemProps3.xml><?xml version="1.0" encoding="utf-8"?>
<ds:datastoreItem xmlns:ds="http://schemas.openxmlformats.org/officeDocument/2006/customXml" ds:itemID="{7583F909-9DC9-4165-8A73-73F4E5722EB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