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spacing w:line="240" w:lineRule="auto"/>
        <w:ind w:left="0" w:right="0"/>
        <w:jc w:val="center"/>
        <w:rPr>
          <w:rFonts w:hint="cs"/>
          <w:szCs w:val="20"/>
          <w:rtl/>
        </w:rPr>
      </w:pPr>
      <w:r>
        <w:rPr>
          <w:szCs w:val="20"/>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69.84pt" filled="f" fillcolor="window" stroked="f">
            <v:imagedata r:id="rId4" o:title="\\New\new c\MacMove\semel.tif"/>
          </v:shape>
        </w:pict>
      </w:r>
    </w:p>
    <w:p>
      <w:pPr>
        <w:spacing w:line="240" w:lineRule="auto"/>
        <w:ind w:left="0" w:right="0"/>
        <w:jc w:val="center"/>
        <w:rPr>
          <w:rFonts w:hint="cs"/>
          <w:b/>
          <w:bCs/>
          <w:sz w:val="28"/>
          <w:szCs w:val="26"/>
          <w:rtl/>
        </w:rPr>
      </w:pPr>
      <w:r>
        <w:rPr>
          <w:rFonts w:hint="cs"/>
          <w:b/>
          <w:bCs/>
          <w:sz w:val="28"/>
          <w:szCs w:val="26"/>
          <w:rtl/>
        </w:rPr>
        <w:t>מדינת ישראל</w:t>
      </w:r>
    </w:p>
    <w:p>
      <w:pPr>
        <w:spacing w:line="240" w:lineRule="auto"/>
        <w:ind w:left="0" w:right="0"/>
        <w:jc w:val="both"/>
        <w:rPr>
          <w:rFonts w:hint="cs"/>
          <w:b/>
          <w:bCs/>
          <w:sz w:val="28"/>
          <w:szCs w:val="26"/>
          <w:rtl/>
        </w:rPr>
      </w:pPr>
      <w:r>
        <w:rPr>
          <w:rFonts w:hint="cs"/>
          <w:b/>
          <w:bCs/>
          <w:sz w:val="28"/>
          <w:szCs w:val="26"/>
          <w:rtl/>
        </w:rPr>
        <w:t>אליעזר גולדברג</w:t>
      </w:r>
    </w:p>
    <w:p>
      <w:pPr>
        <w:spacing w:line="240" w:lineRule="auto"/>
        <w:ind w:left="0" w:right="0"/>
        <w:jc w:val="both"/>
        <w:rPr>
          <w:rFonts w:hint="cs"/>
          <w:b/>
          <w:bCs/>
          <w:sz w:val="28"/>
          <w:szCs w:val="26"/>
          <w:rtl/>
        </w:rPr>
      </w:pPr>
      <w:r>
        <w:rPr>
          <w:rFonts w:hint="cs"/>
          <w:b/>
          <w:bCs/>
          <w:sz w:val="28"/>
          <w:szCs w:val="26"/>
          <w:rtl/>
        </w:rPr>
        <w:t>מבקר המדינה</w:t>
      </w:r>
    </w:p>
    <w:p>
      <w:pPr>
        <w:spacing w:line="240" w:lineRule="auto"/>
        <w:ind w:left="0" w:right="0"/>
        <w:jc w:val="both"/>
        <w:rPr>
          <w:rFonts w:hint="cs"/>
          <w:rtl/>
        </w:rPr>
      </w:pPr>
    </w:p>
    <w:p>
      <w:pPr>
        <w:spacing w:line="240" w:lineRule="auto"/>
        <w:ind w:left="0" w:right="0"/>
        <w:jc w:val="right"/>
        <w:rPr>
          <w:rFonts w:hint="cs"/>
          <w:rtl/>
        </w:rPr>
      </w:pPr>
      <w:r>
        <w:rPr>
          <w:rFonts w:hint="cs"/>
          <w:rtl/>
        </w:rPr>
        <w:t>ירושלים, י"ד בתמוז התשנ"ט</w:t>
      </w:r>
    </w:p>
    <w:p>
      <w:pPr>
        <w:spacing w:line="240" w:lineRule="auto"/>
        <w:ind w:left="0" w:right="0"/>
        <w:jc w:val="right"/>
        <w:rPr>
          <w:rFonts w:hint="cs"/>
          <w:rtl/>
        </w:rPr>
      </w:pPr>
      <w:r>
        <w:rPr>
          <w:rFonts w:hint="cs"/>
          <w:rtl/>
        </w:rPr>
        <w:t>28 ביוני 1999</w:t>
      </w:r>
    </w:p>
    <w:p>
      <w:pPr>
        <w:spacing w:line="240" w:lineRule="auto"/>
        <w:ind w:left="0" w:right="0"/>
        <w:jc w:val="both"/>
        <w:rPr>
          <w:rFonts w:hint="cs"/>
          <w:rtl/>
        </w:rPr>
      </w:pPr>
    </w:p>
    <w:p>
      <w:pPr>
        <w:spacing w:line="240" w:lineRule="auto"/>
        <w:ind w:left="0" w:right="0"/>
        <w:jc w:val="both"/>
        <w:rPr>
          <w:rFonts w:hint="cs"/>
          <w:rtl/>
        </w:rPr>
      </w:pPr>
      <w:r>
        <w:rPr>
          <w:rFonts w:hint="cs"/>
          <w:rtl/>
        </w:rPr>
        <w:t>לכבוד</w:t>
      </w:r>
    </w:p>
    <w:p>
      <w:pPr>
        <w:spacing w:line="240" w:lineRule="auto"/>
        <w:ind w:left="0" w:right="0"/>
        <w:jc w:val="both"/>
        <w:rPr>
          <w:rFonts w:hint="cs"/>
          <w:rtl/>
        </w:rPr>
      </w:pPr>
      <w:r>
        <w:rPr>
          <w:rFonts w:hint="cs"/>
          <w:rtl/>
        </w:rPr>
        <w:t>יושב ראש הכנסת</w:t>
      </w:r>
    </w:p>
    <w:p>
      <w:pPr>
        <w:spacing w:line="240" w:lineRule="auto"/>
        <w:ind w:left="0" w:right="0"/>
        <w:jc w:val="both"/>
        <w:rPr>
          <w:rFonts w:hint="cs"/>
          <w:rtl/>
        </w:rPr>
      </w:pPr>
      <w:r>
        <w:rPr>
          <w:rFonts w:hint="cs"/>
          <w:rtl/>
        </w:rPr>
        <w:t>הכנסת</w:t>
      </w:r>
    </w:p>
    <w:p>
      <w:pPr>
        <w:pStyle w:val="Heading3"/>
        <w:spacing w:line="240" w:lineRule="auto"/>
        <w:ind w:left="0" w:right="0"/>
        <w:jc w:val="both"/>
        <w:rPr>
          <w:rFonts w:hint="cs"/>
          <w:rtl/>
        </w:rPr>
      </w:pPr>
      <w:r>
        <w:rPr>
          <w:rFonts w:hint="cs"/>
          <w:rtl/>
        </w:rPr>
        <w:t>ירושלים</w:t>
      </w:r>
    </w:p>
    <w:p>
      <w:pPr>
        <w:spacing w:line="240" w:lineRule="auto"/>
        <w:ind w:left="0" w:right="0"/>
        <w:jc w:val="both"/>
        <w:rPr>
          <w:rFonts w:hint="cs"/>
          <w:rtl/>
        </w:rPr>
      </w:pPr>
    </w:p>
    <w:p>
      <w:pPr>
        <w:spacing w:line="240" w:lineRule="auto"/>
        <w:ind w:left="0" w:right="0"/>
        <w:jc w:val="both"/>
        <w:rPr>
          <w:rFonts w:hint="cs"/>
          <w:rtl/>
        </w:rPr>
      </w:pPr>
      <w:r>
        <w:rPr>
          <w:rFonts w:hint="cs"/>
          <w:rtl/>
        </w:rPr>
        <w:t>אישי יושב ראש הכנסת,</w:t>
      </w:r>
    </w:p>
    <w:p>
      <w:pPr>
        <w:spacing w:line="240" w:lineRule="auto"/>
        <w:ind w:left="0" w:right="0"/>
        <w:jc w:val="both"/>
        <w:rPr>
          <w:rFonts w:hint="cs"/>
          <w:rtl/>
        </w:rPr>
      </w:pPr>
    </w:p>
    <w:p>
      <w:pPr>
        <w:tabs>
          <w:tab w:val="left" w:pos="-708"/>
          <w:tab w:val="left" w:pos="1236"/>
        </w:tabs>
        <w:spacing w:line="240" w:lineRule="auto"/>
        <w:ind w:left="0" w:right="0" w:firstLine="567"/>
        <w:jc w:val="both"/>
        <w:rPr>
          <w:rFonts w:hint="cs"/>
          <w:b/>
          <w:bCs/>
          <w:rtl/>
        </w:rPr>
      </w:pPr>
      <w:r>
        <w:rPr>
          <w:rFonts w:hint="cs"/>
          <w:rtl/>
        </w:rPr>
        <w:t xml:space="preserve">הנדון: </w:t>
        <w:tab/>
      </w:r>
      <w:r>
        <w:rPr>
          <w:rFonts w:hint="cs"/>
          <w:b/>
          <w:bCs/>
          <w:rtl/>
        </w:rPr>
        <w:t>תקנון המועצות המקומיות (יהודה והשומרון), התשמ"א-1981</w:t>
      </w:r>
    </w:p>
    <w:p>
      <w:pPr>
        <w:tabs>
          <w:tab w:val="left" w:pos="-708"/>
          <w:tab w:val="left" w:pos="1236"/>
        </w:tabs>
        <w:spacing w:line="240" w:lineRule="auto"/>
        <w:ind w:left="0" w:right="0" w:firstLine="567"/>
        <w:jc w:val="both"/>
        <w:rPr>
          <w:rFonts w:hint="cs"/>
          <w:b/>
          <w:bCs/>
          <w:rtl/>
        </w:rPr>
      </w:pPr>
      <w:r>
        <w:rPr>
          <w:rFonts w:hint="cs"/>
          <w:b/>
          <w:bCs/>
          <w:rtl/>
        </w:rPr>
        <w:tab/>
        <w:t>דין-וחשבון על תוצאות ביקורת חשבונות הסיעות והרשימות</w:t>
      </w:r>
    </w:p>
    <w:p>
      <w:pPr>
        <w:tabs>
          <w:tab w:val="left" w:pos="-708"/>
          <w:tab w:val="left" w:pos="1236"/>
        </w:tabs>
        <w:spacing w:line="240" w:lineRule="auto"/>
        <w:ind w:left="0" w:right="0" w:firstLine="567"/>
        <w:jc w:val="both"/>
        <w:rPr>
          <w:rFonts w:hint="cs"/>
          <w:b/>
          <w:bCs/>
          <w:u w:val="single"/>
          <w:rtl/>
        </w:rPr>
      </w:pPr>
      <w:r>
        <w:rPr>
          <w:rFonts w:hint="cs"/>
          <w:b/>
          <w:bCs/>
          <w:rtl/>
        </w:rPr>
        <w:tab/>
      </w:r>
      <w:r>
        <w:rPr>
          <w:rFonts w:hint="cs"/>
          <w:b/>
          <w:bCs/>
          <w:u w:val="single"/>
          <w:rtl/>
        </w:rPr>
        <w:t>שהשתתפו בבחירות למועצה המקומית אלקנה</w:t>
      </w:r>
    </w:p>
    <w:p>
      <w:pPr>
        <w:pStyle w:val="Heading5"/>
        <w:ind w:left="0" w:right="0"/>
        <w:jc w:val="both"/>
        <w:rPr>
          <w:rFonts w:hint="cs"/>
          <w:rtl/>
        </w:rPr>
      </w:pPr>
    </w:p>
    <w:p>
      <w:pPr>
        <w:tabs>
          <w:tab w:val="left" w:pos="-708"/>
          <w:tab w:val="left" w:pos="1236"/>
        </w:tabs>
        <w:spacing w:line="240" w:lineRule="auto"/>
        <w:ind w:left="0" w:right="0"/>
        <w:jc w:val="both"/>
        <w:rPr>
          <w:rFonts w:hint="cs"/>
          <w:b/>
          <w:bCs/>
          <w:rtl/>
        </w:rPr>
      </w:pPr>
    </w:p>
    <w:p>
      <w:pPr>
        <w:tabs>
          <w:tab w:val="left" w:pos="-708"/>
          <w:tab w:val="left" w:pos="588"/>
        </w:tabs>
        <w:spacing w:line="240" w:lineRule="auto"/>
        <w:ind w:left="567" w:right="0" w:hanging="567"/>
        <w:jc w:val="both"/>
        <w:rPr>
          <w:rFonts w:hint="cs"/>
          <w:rtl/>
        </w:rPr>
      </w:pPr>
      <w:r>
        <w:rPr>
          <w:rFonts w:hint="cs"/>
          <w:rtl/>
        </w:rPr>
        <w:t>1.</w:t>
        <w:tab/>
        <w:t>ב-1.9.1994 חתם מפקד כוחות צה"ל באזור יהודה והשומרון, בתוקף סמכותו לפי סעיף 2 לצו בדבר ניהול מועצות מקומיות (יהודה והשומרון) (מס' 892), התשמ"א-1981, על צו המתקן את תקנון המועצות המקומיות (יהודה והשומרון, התשמ"א-1981, ואשר נקרא תקנון המועצות המקומיות (תיקון מס' 78) (יהודה והשומרון), התשנ"ד-1994 (להלן - הצו המתקן). הצו המתקן מאמץ את הוראות חוק הרשויות המקומיות (מימון בחירות), התשנ"ג-1993 (להלן - החוק) וחקיקת המישנה מכוחו, בשינויים מסויימים, על ידי הכנסתן לתקנון המועצות המקומיות (יהודה והשומרון), התשמ"א-1981 (להלן - התקנון).</w:t>
      </w:r>
    </w:p>
    <w:p>
      <w:pPr>
        <w:tabs>
          <w:tab w:val="left" w:pos="-708"/>
          <w:tab w:val="left" w:pos="588"/>
        </w:tabs>
        <w:spacing w:line="240" w:lineRule="auto"/>
        <w:ind w:left="0" w:right="0"/>
        <w:jc w:val="both"/>
        <w:rPr>
          <w:rFonts w:hint="cs"/>
          <w:rtl/>
        </w:rPr>
      </w:pPr>
    </w:p>
    <w:p>
      <w:pPr>
        <w:numPr>
          <w:ilvl w:val="0"/>
          <w:numId w:val="14"/>
        </w:numPr>
        <w:tabs>
          <w:tab w:val="left" w:pos="-708"/>
          <w:tab w:val="left" w:pos="588"/>
        </w:tabs>
        <w:spacing w:line="240" w:lineRule="auto"/>
        <w:ind w:left="360" w:right="0"/>
        <w:jc w:val="both"/>
        <w:rPr>
          <w:rFonts w:hint="cs"/>
          <w:rtl/>
        </w:rPr>
      </w:pPr>
      <w:r>
        <w:rPr>
          <w:rFonts w:hint="cs"/>
          <w:rtl/>
        </w:rPr>
        <w:t>בהתאם לסעיף 12(כ) לתקנון, המאמץ את סעיף 23(א) לחוק (תוך המרת המילים "ליושב ראש הכנסת" במילים "ליושב ראש כנסת ישראל"), על מבקר המדינה למסור ליושב ראש כנסת ישראל, לא יאוחר מתום שמונה חודשים אחרי הבחירות, דין-וחשבון בדבר ביקורת החשבונות של הסיעות והרשימות (להלן - הסיעות), שהשתתפו בבחירות לרשויות המקומיות ביהודה ובשומרון. בהתאם לתקנון, מתמודדות בבחירות לרשויות המקומיות ביהודה ובשומרון סיעות ורשימות עצמאיות בלבד, ולא "סיעות בת" או "רשימות בת" של הסיעות המיוצגות בכנסת.</w:t>
      </w:r>
    </w:p>
    <w:p>
      <w:pPr>
        <w:tabs>
          <w:tab w:val="left" w:pos="-708"/>
          <w:tab w:val="left" w:pos="588"/>
        </w:tabs>
        <w:spacing w:line="240" w:lineRule="auto"/>
        <w:ind w:left="0" w:right="0"/>
        <w:jc w:val="both"/>
        <w:rPr>
          <w:rFonts w:hint="cs"/>
          <w:rtl/>
        </w:rPr>
      </w:pPr>
    </w:p>
    <w:p>
      <w:pPr>
        <w:tabs>
          <w:tab w:val="left" w:pos="-708"/>
          <w:tab w:val="left" w:pos="588"/>
        </w:tabs>
        <w:spacing w:line="240" w:lineRule="auto"/>
        <w:ind w:left="360" w:right="0" w:hanging="360"/>
        <w:jc w:val="both"/>
        <w:rPr>
          <w:rFonts w:hint="cs"/>
          <w:rtl/>
        </w:rPr>
      </w:pPr>
      <w:r>
        <w:rPr>
          <w:rFonts w:hint="cs"/>
          <w:rtl/>
        </w:rPr>
        <w:t>3.</w:t>
        <w:tab/>
        <w:t xml:space="preserve">ב-13.10.1998 נתקיימו בחירות למועצה המקומית </w:t>
      </w:r>
      <w:r>
        <w:rPr>
          <w:rFonts w:hint="cs"/>
          <w:b/>
          <w:bCs/>
          <w:rtl/>
        </w:rPr>
        <w:t>אלקנה</w:t>
      </w:r>
      <w:r>
        <w:rPr>
          <w:rFonts w:hint="cs"/>
          <w:rtl/>
        </w:rPr>
        <w:t>, וב-27.10.1998 נתקיימו בחירות חוזרות לבחירת ראש הרשות.</w:t>
      </w:r>
    </w:p>
    <w:p>
      <w:pPr>
        <w:tabs>
          <w:tab w:val="left" w:pos="-708"/>
          <w:tab w:val="left" w:pos="588"/>
        </w:tabs>
        <w:spacing w:line="240" w:lineRule="auto"/>
        <w:ind w:left="0" w:right="0"/>
        <w:jc w:val="both"/>
        <w:rPr>
          <w:rFonts w:hint="cs"/>
          <w:rtl/>
        </w:rPr>
      </w:pPr>
    </w:p>
    <w:p>
      <w:pPr>
        <w:numPr>
          <w:ilvl w:val="0"/>
          <w:numId w:val="15"/>
        </w:numPr>
        <w:tabs>
          <w:tab w:val="left" w:pos="-708"/>
          <w:tab w:val="left" w:pos="588"/>
        </w:tabs>
        <w:spacing w:line="240" w:lineRule="auto"/>
        <w:ind w:left="360" w:right="0"/>
        <w:jc w:val="both"/>
        <w:rPr>
          <w:rFonts w:hint="cs"/>
          <w:rtl/>
        </w:rPr>
      </w:pPr>
      <w:r>
        <w:rPr>
          <w:rFonts w:hint="cs"/>
          <w:rtl/>
        </w:rPr>
        <w:t>אני מתכבד למסור לך דינים וחשבונות בדבר תוצאות ביקורת חשבונותיהן של שבע סיעות שהשתתפו בבחירות:</w:t>
      </w:r>
    </w:p>
    <w:p>
      <w:pPr>
        <w:tabs>
          <w:tab w:val="left" w:pos="-708"/>
          <w:tab w:val="left" w:pos="588"/>
        </w:tabs>
        <w:spacing w:line="240" w:lineRule="auto"/>
        <w:ind w:left="0" w:right="0"/>
        <w:jc w:val="both"/>
        <w:rPr>
          <w:rFonts w:hint="cs"/>
          <w:rtl/>
        </w:rPr>
      </w:pPr>
    </w:p>
    <w:p>
      <w:pPr>
        <w:tabs>
          <w:tab w:val="left" w:pos="-708"/>
          <w:tab w:val="left" w:pos="588"/>
        </w:tabs>
        <w:spacing w:line="240" w:lineRule="auto"/>
        <w:ind w:left="0" w:right="0"/>
        <w:jc w:val="both"/>
        <w:rPr>
          <w:rFonts w:hint="cs"/>
          <w:b/>
          <w:bCs/>
          <w:rtl/>
        </w:rPr>
      </w:pPr>
      <w:r>
        <w:rPr>
          <w:rFonts w:hint="cs"/>
          <w:b/>
          <w:bCs/>
          <w:rtl/>
        </w:rPr>
        <w:tab/>
        <w:t>(1) אלקנה אחרת;</w:t>
      </w:r>
    </w:p>
    <w:p>
      <w:pPr>
        <w:tabs>
          <w:tab w:val="left" w:pos="-708"/>
          <w:tab w:val="left" w:pos="588"/>
        </w:tabs>
        <w:spacing w:line="240" w:lineRule="auto"/>
        <w:ind w:left="0" w:right="0"/>
        <w:jc w:val="both"/>
        <w:rPr>
          <w:rFonts w:hint="cs"/>
          <w:b/>
          <w:bCs/>
          <w:rtl/>
        </w:rPr>
      </w:pPr>
      <w:r>
        <w:rPr>
          <w:rFonts w:hint="cs"/>
          <w:b/>
          <w:bCs/>
          <w:rtl/>
        </w:rPr>
        <w:tab/>
        <w:t>(2) אלקנה בתנופה;</w:t>
      </w:r>
    </w:p>
    <w:p>
      <w:pPr>
        <w:tabs>
          <w:tab w:val="left" w:pos="-708"/>
          <w:tab w:val="left" w:pos="588"/>
        </w:tabs>
        <w:spacing w:line="240" w:lineRule="auto"/>
        <w:ind w:left="0" w:right="0"/>
        <w:jc w:val="both"/>
        <w:rPr>
          <w:rFonts w:hint="cs"/>
          <w:b/>
          <w:bCs/>
          <w:rtl/>
        </w:rPr>
      </w:pPr>
      <w:r>
        <w:rPr>
          <w:rFonts w:hint="cs"/>
          <w:b/>
          <w:bCs/>
          <w:rtl/>
        </w:rPr>
        <w:tab/>
        <w:t>(3) אלקנה יפה;</w:t>
      </w:r>
    </w:p>
    <w:p>
      <w:pPr>
        <w:tabs>
          <w:tab w:val="left" w:pos="-708"/>
          <w:tab w:val="left" w:pos="588"/>
        </w:tabs>
        <w:spacing w:line="240" w:lineRule="auto"/>
        <w:ind w:left="0" w:right="0"/>
        <w:jc w:val="both"/>
        <w:rPr>
          <w:rFonts w:hint="cs"/>
          <w:b/>
          <w:bCs/>
          <w:rtl/>
        </w:rPr>
      </w:pPr>
      <w:r>
        <w:rPr>
          <w:rFonts w:hint="cs"/>
          <w:b/>
          <w:bCs/>
          <w:rtl/>
        </w:rPr>
        <w:tab/>
        <w:t>(4) אלקנה קדימה;</w:t>
      </w:r>
    </w:p>
    <w:p>
      <w:pPr>
        <w:tabs>
          <w:tab w:val="left" w:pos="-708"/>
          <w:tab w:val="left" w:pos="588"/>
        </w:tabs>
        <w:spacing w:line="240" w:lineRule="auto"/>
        <w:ind w:left="0" w:right="0"/>
        <w:jc w:val="both"/>
        <w:rPr>
          <w:rFonts w:hint="cs"/>
          <w:b/>
          <w:bCs/>
          <w:rtl/>
        </w:rPr>
      </w:pPr>
      <w:r>
        <w:rPr>
          <w:rFonts w:hint="cs"/>
          <w:b/>
          <w:bCs/>
          <w:rtl/>
        </w:rPr>
        <w:tab/>
        <w:t>(5) אמונה ועשיה;</w:t>
      </w:r>
    </w:p>
    <w:p>
      <w:pPr>
        <w:tabs>
          <w:tab w:val="left" w:pos="-708"/>
          <w:tab w:val="left" w:pos="588"/>
        </w:tabs>
        <w:spacing w:line="240" w:lineRule="auto"/>
        <w:ind w:left="0" w:right="0"/>
        <w:jc w:val="both"/>
        <w:rPr>
          <w:rFonts w:hint="cs"/>
          <w:b/>
          <w:bCs/>
          <w:rtl/>
        </w:rPr>
      </w:pPr>
      <w:r>
        <w:rPr>
          <w:rFonts w:hint="cs"/>
          <w:b/>
          <w:bCs/>
          <w:rtl/>
        </w:rPr>
        <w:tab/>
        <w:t>(6) חיים מרואני טוב לכל אלקנה;</w:t>
      </w:r>
    </w:p>
    <w:p>
      <w:pPr>
        <w:tabs>
          <w:tab w:val="left" w:pos="-708"/>
          <w:tab w:val="left" w:pos="588"/>
        </w:tabs>
        <w:spacing w:line="240" w:lineRule="auto"/>
        <w:ind w:left="0" w:right="0"/>
        <w:jc w:val="both"/>
        <w:rPr>
          <w:rFonts w:hint="cs"/>
          <w:b/>
          <w:bCs/>
          <w:rtl/>
        </w:rPr>
      </w:pPr>
      <w:r>
        <w:rPr>
          <w:rFonts w:hint="cs"/>
          <w:b/>
          <w:bCs/>
          <w:rtl/>
        </w:rPr>
        <w:tab/>
        <w:t>(7) לעתיד בטוח.</w:t>
      </w:r>
    </w:p>
    <w:p>
      <w:pPr>
        <w:tabs>
          <w:tab w:val="left" w:pos="-708"/>
          <w:tab w:val="left" w:pos="588"/>
        </w:tabs>
        <w:spacing w:line="240" w:lineRule="auto"/>
        <w:ind w:left="0" w:right="0"/>
        <w:jc w:val="both"/>
        <w:rPr>
          <w:rFonts w:hint="cs"/>
          <w:rtl/>
        </w:rPr>
      </w:pPr>
      <w:r>
        <w:rPr>
          <w:rtl/>
        </w:rPr>
        <w:br w:type="page"/>
      </w:r>
    </w:p>
    <w:p>
      <w:pPr>
        <w:tabs>
          <w:tab w:val="left" w:pos="-708"/>
          <w:tab w:val="left" w:pos="588"/>
        </w:tabs>
        <w:spacing w:line="240" w:lineRule="auto"/>
        <w:ind w:left="588" w:right="0" w:hanging="588"/>
        <w:jc w:val="both"/>
        <w:rPr>
          <w:rFonts w:hint="cs"/>
          <w:rtl/>
        </w:rPr>
      </w:pPr>
      <w:r>
        <w:rPr>
          <w:rFonts w:hint="cs"/>
          <w:rtl/>
        </w:rPr>
        <w:t>5.</w:t>
        <w:tab/>
        <w:t>(א) על פי התקנון, על הסיעות למסור למבקר המדינה את החשבונות והדוחות הכספיים לתקופת הבחירות בצירוף חוות-דעת של רואה חשבון בדבר תקינותם ושלמותם, וכן בדבר ניהול מערכת החשבונות בהתאם להנחיות מבקר המדינה.</w:t>
      </w:r>
    </w:p>
    <w:p>
      <w:pPr>
        <w:tabs>
          <w:tab w:val="left" w:pos="-708"/>
          <w:tab w:val="left" w:pos="588"/>
        </w:tabs>
        <w:spacing w:line="240" w:lineRule="auto"/>
        <w:ind w:left="588" w:right="0" w:hanging="588"/>
        <w:jc w:val="both"/>
        <w:rPr>
          <w:rFonts w:hint="cs"/>
          <w:rtl/>
        </w:rPr>
      </w:pPr>
      <w:r>
        <w:rPr>
          <w:rFonts w:hint="cs"/>
          <w:rtl/>
        </w:rPr>
        <w:tab/>
        <w:t>(ב) על סיעות ורשימות ברשויות המקומיות שמספר בעלי זכות הבחירה בהן עולה על 5,000 - הוטל למנות רואי חשבון בעצמן ועל חשבונן.</w:t>
      </w:r>
    </w:p>
    <w:p>
      <w:pPr>
        <w:tabs>
          <w:tab w:val="left" w:pos="-708"/>
          <w:tab w:val="left" w:pos="588"/>
        </w:tabs>
        <w:spacing w:line="240" w:lineRule="auto"/>
        <w:ind w:left="588" w:right="0" w:hanging="588"/>
        <w:jc w:val="both"/>
        <w:rPr>
          <w:rFonts w:hint="cs"/>
          <w:rtl/>
        </w:rPr>
      </w:pPr>
      <w:r>
        <w:rPr>
          <w:rFonts w:hint="cs"/>
          <w:rtl/>
        </w:rPr>
        <w:tab/>
        <w:t>(ג) לגבי רשויות מקומיות, שמספר בעלי זכות הבחירה בהן אינו עולה על 5,000 - על מבקר המדינה למנות רואה חשבון לבקר את חשבונותיהן של כל הסיעות המתמודדות בהן, שכרם של רואי חשבון אלה ישולם מאוצר המדינה.</w:t>
      </w:r>
    </w:p>
    <w:p>
      <w:pPr>
        <w:tabs>
          <w:tab w:val="left" w:pos="-708"/>
          <w:tab w:val="left" w:pos="588"/>
        </w:tabs>
        <w:spacing w:line="240" w:lineRule="auto"/>
        <w:ind w:left="588" w:right="0" w:hanging="588"/>
        <w:jc w:val="both"/>
        <w:rPr>
          <w:rFonts w:hint="cs"/>
          <w:rtl/>
        </w:rPr>
      </w:pPr>
      <w:r>
        <w:rPr>
          <w:rFonts w:hint="cs"/>
          <w:rtl/>
        </w:rPr>
        <w:tab/>
        <w:t xml:space="preserve">(ד) מספר בעלי הזכות לבחור במועצה המקומית </w:t>
      </w:r>
      <w:r>
        <w:rPr>
          <w:rFonts w:hint="cs"/>
          <w:b/>
          <w:bCs/>
          <w:rtl/>
        </w:rPr>
        <w:t>אלקנה</w:t>
      </w:r>
      <w:r>
        <w:rPr>
          <w:rFonts w:hint="cs"/>
          <w:rtl/>
        </w:rPr>
        <w:t xml:space="preserve"> אינו עולה על 5,000. לפיכך מיניתי רואה חשבון לביקורת חשבונותיהן של שבע הסיעות </w:t>
      </w:r>
      <w:r>
        <w:rPr>
          <w:rFonts w:hint="cs"/>
          <w:b/>
          <w:bCs/>
          <w:rtl/>
        </w:rPr>
        <w:t>באלקנה</w:t>
      </w:r>
      <w:r>
        <w:rPr>
          <w:rFonts w:hint="cs"/>
          <w:rtl/>
        </w:rPr>
        <w:t>.</w:t>
      </w:r>
    </w:p>
    <w:p>
      <w:pPr>
        <w:tabs>
          <w:tab w:val="left" w:pos="-708"/>
          <w:tab w:val="left" w:pos="588"/>
        </w:tabs>
        <w:spacing w:line="240" w:lineRule="auto"/>
        <w:ind w:left="588" w:right="0" w:hanging="588"/>
        <w:jc w:val="both"/>
        <w:rPr>
          <w:rFonts w:hint="cs"/>
          <w:rtl/>
        </w:rPr>
      </w:pPr>
    </w:p>
    <w:p>
      <w:pPr>
        <w:tabs>
          <w:tab w:val="left" w:pos="-708"/>
          <w:tab w:val="left" w:pos="588"/>
        </w:tabs>
        <w:spacing w:line="240" w:lineRule="auto"/>
        <w:ind w:left="588" w:right="0" w:hanging="588"/>
        <w:jc w:val="both"/>
        <w:rPr>
          <w:rFonts w:hint="cs"/>
          <w:rtl/>
        </w:rPr>
      </w:pPr>
      <w:r>
        <w:rPr>
          <w:rFonts w:hint="cs"/>
          <w:rtl/>
        </w:rPr>
        <w:t>6.</w:t>
        <w:tab/>
        <w:t>בדין וחשבון המוגש לפי התקנון, על מבקר המדינה לקבוע: האם ניהלו הסיעות מערכת חשבונות בהתאם להנחיות מבקר המדינה; האם היו הוצאות הבחירות שלהן בגבולות התיקרה שנקבעה בתקנון; האם היו ההכנסות שקיבלו בגבולות שנקבעו בתקנון.</w:t>
      </w:r>
    </w:p>
    <w:p>
      <w:pPr>
        <w:tabs>
          <w:tab w:val="left" w:pos="-708"/>
          <w:tab w:val="left" w:pos="588"/>
        </w:tabs>
        <w:spacing w:line="240" w:lineRule="auto"/>
        <w:ind w:left="588" w:right="0" w:hanging="588"/>
        <w:jc w:val="both"/>
        <w:rPr>
          <w:rFonts w:hint="cs"/>
          <w:rtl/>
        </w:rPr>
      </w:pPr>
    </w:p>
    <w:p>
      <w:pPr>
        <w:tabs>
          <w:tab w:val="left" w:pos="-708"/>
          <w:tab w:val="left" w:pos="588"/>
        </w:tabs>
        <w:spacing w:line="240" w:lineRule="auto"/>
        <w:ind w:left="588" w:right="0" w:hanging="588"/>
        <w:jc w:val="both"/>
        <w:rPr>
          <w:rFonts w:hint="cs"/>
          <w:rtl/>
        </w:rPr>
      </w:pPr>
      <w:r>
        <w:rPr>
          <w:rFonts w:hint="cs"/>
          <w:rtl/>
        </w:rPr>
        <w:t>7.</w:t>
        <w:tab/>
        <w:t>קביעת תוצאות ביקורת החשבונות של הסיעות נעשתה בהסתמך על חוות-דעת רואה החשבון; בדיקות ובירורים משלימים שערכו עובדי משרדי; השלמות, תיקונים והסברים של הסיעות; תצהירים של נציגי הסיעות שנתקבלו כראייה לפי סעיף 12ב לתקנון המאמץ, בין היתר, את סעיף 21(ה) לחוק.</w:t>
      </w:r>
    </w:p>
    <w:p>
      <w:pPr>
        <w:tabs>
          <w:tab w:val="left" w:pos="-708"/>
          <w:tab w:val="left" w:pos="588"/>
        </w:tabs>
        <w:spacing w:line="240" w:lineRule="auto"/>
        <w:ind w:left="588" w:right="0" w:hanging="588"/>
        <w:jc w:val="both"/>
        <w:rPr>
          <w:rFonts w:hint="cs"/>
          <w:rtl/>
        </w:rPr>
      </w:pPr>
    </w:p>
    <w:p>
      <w:pPr>
        <w:tabs>
          <w:tab w:val="left" w:pos="-708"/>
          <w:tab w:val="left" w:pos="588"/>
        </w:tabs>
        <w:spacing w:line="240" w:lineRule="auto"/>
        <w:ind w:left="588" w:right="0" w:hanging="588"/>
        <w:jc w:val="both"/>
        <w:rPr>
          <w:rFonts w:hint="cs"/>
          <w:b/>
          <w:bCs/>
          <w:u w:val="single"/>
          <w:rtl/>
        </w:rPr>
      </w:pPr>
      <w:r>
        <w:rPr>
          <w:rFonts w:hint="cs"/>
          <w:rtl/>
        </w:rPr>
        <w:t>8.</w:t>
        <w:tab/>
      </w:r>
      <w:r>
        <w:rPr>
          <w:rFonts w:hint="cs"/>
          <w:b/>
          <w:bCs/>
          <w:u w:val="single"/>
          <w:rtl/>
        </w:rPr>
        <w:t>סיכום הדוח</w:t>
      </w:r>
    </w:p>
    <w:p>
      <w:pPr>
        <w:tabs>
          <w:tab w:val="left" w:pos="-708"/>
          <w:tab w:val="left" w:pos="588"/>
        </w:tabs>
        <w:spacing w:line="240" w:lineRule="auto"/>
        <w:ind w:left="588" w:right="0" w:hanging="588"/>
        <w:jc w:val="both"/>
        <w:rPr>
          <w:rFonts w:hint="cs"/>
          <w:rtl/>
        </w:rPr>
      </w:pPr>
      <w:r>
        <w:rPr>
          <w:rFonts w:hint="cs"/>
          <w:rtl/>
        </w:rPr>
        <w:t>שבע הסיעות:</w:t>
      </w:r>
    </w:p>
    <w:p>
      <w:pPr>
        <w:tabs>
          <w:tab w:val="left" w:pos="-708"/>
          <w:tab w:val="left" w:pos="588"/>
        </w:tabs>
        <w:spacing w:line="240" w:lineRule="auto"/>
        <w:ind w:left="0" w:right="0"/>
        <w:jc w:val="both"/>
        <w:rPr>
          <w:rFonts w:hint="cs"/>
          <w:b/>
          <w:bCs/>
          <w:rtl/>
        </w:rPr>
      </w:pPr>
      <w:r>
        <w:rPr>
          <w:rFonts w:hint="cs"/>
          <w:b/>
          <w:bCs/>
          <w:rtl/>
        </w:rPr>
        <w:t>(1) אלקנה אחרת;</w:t>
      </w:r>
    </w:p>
    <w:p>
      <w:pPr>
        <w:tabs>
          <w:tab w:val="left" w:pos="-708"/>
          <w:tab w:val="left" w:pos="588"/>
        </w:tabs>
        <w:spacing w:line="240" w:lineRule="auto"/>
        <w:ind w:left="0" w:right="0"/>
        <w:jc w:val="both"/>
        <w:rPr>
          <w:rFonts w:hint="cs"/>
          <w:b/>
          <w:bCs/>
          <w:rtl/>
        </w:rPr>
      </w:pPr>
      <w:r>
        <w:rPr>
          <w:rFonts w:hint="cs"/>
          <w:b/>
          <w:bCs/>
          <w:rtl/>
        </w:rPr>
        <w:t>(2) אלקנה בתנופה;</w:t>
      </w:r>
    </w:p>
    <w:p>
      <w:pPr>
        <w:tabs>
          <w:tab w:val="left" w:pos="-708"/>
          <w:tab w:val="left" w:pos="588"/>
        </w:tabs>
        <w:spacing w:line="240" w:lineRule="auto"/>
        <w:ind w:left="0" w:right="0"/>
        <w:jc w:val="both"/>
        <w:rPr>
          <w:rFonts w:hint="cs"/>
          <w:b/>
          <w:bCs/>
          <w:rtl/>
        </w:rPr>
      </w:pPr>
      <w:r>
        <w:rPr>
          <w:rFonts w:hint="cs"/>
          <w:b/>
          <w:bCs/>
          <w:rtl/>
        </w:rPr>
        <w:t>(3) אלקנה יפה;</w:t>
      </w:r>
    </w:p>
    <w:p>
      <w:pPr>
        <w:tabs>
          <w:tab w:val="left" w:pos="-708"/>
          <w:tab w:val="left" w:pos="588"/>
        </w:tabs>
        <w:spacing w:line="240" w:lineRule="auto"/>
        <w:ind w:left="0" w:right="0"/>
        <w:jc w:val="both"/>
        <w:rPr>
          <w:rFonts w:hint="cs"/>
          <w:b/>
          <w:bCs/>
          <w:rtl/>
        </w:rPr>
      </w:pPr>
      <w:r>
        <w:rPr>
          <w:rFonts w:hint="cs"/>
          <w:b/>
          <w:bCs/>
          <w:rtl/>
        </w:rPr>
        <w:t>(4) אלקנה קדימה;</w:t>
      </w:r>
    </w:p>
    <w:p>
      <w:pPr>
        <w:tabs>
          <w:tab w:val="left" w:pos="-708"/>
          <w:tab w:val="left" w:pos="588"/>
        </w:tabs>
        <w:spacing w:line="240" w:lineRule="auto"/>
        <w:ind w:left="0" w:right="0"/>
        <w:jc w:val="both"/>
        <w:rPr>
          <w:rFonts w:hint="cs"/>
          <w:b/>
          <w:bCs/>
          <w:rtl/>
        </w:rPr>
      </w:pPr>
      <w:r>
        <w:rPr>
          <w:rFonts w:hint="cs"/>
          <w:b/>
          <w:bCs/>
          <w:rtl/>
        </w:rPr>
        <w:t>(5) אמונה ועשיה;</w:t>
      </w:r>
    </w:p>
    <w:p>
      <w:pPr>
        <w:tabs>
          <w:tab w:val="left" w:pos="-708"/>
          <w:tab w:val="left" w:pos="588"/>
        </w:tabs>
        <w:spacing w:line="240" w:lineRule="auto"/>
        <w:ind w:left="0" w:right="0"/>
        <w:jc w:val="both"/>
        <w:rPr>
          <w:rFonts w:hint="cs"/>
          <w:b/>
          <w:bCs/>
          <w:rtl/>
        </w:rPr>
      </w:pPr>
      <w:r>
        <w:rPr>
          <w:rFonts w:hint="cs"/>
          <w:b/>
          <w:bCs/>
          <w:rtl/>
        </w:rPr>
        <w:t>(6) חיים מרואני טוב לכל אלקנה;</w:t>
      </w:r>
    </w:p>
    <w:p>
      <w:pPr>
        <w:tabs>
          <w:tab w:val="left" w:pos="-708"/>
          <w:tab w:val="left" w:pos="588"/>
        </w:tabs>
        <w:spacing w:line="240" w:lineRule="auto"/>
        <w:ind w:left="0" w:right="0"/>
        <w:jc w:val="both"/>
        <w:rPr>
          <w:rFonts w:hint="cs"/>
          <w:b/>
          <w:bCs/>
          <w:rtl/>
        </w:rPr>
      </w:pPr>
      <w:r>
        <w:rPr>
          <w:rFonts w:hint="cs"/>
          <w:b/>
          <w:bCs/>
          <w:rtl/>
        </w:rPr>
        <w:t>(7) לעתיד בטוח.</w:t>
      </w:r>
    </w:p>
    <w:p>
      <w:pPr>
        <w:tabs>
          <w:tab w:val="left" w:pos="-708"/>
          <w:tab w:val="left" w:pos="588"/>
        </w:tabs>
        <w:spacing w:line="240" w:lineRule="auto"/>
        <w:ind w:left="588" w:right="0" w:hanging="588"/>
        <w:jc w:val="both"/>
        <w:rPr>
          <w:rFonts w:hint="cs"/>
          <w:rtl/>
        </w:rPr>
      </w:pPr>
    </w:p>
    <w:p>
      <w:pPr>
        <w:spacing w:line="240" w:lineRule="auto"/>
        <w:ind w:left="0" w:right="0"/>
        <w:jc w:val="both"/>
        <w:rPr>
          <w:rFonts w:hint="cs"/>
          <w:rtl/>
        </w:rPr>
      </w:pPr>
      <w:r>
        <w:rPr>
          <w:rFonts w:hint="cs"/>
          <w:rtl/>
        </w:rPr>
        <w:t>ניהלו מערכות חשבונות לפי הנחיות מבקר המדינה; הוצאות הבחירות שלהן בתקופת הבחירות היו בגבולות האמורים בסעיף 12ב לתקנון, המאמץ, בין היתר, את סעיף 15 לחוק; ההכנסות שלהן עמדו בדרישות סעיף 12ב(טז) לתקנון, המאמץ את סעיף 16(א) לחוק (תוך המרת המילים "בארץ או בחוץ לארץ" במילים "באזור יהודה והשומרון או מחוץ לאזור") וכן בדרישות סעיף 12ב לתקנון, המאמץ, בין היתר, את סעיף 16(ב) לחוק. לפיכך, ניתן לגביהן דין-וחשבון חיובי לגבי תוצאות ביקורת חשבונותיהן לתקופת הבחירות.</w:t>
      </w:r>
    </w:p>
    <w:p>
      <w:pPr>
        <w:tabs>
          <w:tab w:val="left" w:pos="-708"/>
          <w:tab w:val="left" w:pos="84"/>
        </w:tabs>
        <w:spacing w:line="240" w:lineRule="auto"/>
        <w:ind w:left="12" w:right="0" w:hanging="12"/>
        <w:jc w:val="both"/>
        <w:rPr>
          <w:rFonts w:hint="cs"/>
          <w:rtl/>
        </w:rPr>
      </w:pPr>
    </w:p>
    <w:p>
      <w:pPr>
        <w:tabs>
          <w:tab w:val="left" w:pos="-708"/>
          <w:tab w:val="left" w:pos="84"/>
        </w:tabs>
        <w:spacing w:line="240" w:lineRule="auto"/>
        <w:ind w:left="567" w:right="0" w:hanging="567"/>
        <w:jc w:val="both"/>
        <w:rPr>
          <w:rFonts w:hint="cs"/>
          <w:rtl/>
        </w:rPr>
      </w:pPr>
      <w:r>
        <w:rPr>
          <w:rFonts w:hint="cs"/>
          <w:rtl/>
        </w:rPr>
        <w:t>9.</w:t>
        <w:tab/>
        <w:t>בד בבד עם מכתבי זה אליך, מומצא הדוח, לפעולה, לממונה על הישובים הישראלים ביהודה ובשומרון. הדיווח המומצא לך, על פי התקנון, הינו, איפוא, לידיעה בלבד.</w:t>
      </w:r>
    </w:p>
    <w:p>
      <w:pPr>
        <w:tabs>
          <w:tab w:val="left" w:pos="-708"/>
          <w:tab w:val="left" w:pos="84"/>
        </w:tabs>
        <w:spacing w:line="240" w:lineRule="auto"/>
        <w:ind w:left="12" w:right="0" w:hanging="12"/>
        <w:jc w:val="both"/>
        <w:rPr>
          <w:rFonts w:hint="cs"/>
          <w:rtl/>
        </w:rPr>
      </w:pPr>
    </w:p>
    <w:p>
      <w:pPr>
        <w:tabs>
          <w:tab w:val="left" w:pos="-708"/>
          <w:tab w:val="left" w:pos="84"/>
        </w:tabs>
        <w:spacing w:line="240" w:lineRule="auto"/>
        <w:ind w:left="567" w:right="0" w:hanging="567"/>
        <w:jc w:val="both"/>
        <w:rPr>
          <w:rFonts w:hint="cs"/>
          <w:rtl/>
        </w:rPr>
      </w:pPr>
      <w:r>
        <w:rPr>
          <w:rFonts w:hint="cs"/>
          <w:rtl/>
        </w:rPr>
        <w:t>10.</w:t>
        <w:tab/>
        <w:t>ב-15.2.1996 פורסם ברשומות תיקון מס' 3 לחוק. בתיקון נקבע, בין היתר, כי אם הוצאותיה של סיעה נמוכות מהסכומים המגיעים  לה לפי החוק, תוחזר היתרה לאוצר המדינה. פרטים לגבי הוצאות הבחירות של הסיעות ימסרו לממונה על הישובים הישראלים ביהודה ובשומרון. הסיעות שהוצאותיהן היו נמוכות מהסכומים המגיעים להן לפי החוק, הן:</w:t>
      </w:r>
    </w:p>
    <w:p>
      <w:pPr>
        <w:tabs>
          <w:tab w:val="left" w:pos="-708"/>
          <w:tab w:val="left" w:pos="84"/>
        </w:tabs>
        <w:spacing w:line="240" w:lineRule="auto"/>
        <w:ind w:left="12" w:right="0" w:hanging="12"/>
        <w:jc w:val="both"/>
        <w:rPr>
          <w:rFonts w:hint="cs"/>
          <w:rtl/>
        </w:rPr>
      </w:pPr>
    </w:p>
    <w:p>
      <w:pPr>
        <w:tabs>
          <w:tab w:val="left" w:pos="-708"/>
          <w:tab w:val="left" w:pos="84"/>
        </w:tabs>
        <w:spacing w:line="240" w:lineRule="auto"/>
        <w:ind w:left="12" w:right="0" w:hanging="12"/>
        <w:jc w:val="both"/>
        <w:rPr>
          <w:rFonts w:hint="cs"/>
          <w:rtl/>
        </w:rPr>
      </w:pPr>
      <w:r>
        <w:rPr>
          <w:rFonts w:hint="cs"/>
          <w:b/>
          <w:bCs/>
          <w:rtl/>
        </w:rPr>
        <w:t>(1)</w:t>
      </w:r>
      <w:r>
        <w:rPr>
          <w:rFonts w:hint="cs"/>
          <w:rtl/>
        </w:rPr>
        <w:t xml:space="preserve"> </w:t>
      </w:r>
      <w:r>
        <w:rPr>
          <w:rFonts w:hint="cs"/>
          <w:b/>
          <w:bCs/>
          <w:rtl/>
        </w:rPr>
        <w:t>אלקנה יפה</w:t>
      </w:r>
      <w:r>
        <w:rPr>
          <w:rFonts w:hint="cs"/>
          <w:rtl/>
        </w:rPr>
        <w:t xml:space="preserve"> - בבחירות החוזרות;</w:t>
      </w:r>
    </w:p>
    <w:p>
      <w:pPr>
        <w:tabs>
          <w:tab w:val="left" w:pos="-708"/>
          <w:tab w:val="left" w:pos="84"/>
        </w:tabs>
        <w:spacing w:line="240" w:lineRule="auto"/>
        <w:ind w:left="12" w:right="0" w:hanging="12"/>
        <w:jc w:val="both"/>
        <w:rPr>
          <w:rFonts w:hint="cs"/>
          <w:b/>
          <w:bCs/>
          <w:rtl/>
        </w:rPr>
      </w:pPr>
      <w:r>
        <w:rPr>
          <w:rFonts w:hint="cs"/>
          <w:b/>
          <w:bCs/>
          <w:rtl/>
        </w:rPr>
        <w:t>(2) לעתיד בטוח.</w:t>
      </w:r>
    </w:p>
    <w:p>
      <w:pPr>
        <w:tabs>
          <w:tab w:val="left" w:pos="-708"/>
          <w:tab w:val="left" w:pos="84"/>
        </w:tabs>
        <w:spacing w:line="240" w:lineRule="auto"/>
        <w:ind w:left="6237" w:right="0"/>
        <w:jc w:val="center"/>
        <w:rPr>
          <w:rFonts w:hint="cs"/>
          <w:rtl/>
        </w:rPr>
      </w:pPr>
      <w:r>
        <w:rPr>
          <w:rFonts w:hint="cs"/>
          <w:rtl/>
        </w:rPr>
        <w:t>בכבוד רב,</w:t>
      </w:r>
    </w:p>
    <w:p>
      <w:pPr>
        <w:tabs>
          <w:tab w:val="left" w:pos="-708"/>
          <w:tab w:val="left" w:pos="84"/>
        </w:tabs>
        <w:spacing w:line="240" w:lineRule="auto"/>
        <w:ind w:left="6237" w:right="0"/>
        <w:jc w:val="center"/>
        <w:rPr>
          <w:rFonts w:hint="cs"/>
          <w:rtl/>
        </w:rPr>
      </w:pPr>
    </w:p>
    <w:p>
      <w:pPr>
        <w:tabs>
          <w:tab w:val="left" w:pos="-708"/>
          <w:tab w:val="left" w:pos="84"/>
        </w:tabs>
        <w:spacing w:line="240" w:lineRule="auto"/>
        <w:ind w:left="6237" w:right="0"/>
        <w:jc w:val="center"/>
        <w:rPr>
          <w:rFonts w:hint="cs"/>
          <w:rtl/>
        </w:rPr>
      </w:pPr>
    </w:p>
    <w:p>
      <w:pPr>
        <w:tabs>
          <w:tab w:val="left" w:pos="-708"/>
          <w:tab w:val="left" w:pos="84"/>
        </w:tabs>
        <w:spacing w:line="240" w:lineRule="auto"/>
        <w:ind w:left="6237" w:right="0"/>
        <w:jc w:val="center"/>
        <w:rPr>
          <w:rFonts w:hint="cs"/>
          <w:rtl/>
        </w:rPr>
      </w:pPr>
      <w:r>
        <w:rPr>
          <w:rFonts w:hint="cs"/>
          <w:rtl/>
        </w:rPr>
        <w:t>אליעזר גולדברג</w:t>
      </w:r>
    </w:p>
    <w:sectPr>
      <w:headerReference w:type="default" r:id="rId5"/>
      <w:footerReference w:type="default" r:id="rId6"/>
      <w:headerReference w:type="first" r:id="rId7"/>
      <w:footerReference w:type="first" r:id="rId8"/>
      <w:pgSz w:w="11906" w:h="16838" w:code="9"/>
      <w:pgMar w:top="1701" w:right="1985" w:bottom="1588" w:left="1701" w:header="709" w:footer="709" w:gutter="0"/>
      <w:cols w:space="720"/>
      <w:titlePg/>
      <w:bidi/>
      <w:rtlGutter/>
      <w:docGrid w:linePitch="1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00003A87" w:usb1="00000000" w:usb2="00000000" w:usb3="00000000" w:csb0="000000FF" w:csb1="00000000"/>
  </w:font>
  <w:font w:name="Miriam">
    <w:panose1 w:val="00000000000000000000"/>
    <w:charset w:val="B1"/>
    <w:family w:val="auto"/>
    <w:pitch w:val="variable"/>
    <w:sig w:usb0="00001801" w:usb1="00000000" w:usb2="00000000" w:usb3="00000000" w:csb0="00000020" w:csb1="00000000"/>
  </w:font>
  <w:font w:name="Narkisim">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rFonts w:hint="cs"/>
        <w:rtl/>
      </w:rPr>
    </w:pPr>
  </w:p>
  <w:p>
    <w:pPr>
      <w:pStyle w:val="Footer"/>
      <w:ind w:left="0" w:right="0"/>
      <w:jc w:val="both"/>
      <w:rPr>
        <w:rFonts w:hint="cs"/>
        <w:rtl/>
      </w:rPr>
    </w:pPr>
    <w:r>
      <w:rPr>
        <w:noProof/>
        <w:rtl/>
        <w:lang w:val="he-IL"/>
      </w:rPr>
      <w:pict>
        <v:shapetype id="_x0000_t202" coordsize="21600,21600" o:spt="202" path="m,l,21600r21600,l21600,xe">
          <v:stroke joinstyle="miter"/>
          <v:path gradientshapeok="t" o:connecttype="rect"/>
        </v:shapetype>
        <v:shape id="Warning2" o:spid="_x0000_s2050" type="#_x0000_t202" style="width:348.1pt;height:32.05pt;margin-top:6.8pt;margin-left:123.4pt;mso-position-horizontal-relative:page;position:absolute;visibility:hidden;z-index:251658240" filled="t" stroked="t" strokecolor="blue">
          <v:textbox inset=",5.95pt,,4.82pt">
            <w:txbxContent>
              <w:p>
                <w:pPr>
                  <w:spacing w:line="288" w:lineRule="auto"/>
                  <w:ind w:left="0" w:right="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pPr>
                  <w:spacing w:line="288" w:lineRule="auto"/>
                  <w:ind w:left="0" w:right="0"/>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p>
    <w:pPr>
      <w:pStyle w:val="Footer"/>
      <w:ind w:left="0" w:right="0"/>
      <w:jc w:val="both"/>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rtl/>
      </w:rPr>
    </w:pPr>
    <w:r>
      <w:rPr>
        <w:noProof/>
        <w:rtl/>
        <w:lang w:val="he-IL"/>
      </w:rPr>
      <w:pict>
        <v:shapetype id="_x0000_t202" coordsize="21600,21600" o:spt="202" path="m,l,21600r21600,l21600,xe">
          <v:stroke joinstyle="miter"/>
          <v:path gradientshapeok="t" o:connecttype="rect"/>
        </v:shapetype>
        <v:shape id="Warning1" o:spid="_x0000_s2052" type="#_x0000_t202" style="width:348.1pt;height:32.1pt;margin-top:8.8pt;margin-left:122.1pt;mso-position-horizontal-relative:page;position:absolute;visibility:hidden;z-index:251661312" stroked="t" strokecolor="blue">
          <v:textbox inset=",5.95pt,,4.82pt">
            <w:txbxContent>
              <w:p>
                <w:pPr>
                  <w:spacing w:line="288" w:lineRule="auto"/>
                  <w:ind w:left="0" w:right="0"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pPr>
                  <w:spacing w:line="288" w:lineRule="auto"/>
                  <w:ind w:left="0" w:right="0" w:firstLine="34"/>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Style w:val="PageNumber"/>
        <w:rFonts w:hint="cs"/>
        <w:rtl/>
      </w:rPr>
    </w:pPr>
    <w:r>
      <w:rPr>
        <w:noProof/>
        <w:rtl/>
        <w:lang w:val="he-IL"/>
      </w:rPr>
      <w:pict>
        <v:shapetype id="_x0000_t202" coordsize="21600,21600" o:spt="202" path="m,l,21600r21600,l21600,xe">
          <v:stroke joinstyle="miter"/>
          <v:path gradientshapeok="t" o:connecttype="rect"/>
        </v:shapetype>
        <v:shape id="HeadTwo" o:spid="_x0000_s2049" type="#_x0000_t202" style="width:145.75pt;height:19pt;margin-top:9.25pt;margin-left:300.9pt;position:absolute;visibility:hidden;z-index:251660288" stroked="f">
          <v:textbox>
            <w:txbxContent>
              <w:p>
                <w:pPr>
                  <w:ind w:left="0" w:right="0"/>
                  <w:jc w:val="both"/>
                  <w:rPr>
                    <w:rtl/>
                  </w:rPr>
                </w:pPr>
                <w:r>
                  <w:rPr>
                    <w:rFonts w:cs="Miriam" w:hint="cs"/>
                    <w:color w:val="0000FF"/>
                    <w:sz w:val="27"/>
                    <w:szCs w:val="27"/>
                    <w:rtl/>
                  </w:rPr>
                  <w:t>משרד מבקר המדינה</w:t>
                </w:r>
              </w:p>
            </w:txbxContent>
          </v:textbox>
        </v:shape>
      </w:pict>
    </w:r>
    <w:r>
      <w:rPr>
        <w:rFonts w:hint="cs"/>
        <w:rtl/>
      </w:rPr>
      <w:t xml:space="preserve">  </w:t>
      <w:tab/>
    </w:r>
    <w:r>
      <w:rPr>
        <w:rFonts w:hint="cs"/>
        <w:sz w:val="21"/>
        <w:szCs w:val="21"/>
        <w:rtl/>
      </w:rPr>
      <w:t xml:space="preserve">- </w:t>
    </w:r>
    <w:r>
      <w:rPr>
        <w:rStyle w:val="PageNumber"/>
        <w:szCs w:val="21"/>
      </w:rPr>
      <w:fldChar w:fldCharType="begin"/>
    </w:r>
    <w:r>
      <w:rPr>
        <w:rStyle w:val="PageNumber"/>
        <w:szCs w:val="21"/>
      </w:rPr>
      <w:instrText xml:space="preserve"> PAGE </w:instrText>
    </w:r>
    <w:r>
      <w:rPr>
        <w:rStyle w:val="PageNumber"/>
        <w:szCs w:val="21"/>
      </w:rPr>
      <w:fldChar w:fldCharType="separate"/>
    </w:r>
    <w:r>
      <w:rPr>
        <w:rStyle w:val="PageNumber"/>
        <w:szCs w:val="21"/>
      </w:rPr>
      <w:t>2</w:t>
    </w:r>
    <w:r>
      <w:rPr>
        <w:rStyle w:val="PageNumber"/>
        <w:szCs w:val="21"/>
      </w:rPr>
      <w:fldChar w:fldCharType="end"/>
    </w:r>
    <w:r>
      <w:rPr>
        <w:rStyle w:val="PageNumber"/>
        <w:rFonts w:hint="cs"/>
        <w:rtl/>
      </w:rPr>
      <w:t xml:space="preserve"> </w:t>
    </w:r>
    <w:r>
      <w:rPr>
        <w:rStyle w:val="PageNumber"/>
        <w:rFonts w:hint="cs"/>
        <w:sz w:val="21"/>
        <w:szCs w:val="21"/>
        <w:rtl/>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Fonts w:cs="Miriam" w:hint="cs"/>
        <w:color w:val="0000FF"/>
        <w:sz w:val="24"/>
        <w:rtl/>
      </w:rPr>
    </w:pPr>
    <w:r>
      <w:rPr>
        <w:noProof/>
        <w:rtl/>
        <w:lang w:val="he-IL"/>
      </w:rPr>
      <w:pict>
        <v:shapetype id="_x0000_t202" coordsize="21600,21600" o:spt="202" path="m,l,21600r21600,l21600,xe">
          <v:stroke joinstyle="miter"/>
          <v:path gradientshapeok="t" o:connecttype="rect"/>
        </v:shapetype>
        <v:shape id="HeadOne" o:spid="_x0000_s2051" type="#_x0000_t202" style="width:118pt;height:19.5pt;margin-top:9.25pt;margin-left:329.85pt;position:absolute;visibility:hidden;z-index:251659264" stroked="f">
          <v:textbox>
            <w:txbxContent>
              <w:p>
                <w:pPr>
                  <w:ind w:left="0" w:right="0"/>
                  <w:jc w:val="both"/>
                  <w:rPr>
                    <w:rtl/>
                  </w:rPr>
                </w:pPr>
                <w:r>
                  <w:rPr>
                    <w:rFonts w:cs="Miriam" w:hint="cs"/>
                    <w:color w:val="0000FF"/>
                    <w:sz w:val="27"/>
                    <w:szCs w:val="27"/>
                    <w:rtl/>
                  </w:rPr>
                  <w:t>משרד מבקר המדינה</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3443390D"/>
    <w:multiLevelType w:val="singleLevel"/>
    <w:tmpl w:val="A07AD338"/>
    <w:lvl w:ilvl="0">
      <w:start w:val="1"/>
      <w:numFmt w:val="upperRoman"/>
      <w:lvlText w:val="%1."/>
      <w:lvlJc w:val="center"/>
      <w:pPr>
        <w:tabs>
          <w:tab w:val="num" w:pos="648"/>
        </w:tabs>
        <w:ind w:right="648" w:hanging="360"/>
      </w:pPr>
    </w:lvl>
  </w:abstractNum>
  <w:abstractNum w:abstractNumId="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3">
    <w:nsid w:val="530C4886"/>
    <w:multiLevelType w:val="hybridMultilevel"/>
    <w:tmpl w:val="ED0EDDD0"/>
    <w:lvl w:ilvl="0">
      <w:start w:val="4"/>
      <w:numFmt w:val="decimal"/>
      <w:lvlText w:val="%1."/>
      <w:lvlJc w:val="left"/>
      <w:pPr>
        <w:tabs>
          <w:tab w:val="num" w:pos="360"/>
        </w:tabs>
        <w:ind w:left="360" w:hanging="360"/>
      </w:pPr>
      <w:rPr>
        <w:rFonts w:hint="cs"/>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630295E"/>
    <w:multiLevelType w:val="hybridMultilevel"/>
    <w:tmpl w:val="A5C4EE46"/>
    <w:lvl w:ilvl="0">
      <w:start w:val="2"/>
      <w:numFmt w:val="decimal"/>
      <w:lvlText w:val="%1."/>
      <w:lvlJc w:val="left"/>
      <w:pPr>
        <w:tabs>
          <w:tab w:val="num" w:pos="360"/>
        </w:tabs>
        <w:ind w:left="360" w:hanging="360"/>
      </w:pPr>
      <w:rPr>
        <w:rFonts w:hint="cs"/>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6A1C7FB5"/>
    <w:multiLevelType w:val="singleLevel"/>
    <w:tmpl w:val="CB646ABA"/>
    <w:lvl w:ilvl="0">
      <w:start w:val="1"/>
      <w:numFmt w:val="hebrew1"/>
      <w:lvlText w:val="%1."/>
      <w:lvlJc w:val="center"/>
      <w:pPr>
        <w:tabs>
          <w:tab w:val="num" w:pos="797"/>
        </w:tabs>
        <w:ind w:left="797" w:hanging="360"/>
      </w:pPr>
    </w:lvl>
  </w:abstractNum>
  <w:num w:numId="1">
    <w:abstractNumId w:val="2"/>
  </w:num>
  <w:num w:numId="2">
    <w:abstractNumId w:val="2"/>
  </w:num>
  <w:num w:numId="3">
    <w:abstractNumId w:val="2"/>
  </w:num>
  <w:num w:numId="4">
    <w:abstractNumId w:val="1"/>
  </w:num>
  <w:num w:numId="5">
    <w:abstractNumId w:val="6"/>
  </w:num>
  <w:num w:numId="6">
    <w:abstractNumId w:val="6"/>
  </w:num>
  <w:num w:numId="7">
    <w:abstractNumId w:val="2"/>
  </w:num>
  <w:num w:numId="8">
    <w:abstractNumId w:val="2"/>
  </w:num>
  <w:num w:numId="9">
    <w:abstractNumId w:val="6"/>
  </w:num>
  <w:num w:numId="10">
    <w:abstractNumId w:val="2"/>
  </w:num>
  <w:num w:numId="11">
    <w:abstractNumId w:val="6"/>
  </w:num>
  <w:num w:numId="12">
    <w:abstractNumId w:val="4"/>
  </w:num>
  <w:num w:numId="13">
    <w:abstractNumId w:val="0"/>
  </w:num>
  <w:num w:numId="14">
    <w:abstractNumId w:val="5"/>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567"/>
  <w:drawingGridHorizontalSpacing w:val="72"/>
  <w:drawingGridVerticalSpacing w:val="98"/>
  <w:displayHorizontalDrawingGridEvery w:val="2"/>
  <w:displayVerticalDrawingGridEvery w:val="2"/>
  <w:noPunctuationKerning/>
  <w:characterSpacingControl w:val="doNotCompress"/>
  <w:compat>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bidi/>
      <w:spacing w:line="312" w:lineRule="auto"/>
      <w:ind w:left="0" w:right="0"/>
      <w:jc w:val="both"/>
    </w:pPr>
    <w:rPr>
      <w:rFonts w:cs="David"/>
      <w:szCs w:val="24"/>
      <w:lang w:val="en-US" w:eastAsia="he-IL" w:bidi="he-IL"/>
    </w:rPr>
  </w:style>
  <w:style w:type="paragraph" w:styleId="Heading1">
    <w:name w:val="heading 1"/>
    <w:basedOn w:val="Normal"/>
    <w:next w:val="Normal"/>
    <w:uiPriority w:val="9"/>
    <w:qFormat/>
    <w:pPr>
      <w:keepNext/>
      <w:spacing w:before="240" w:after="60"/>
      <w:ind w:left="0" w:right="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ind w:left="0" w:right="0"/>
      <w:jc w:val="both"/>
      <w:outlineLvl w:val="1"/>
    </w:pPr>
    <w:rPr>
      <w:rFonts w:ascii="Arial" w:hAnsi="Arial" w:cs="Arial"/>
      <w:b/>
      <w:bCs/>
      <w:i/>
      <w:iCs/>
      <w:sz w:val="28"/>
      <w:szCs w:val="28"/>
    </w:rPr>
  </w:style>
  <w:style w:type="paragraph" w:styleId="Heading3">
    <w:name w:val="heading 3"/>
    <w:basedOn w:val="Normal"/>
    <w:next w:val="Normal"/>
    <w:uiPriority w:val="9"/>
    <w:qFormat/>
    <w:pPr>
      <w:keepNext/>
      <w:ind w:left="0" w:right="0"/>
      <w:jc w:val="both"/>
      <w:outlineLvl w:val="2"/>
    </w:pPr>
    <w:rPr>
      <w:u w:val="single"/>
    </w:rPr>
  </w:style>
  <w:style w:type="paragraph" w:styleId="Heading4">
    <w:name w:val="heading 4"/>
    <w:basedOn w:val="Normal"/>
    <w:next w:val="Normal"/>
    <w:uiPriority w:val="9"/>
    <w:qFormat/>
    <w:pPr>
      <w:keepNext/>
      <w:tabs>
        <w:tab w:val="left" w:pos="-708"/>
        <w:tab w:val="left" w:pos="1236"/>
      </w:tabs>
      <w:spacing w:line="240" w:lineRule="auto"/>
      <w:ind w:left="0" w:right="0" w:firstLine="567"/>
      <w:jc w:val="both"/>
      <w:outlineLvl w:val="3"/>
    </w:pPr>
    <w:rPr>
      <w:b/>
      <w:bCs/>
    </w:rPr>
  </w:style>
  <w:style w:type="paragraph" w:styleId="Heading5">
    <w:name w:val="heading 5"/>
    <w:basedOn w:val="Normal"/>
    <w:next w:val="Normal"/>
    <w:uiPriority w:val="9"/>
    <w:qFormat/>
    <w:pPr>
      <w:keepNext/>
      <w:tabs>
        <w:tab w:val="left" w:pos="-708"/>
        <w:tab w:val="left" w:pos="1236"/>
      </w:tabs>
      <w:spacing w:line="240" w:lineRule="auto"/>
      <w:ind w:left="0" w:right="0"/>
      <w:jc w:val="both"/>
      <w:outlineLvl w:val="4"/>
    </w:pPr>
    <w:rPr>
      <w:b/>
      <w:bCs/>
      <w:u w:val="single"/>
    </w:rPr>
  </w:style>
  <w:style w:type="character" w:default="1" w:styleId="DefaultParagraphFont">
    <w:name w:val="Default Paragraph Font"/>
  </w:style>
  <w:style w:type="paragraph" w:styleId="Title">
    <w:name w:val="Title"/>
    <w:basedOn w:val="Normal"/>
    <w:uiPriority w:val="10"/>
    <w:qFormat/>
    <w:pPr>
      <w:ind w:left="0" w:right="0"/>
      <w:jc w:val="center"/>
    </w:pPr>
    <w:rPr>
      <w:b/>
      <w:bCs/>
      <w:u w:val="single"/>
    </w:rPr>
  </w:style>
  <w:style w:type="paragraph" w:customStyle="1" w:styleId="1">
    <w:name w:val="כותרת 1"/>
    <w:basedOn w:val="Normal"/>
    <w:next w:val="Normal"/>
    <w:pPr>
      <w:spacing w:before="240" w:after="480" w:line="288" w:lineRule="auto"/>
      <w:ind w:left="0" w:right="0"/>
      <w:jc w:val="center"/>
    </w:pPr>
    <w:rPr>
      <w:b/>
      <w:bCs/>
      <w:sz w:val="32"/>
      <w:szCs w:val="36"/>
      <w:u w:val="single"/>
    </w:rPr>
  </w:style>
  <w:style w:type="paragraph" w:customStyle="1" w:styleId="2">
    <w:name w:val="כותרת 2"/>
    <w:basedOn w:val="Normal"/>
    <w:next w:val="Normal"/>
    <w:pPr>
      <w:spacing w:before="100" w:beforeAutospacing="1" w:after="240" w:line="264" w:lineRule="auto"/>
      <w:ind w:left="0" w:right="0"/>
      <w:jc w:val="center"/>
    </w:pPr>
    <w:rPr>
      <w:b/>
      <w:bCs/>
      <w:sz w:val="28"/>
      <w:szCs w:val="32"/>
    </w:rPr>
  </w:style>
  <w:style w:type="paragraph" w:customStyle="1" w:styleId="3">
    <w:name w:val="כותרת 3"/>
    <w:basedOn w:val="Normal"/>
    <w:next w:val="Normal"/>
    <w:pPr>
      <w:spacing w:before="100" w:beforeAutospacing="1" w:line="288" w:lineRule="auto"/>
      <w:ind w:left="0" w:right="0"/>
      <w:jc w:val="left"/>
    </w:pPr>
    <w:rPr>
      <w:b/>
      <w:bCs/>
      <w:sz w:val="24"/>
      <w:szCs w:val="28"/>
      <w:u w:val="single"/>
    </w:rPr>
  </w:style>
  <w:style w:type="paragraph" w:customStyle="1" w:styleId="4">
    <w:name w:val="כותרת 4"/>
    <w:basedOn w:val="Normal"/>
    <w:next w:val="Normal"/>
    <w:pPr>
      <w:spacing w:before="100" w:beforeAutospacing="1" w:line="264" w:lineRule="auto"/>
      <w:ind w:left="0" w:right="0"/>
      <w:jc w:val="left"/>
    </w:pPr>
    <w:rPr>
      <w:b/>
      <w:bCs/>
      <w:sz w:val="22"/>
      <w:szCs w:val="26"/>
    </w:rPr>
  </w:style>
  <w:style w:type="paragraph" w:customStyle="1" w:styleId="a">
    <w:name w:val="נבנצלים"/>
    <w:basedOn w:val="Normal"/>
    <w:next w:val="Normal"/>
    <w:pPr>
      <w:ind w:left="-567" w:right="0"/>
      <w:jc w:val="both"/>
    </w:pPr>
    <w:rPr>
      <w:szCs w:val="20"/>
    </w:rPr>
  </w:style>
  <w:style w:type="paragraph" w:styleId="BodyText">
    <w:name w:val="Body Text"/>
    <w:basedOn w:val="Normal"/>
    <w:pPr>
      <w:ind w:left="0" w:right="0"/>
      <w:jc w:val="both"/>
    </w:pPr>
  </w:style>
  <w:style w:type="paragraph" w:styleId="BodyText2">
    <w:name w:val="Body Text 2"/>
    <w:basedOn w:val="Normal"/>
    <w:pPr>
      <w:ind w:left="0" w:right="0"/>
      <w:jc w:val="left"/>
    </w:pPr>
  </w:style>
  <w:style w:type="paragraph" w:styleId="Header">
    <w:name w:val="header"/>
    <w:basedOn w:val="Normal"/>
    <w:pPr>
      <w:tabs>
        <w:tab w:val="center" w:pos="4153"/>
        <w:tab w:val="right" w:pos="8306"/>
      </w:tabs>
      <w:ind w:left="0" w:right="0"/>
      <w:jc w:val="both"/>
    </w:pPr>
  </w:style>
  <w:style w:type="paragraph" w:styleId="Footer">
    <w:name w:val="footer"/>
    <w:basedOn w:val="Normal"/>
    <w:pPr>
      <w:tabs>
        <w:tab w:val="center" w:pos="4153"/>
        <w:tab w:val="right" w:pos="8306"/>
      </w:tabs>
      <w:ind w:left="0" w:right="0"/>
      <w:jc w:val="both"/>
    </w:pPr>
  </w:style>
  <w:style w:type="character" w:styleId="PageNumber">
    <w:name w:val="page number"/>
    <w:basedOn w:val="DefaultParagraphFont"/>
  </w:style>
  <w:style w:type="paragraph" w:styleId="FootnoteText">
    <w:name w:val="footnote text"/>
    <w:basedOn w:val="Normal"/>
    <w:pPr>
      <w:ind w:left="567" w:right="0" w:hanging="567"/>
      <w:jc w:val="both"/>
    </w:pPr>
    <w:rPr>
      <w:szCs w:val="20"/>
    </w:rPr>
  </w:style>
  <w:style w:type="character" w:styleId="FootnoteReference">
    <w:name w:val="footnote reference"/>
    <w:basedOn w:val="DefaultParagraphFont"/>
    <w:rPr>
      <w:vertAlign w:val="superscript"/>
    </w:rPr>
  </w:style>
  <w:style w:type="paragraph" w:styleId="EndnoteText">
    <w:name w:val="endnote text"/>
    <w:basedOn w:val="Normal"/>
    <w:pPr>
      <w:ind w:left="0" w:right="0"/>
      <w:jc w:val="both"/>
    </w:pPr>
    <w:rPr>
      <w:szCs w:val="20"/>
    </w:rPr>
  </w:style>
  <w:style w:type="character" w:styleId="EndnoteReference">
    <w:name w:val="endnote reference"/>
    <w:basedOn w:val="DefaultParagraphFont"/>
    <w:rPr>
      <w:vertAlign w:val="superscript"/>
    </w:rPr>
  </w:style>
  <w:style w:type="paragraph" w:styleId="BodyText3">
    <w:name w:val="Body Text 3"/>
    <w:basedOn w:val="Normal"/>
    <w:pPr>
      <w:widowControl w:val="0"/>
      <w:ind w:left="0" w:right="0"/>
      <w:jc w:val="both"/>
    </w:pPr>
  </w:style>
  <w:style w:type="character" w:customStyle="1" w:styleId="5">
    <w:name w:val="כותרת 5"/>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
    <w:name w:val="כותרת 6"/>
    <w:basedOn w:val="DefaultParagraphFont"/>
    <w:rPr>
      <w:rFonts w:ascii="Times New Roman" w:hAnsi="Times New Roman" w:cs="David"/>
      <w:color w:val="auto"/>
      <w:spacing w:val="40"/>
      <w:w w:val="100"/>
      <w:position w:val="0"/>
      <w:sz w:val="20"/>
      <w:szCs w:val="24"/>
      <w:u w:val="none"/>
    </w:rPr>
  </w:style>
  <w:style w:type="paragraph" w:styleId="BodyTextIndent">
    <w:name w:val="Body Text Indent"/>
    <w:basedOn w:val="Normal"/>
    <w:pPr>
      <w:tabs>
        <w:tab w:val="left" w:pos="-708"/>
        <w:tab w:val="left" w:pos="84"/>
      </w:tabs>
      <w:ind w:left="12" w:right="0" w:hanging="12"/>
      <w:jc w:val="both"/>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styles" Target="styles.xml"/><Relationship Id="rId4" Type="http://schemas.openxmlformats.org/officeDocument/2006/relationships/image" Target="media/image1.png"/><Relationship Id="rId9" Type="http://schemas.openxmlformats.org/officeDocument/2006/relationships/numbering" Target="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63A9AE-2B4E-49F7-A160-8B421473D6B2}"/>
</file>

<file path=customXml/itemProps2.xml><?xml version="1.0" encoding="utf-8"?>
<ds:datastoreItem xmlns:ds="http://schemas.openxmlformats.org/officeDocument/2006/customXml" ds:itemID="{CE910BF8-8810-4439-A3CC-013D18F178F2}"/>
</file>

<file path=customXml/itemProps3.xml><?xml version="1.0" encoding="utf-8"?>
<ds:datastoreItem xmlns:ds="http://schemas.openxmlformats.org/officeDocument/2006/customXml" ds:itemID="{FA821F25-27EA-46F0-B6B3-67B5AA366784}"/>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