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ind w:left="0" w:right="0"/>
        <w:jc w:val="center"/>
        <w:rPr>
          <w:rtl/>
        </w:rPr>
      </w:pPr>
      <w:r>
        <w:rPr>
          <w:szCs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69.84pt" filled="f" fillcolor="window" stroked="f">
            <v:imagedata r:id="rId5" o:title="\\New\new c\MacMove\semel.tif"/>
          </v:shape>
        </w:pict>
      </w:r>
    </w:p>
    <w:p>
      <w:pPr>
        <w:pStyle w:val="Title"/>
        <w:ind w:left="0" w:right="0"/>
        <w:jc w:val="center"/>
        <w:rPr>
          <w:rFonts w:hint="cs"/>
          <w:rtl/>
        </w:rPr>
      </w:pPr>
      <w:r>
        <w:rPr>
          <w:rFonts w:hint="cs"/>
          <w:rtl/>
        </w:rPr>
        <w:t>מדינת ישראל</w:t>
      </w:r>
    </w:p>
    <w:p>
      <w:pPr>
        <w:ind w:left="0" w:right="0"/>
        <w:jc w:val="left"/>
        <w:rPr>
          <w:rFonts w:hint="cs"/>
          <w:rtl/>
        </w:rPr>
      </w:pPr>
    </w:p>
    <w:p>
      <w:pPr>
        <w:ind w:left="0" w:right="0"/>
        <w:jc w:val="left"/>
        <w:rPr>
          <w:rFonts w:hint="cs"/>
          <w:rtl/>
        </w:rPr>
      </w:pPr>
    </w:p>
    <w:p>
      <w:pPr>
        <w:ind w:left="0" w:right="0"/>
        <w:jc w:val="left"/>
        <w:rPr>
          <w:rFonts w:hint="cs"/>
          <w:rtl/>
        </w:rPr>
      </w:pPr>
      <w:r>
        <w:rPr>
          <w:rFonts w:hint="cs"/>
          <w:rtl/>
        </w:rPr>
        <w:t>אליעזר גולדברג</w:t>
      </w:r>
    </w:p>
    <w:p>
      <w:pPr>
        <w:ind w:left="0" w:right="0"/>
        <w:jc w:val="left"/>
        <w:rPr>
          <w:rFonts w:hint="cs"/>
          <w:rtl/>
        </w:rPr>
      </w:pPr>
      <w:r>
        <w:rPr>
          <w:rFonts w:hint="cs"/>
          <w:rtl/>
        </w:rPr>
        <w:t>מבקר המדינה</w:t>
      </w:r>
    </w:p>
    <w:p>
      <w:pPr>
        <w:ind w:left="0" w:right="0"/>
        <w:jc w:val="center"/>
        <w:rPr>
          <w:rFonts w:hint="cs"/>
          <w:rtl/>
        </w:rPr>
      </w:pPr>
    </w:p>
    <w:p>
      <w:pPr>
        <w:ind w:left="0" w:right="0"/>
        <w:jc w:val="center"/>
        <w:rPr>
          <w:rFonts w:hint="cs"/>
          <w:rtl/>
        </w:rPr>
      </w:pPr>
    </w:p>
    <w:p>
      <w:pPr>
        <w:ind w:left="0" w:right="0"/>
        <w:jc w:val="center"/>
        <w:rPr>
          <w:b/>
          <w:bCs/>
          <w:rtl/>
        </w:rPr>
      </w:pPr>
      <w:r>
        <w:rPr>
          <w:b/>
          <w:bCs/>
          <w:rtl/>
        </w:rPr>
        <w:t>תקנון המועצות המקומיות (יהודה והשומרון), התשמ"א-1981</w:t>
      </w:r>
    </w:p>
    <w:p>
      <w:pPr>
        <w:ind w:left="0" w:right="0"/>
        <w:jc w:val="left"/>
        <w:rPr>
          <w:b/>
          <w:bCs/>
          <w:rtl/>
        </w:rPr>
      </w:pPr>
    </w:p>
    <w:p>
      <w:pPr>
        <w:ind w:left="0" w:right="0"/>
        <w:jc w:val="center"/>
        <w:rPr>
          <w:b/>
          <w:bCs/>
          <w:rtl/>
        </w:rPr>
      </w:pPr>
      <w:r>
        <w:rPr>
          <w:b/>
          <w:bCs/>
          <w:rtl/>
        </w:rPr>
        <w:t>דין וחשבון על תוצאות ביקורת חשבונות הסיעות והרשימות</w:t>
      </w:r>
    </w:p>
    <w:p>
      <w:pPr>
        <w:ind w:left="0" w:right="0"/>
        <w:jc w:val="center"/>
        <w:rPr>
          <w:rFonts w:hint="cs"/>
          <w:b/>
          <w:bCs/>
          <w:u w:val="single"/>
          <w:rtl/>
        </w:rPr>
      </w:pPr>
      <w:r>
        <w:rPr>
          <w:b/>
          <w:bCs/>
          <w:u w:val="single"/>
          <w:rtl/>
        </w:rPr>
        <w:t xml:space="preserve">שהשתתפו בבחירות לרשויות המקומיות </w:t>
      </w:r>
      <w:r>
        <w:rPr>
          <w:rFonts w:hint="cs"/>
          <w:b/>
          <w:bCs/>
          <w:u w:val="single"/>
          <w:rtl/>
        </w:rPr>
        <w:t>אפרתה ואריאל</w:t>
      </w:r>
    </w:p>
    <w:p>
      <w:pPr>
        <w:ind w:left="0" w:right="0"/>
        <w:jc w:val="center"/>
        <w:rPr>
          <w:rtl/>
        </w:rPr>
      </w:pPr>
    </w:p>
    <w:p>
      <w:pPr>
        <w:ind w:left="0" w:right="0"/>
        <w:jc w:val="left"/>
        <w:rPr>
          <w:rtl/>
        </w:rPr>
      </w:pPr>
    </w:p>
    <w:p>
      <w:pPr>
        <w:numPr>
          <w:ilvl w:val="0"/>
          <w:numId w:val="1"/>
        </w:numPr>
        <w:ind w:left="648" w:right="0" w:hanging="360"/>
        <w:jc w:val="both"/>
        <w:rPr>
          <w:rtl/>
        </w:rPr>
      </w:pPr>
      <w:r>
        <w:rPr>
          <w:rtl/>
        </w:rPr>
        <w:t>ב-1.9.1994 חתם מפקד כוחות צה"ל באזור יהודה והשומרון, בתוקף סמכותו לפי סעיף 2 לצו בדבר ניהול מועצות מקומיות (יהודה והשומרון) (מס' 892), התשמ"א-1981, על צו המתקן את תקנון המועצות המקומיות (יהודה והשומרון), התשמ"א-1981, ואשר נקרא תקנון המועצות המקומיות (תיקון מס' 78) (יהודה והשומרון), התשנ"ד-1994 (להלן - הצו המתקן). הצו המתקן מאמץ את הוראות חוק הרשויות המקומיות (מימון בחירות), התשנ"ג-1993 (להלן - החוק) וחקיקת המישנה מכוחו, בשינויים מסויימים, על ידי הכנסתן לתקנון המועצות המקומיות (יהודה והשומרון), התשמ"א-1981 (להלן - התקנון).</w:t>
      </w:r>
    </w:p>
    <w:p>
      <w:pPr>
        <w:ind w:left="288" w:right="0"/>
        <w:jc w:val="both"/>
        <w:rPr>
          <w:rtl/>
        </w:rPr>
      </w:pPr>
    </w:p>
    <w:p>
      <w:pPr>
        <w:numPr>
          <w:ilvl w:val="0"/>
          <w:numId w:val="1"/>
        </w:numPr>
        <w:ind w:left="648" w:right="0" w:hanging="360"/>
        <w:jc w:val="both"/>
        <w:rPr>
          <w:rtl/>
        </w:rPr>
      </w:pPr>
      <w:r>
        <w:rPr>
          <w:rtl/>
        </w:rPr>
        <w:t>בהתאם לסעיף 12ב(כ) לתקנון, המאמץ את סעיף 23(א) לחוק (תוך המרת המילים "ליושב ראש הכנסת" במילים "ליושב ראש כנסת ישראל"), על מבקר המדינה למסור ליושב ראש כנסת ישראל, לא יאוחר מתום שמונה חודשים אחרי הבחירות, דין וחשבון בדבר ביקורת החשבונות של הסיעות והרשימות (להלן - הסיעות המקומיות), שהשתתפו בבחירות לרשויות המקומיות ביהודה ובשומרון. בהתאם לתקנון, מתמודדות בבחירות לרשויות המקומיות ביהודה ובשומרון סיעות ורשימות עצמאיות בלבד, ולא "סיעות בת" או "רשימות בת" של הסיעות המיוצגות בכנסת.</w:t>
      </w:r>
    </w:p>
    <w:p>
      <w:pPr>
        <w:ind w:left="0" w:right="0"/>
        <w:jc w:val="both"/>
      </w:pPr>
    </w:p>
    <w:p>
      <w:pPr>
        <w:numPr>
          <w:ilvl w:val="0"/>
          <w:numId w:val="1"/>
        </w:numPr>
        <w:ind w:left="648" w:right="0" w:hanging="360"/>
        <w:jc w:val="both"/>
        <w:rPr>
          <w:rtl/>
        </w:rPr>
      </w:pPr>
      <w:r>
        <w:rPr>
          <w:rFonts w:hint="cs"/>
          <w:rtl/>
        </w:rPr>
        <w:t>ב-30.5.2000</w:t>
      </w:r>
      <w:r>
        <w:rPr>
          <w:rtl/>
        </w:rPr>
        <w:t xml:space="preserve"> נתקיימו בחירות לרשויות המקומיות </w:t>
      </w:r>
      <w:r>
        <w:rPr>
          <w:rFonts w:hint="cs"/>
          <w:b/>
          <w:bCs/>
          <w:rtl/>
        </w:rPr>
        <w:t xml:space="preserve">אפרתה </w:t>
      </w:r>
      <w:r>
        <w:rPr>
          <w:rFonts w:hint="cs"/>
          <w:rtl/>
        </w:rPr>
        <w:t>ו</w:t>
      </w:r>
      <w:r>
        <w:rPr>
          <w:rFonts w:hint="cs"/>
          <w:b/>
          <w:bCs/>
          <w:rtl/>
        </w:rPr>
        <w:t>אריאל</w:t>
      </w:r>
      <w:r>
        <w:rPr>
          <w:rtl/>
        </w:rPr>
        <w:t>.</w:t>
      </w:r>
    </w:p>
    <w:p>
      <w:pPr>
        <w:ind w:left="0" w:right="0"/>
        <w:jc w:val="both"/>
      </w:pPr>
    </w:p>
    <w:p>
      <w:pPr>
        <w:numPr>
          <w:ilvl w:val="0"/>
          <w:numId w:val="1"/>
        </w:numPr>
        <w:ind w:left="648" w:right="0" w:hanging="360"/>
        <w:jc w:val="both"/>
        <w:rPr>
          <w:rFonts w:hint="cs"/>
        </w:rPr>
      </w:pPr>
      <w:r>
        <w:rPr>
          <w:rtl/>
        </w:rPr>
        <w:t xml:space="preserve">דין וחשבון זה מתייחס לתוצאות ביקורת חשבונותיהן של </w:t>
      </w:r>
      <w:r>
        <w:rPr>
          <w:rFonts w:hint="cs"/>
          <w:rtl/>
        </w:rPr>
        <w:t>13</w:t>
      </w:r>
      <w:r>
        <w:rPr>
          <w:rtl/>
        </w:rPr>
        <w:t xml:space="preserve"> סיעות מקומיות שהשתתפו בבחירות, להלן שמות הסיעות:</w:t>
      </w:r>
    </w:p>
    <w:p>
      <w:pPr>
        <w:ind w:left="0" w:right="0"/>
        <w:jc w:val="both"/>
        <w:rPr>
          <w:rFonts w:hint="cs"/>
          <w:rtl/>
        </w:rPr>
      </w:pPr>
    </w:p>
    <w:p>
      <w:pPr>
        <w:ind w:left="288" w:right="0"/>
        <w:jc w:val="both"/>
        <w:rPr>
          <w:rtl/>
        </w:rPr>
      </w:pPr>
      <w:r>
        <w:rPr>
          <w:rtl/>
        </w:rPr>
        <w:br w:type="page"/>
      </w:r>
    </w:p>
    <w:p>
      <w:pPr>
        <w:pStyle w:val="Heading9"/>
        <w:spacing w:line="240" w:lineRule="auto"/>
        <w:ind w:left="510" w:right="0"/>
        <w:jc w:val="left"/>
        <w:rPr>
          <w:u w:val="single"/>
          <w:rtl/>
        </w:rPr>
      </w:pPr>
      <w:r>
        <w:rPr>
          <w:rFonts w:hint="cs"/>
          <w:u w:val="single"/>
          <w:rtl/>
        </w:rPr>
        <w:t>אפרתה</w:t>
      </w:r>
    </w:p>
    <w:p>
      <w:pPr>
        <w:numPr>
          <w:ilvl w:val="0"/>
          <w:numId w:val="8"/>
        </w:numPr>
        <w:ind w:left="907" w:right="0"/>
        <w:jc w:val="left"/>
        <w:rPr>
          <w:b/>
          <w:bCs/>
          <w:rtl/>
        </w:rPr>
      </w:pPr>
      <w:r>
        <w:rPr>
          <w:rFonts w:hint="cs"/>
          <w:b/>
          <w:bCs/>
          <w:rtl/>
        </w:rPr>
        <w:t>אנשים למען תושבי אפרת</w:t>
      </w:r>
      <w:r>
        <w:rPr>
          <w:b/>
          <w:bCs/>
          <w:rtl/>
        </w:rPr>
        <w:t>;</w:t>
      </w:r>
    </w:p>
    <w:p>
      <w:pPr>
        <w:numPr>
          <w:ilvl w:val="0"/>
          <w:numId w:val="8"/>
        </w:numPr>
        <w:ind w:left="907" w:right="0"/>
        <w:jc w:val="left"/>
        <w:rPr>
          <w:b/>
          <w:bCs/>
          <w:rtl/>
        </w:rPr>
      </w:pPr>
      <w:r>
        <w:rPr>
          <w:rFonts w:hint="cs"/>
          <w:b/>
          <w:bCs/>
          <w:rtl/>
        </w:rPr>
        <w:t>אפרת ביחד</w:t>
      </w:r>
      <w:r>
        <w:rPr>
          <w:b/>
          <w:bCs/>
          <w:rtl/>
        </w:rPr>
        <w:t>;</w:t>
      </w:r>
    </w:p>
    <w:p>
      <w:pPr>
        <w:numPr>
          <w:ilvl w:val="0"/>
          <w:numId w:val="8"/>
        </w:numPr>
        <w:ind w:left="907" w:right="0"/>
        <w:jc w:val="left"/>
        <w:rPr>
          <w:b/>
          <w:bCs/>
          <w:rtl/>
        </w:rPr>
      </w:pPr>
      <w:r>
        <w:rPr>
          <w:rFonts w:hint="cs"/>
          <w:b/>
          <w:bCs/>
          <w:rtl/>
        </w:rPr>
        <w:t>אפרת בתנופה</w:t>
      </w:r>
      <w:r>
        <w:rPr>
          <w:b/>
          <w:bCs/>
          <w:rtl/>
        </w:rPr>
        <w:t>;</w:t>
      </w:r>
    </w:p>
    <w:p>
      <w:pPr>
        <w:numPr>
          <w:ilvl w:val="0"/>
          <w:numId w:val="8"/>
        </w:numPr>
        <w:ind w:left="907" w:right="0"/>
        <w:jc w:val="left"/>
        <w:rPr>
          <w:rFonts w:hint="cs"/>
          <w:b/>
          <w:bCs/>
        </w:rPr>
      </w:pPr>
      <w:r>
        <w:rPr>
          <w:rFonts w:hint="cs"/>
          <w:b/>
          <w:bCs/>
          <w:rtl/>
        </w:rPr>
        <w:t>אפרת ולענין;</w:t>
      </w:r>
    </w:p>
    <w:p>
      <w:pPr>
        <w:numPr>
          <w:ilvl w:val="0"/>
          <w:numId w:val="8"/>
        </w:numPr>
        <w:ind w:left="907" w:right="0"/>
        <w:jc w:val="left"/>
        <w:rPr>
          <w:b/>
          <w:bCs/>
          <w:rtl/>
        </w:rPr>
      </w:pPr>
      <w:r>
        <w:rPr>
          <w:rFonts w:hint="cs"/>
          <w:b/>
          <w:bCs/>
          <w:rtl/>
        </w:rPr>
        <w:t>עתיד</w:t>
      </w:r>
      <w:r>
        <w:rPr>
          <w:b/>
          <w:bCs/>
          <w:rtl/>
        </w:rPr>
        <w:t>.</w:t>
      </w:r>
    </w:p>
    <w:p>
      <w:pPr>
        <w:ind w:left="935" w:right="0"/>
        <w:jc w:val="left"/>
        <w:rPr>
          <w:b/>
          <w:bCs/>
          <w:rtl/>
        </w:rPr>
      </w:pPr>
    </w:p>
    <w:p>
      <w:pPr>
        <w:pStyle w:val="Heading9"/>
        <w:spacing w:line="240" w:lineRule="auto"/>
        <w:ind w:left="510" w:right="0"/>
        <w:jc w:val="left"/>
        <w:rPr>
          <w:rtl/>
        </w:rPr>
      </w:pPr>
      <w:r>
        <w:rPr>
          <w:rFonts w:hint="cs"/>
          <w:u w:val="single"/>
          <w:rtl/>
        </w:rPr>
        <w:t>אריאל</w:t>
      </w:r>
    </w:p>
    <w:p>
      <w:pPr>
        <w:numPr>
          <w:ilvl w:val="0"/>
          <w:numId w:val="9"/>
        </w:numPr>
        <w:ind w:left="907" w:right="0"/>
        <w:jc w:val="left"/>
        <w:rPr>
          <w:b/>
          <w:bCs/>
          <w:rtl/>
        </w:rPr>
      </w:pPr>
      <w:r>
        <w:rPr>
          <w:rFonts w:hint="cs"/>
          <w:b/>
          <w:bCs/>
          <w:rtl/>
        </w:rPr>
        <w:t>אריאל אחת</w:t>
      </w:r>
      <w:r>
        <w:rPr>
          <w:b/>
          <w:bCs/>
          <w:rtl/>
        </w:rPr>
        <w:t>;</w:t>
      </w:r>
    </w:p>
    <w:p>
      <w:pPr>
        <w:numPr>
          <w:ilvl w:val="0"/>
          <w:numId w:val="9"/>
        </w:numPr>
        <w:ind w:left="907" w:right="0"/>
        <w:jc w:val="left"/>
        <w:rPr>
          <w:b/>
          <w:bCs/>
          <w:rtl/>
        </w:rPr>
      </w:pPr>
      <w:r>
        <w:rPr>
          <w:rFonts w:hint="cs"/>
          <w:b/>
          <w:bCs/>
          <w:rtl/>
        </w:rPr>
        <w:t>בראשות יחיאל חזן</w:t>
      </w:r>
      <w:r>
        <w:rPr>
          <w:b/>
          <w:bCs/>
          <w:rtl/>
        </w:rPr>
        <w:t>;</w:t>
      </w:r>
    </w:p>
    <w:p>
      <w:pPr>
        <w:numPr>
          <w:ilvl w:val="0"/>
          <w:numId w:val="9"/>
        </w:numPr>
        <w:ind w:left="907" w:right="0"/>
        <w:jc w:val="left"/>
        <w:rPr>
          <w:b/>
          <w:bCs/>
          <w:rtl/>
        </w:rPr>
      </w:pPr>
      <w:r>
        <w:rPr>
          <w:rFonts w:hint="cs"/>
          <w:b/>
          <w:bCs/>
          <w:rtl/>
        </w:rPr>
        <w:t>יחד צועדים קדימה</w:t>
      </w:r>
      <w:r>
        <w:rPr>
          <w:b/>
          <w:bCs/>
          <w:rtl/>
        </w:rPr>
        <w:t>;</w:t>
      </w:r>
    </w:p>
    <w:p>
      <w:pPr>
        <w:numPr>
          <w:ilvl w:val="0"/>
          <w:numId w:val="9"/>
        </w:numPr>
        <w:ind w:left="907" w:right="0"/>
        <w:jc w:val="left"/>
        <w:rPr>
          <w:b/>
          <w:bCs/>
          <w:rtl/>
        </w:rPr>
      </w:pPr>
      <w:r>
        <w:rPr>
          <w:rFonts w:hint="cs"/>
          <w:b/>
          <w:bCs/>
          <w:rtl/>
        </w:rPr>
        <w:t>כולנו יד אחת בעד גוזי יוסף</w:t>
      </w:r>
      <w:r>
        <w:rPr>
          <w:b/>
          <w:bCs/>
          <w:rtl/>
        </w:rPr>
        <w:t>;</w:t>
      </w:r>
    </w:p>
    <w:p>
      <w:pPr>
        <w:numPr>
          <w:ilvl w:val="0"/>
          <w:numId w:val="9"/>
        </w:numPr>
        <w:ind w:left="907" w:right="0"/>
        <w:jc w:val="left"/>
        <w:rPr>
          <w:b/>
          <w:bCs/>
          <w:rtl/>
        </w:rPr>
      </w:pPr>
      <w:r>
        <w:rPr>
          <w:rFonts w:hint="cs"/>
          <w:b/>
          <w:bCs/>
          <w:rtl/>
        </w:rPr>
        <w:t>לעתיד בטוח בראשות רון נחמן</w:t>
      </w:r>
      <w:r>
        <w:rPr>
          <w:b/>
          <w:bCs/>
          <w:rtl/>
        </w:rPr>
        <w:t>;</w:t>
      </w:r>
    </w:p>
    <w:p>
      <w:pPr>
        <w:numPr>
          <w:ilvl w:val="0"/>
          <w:numId w:val="9"/>
        </w:numPr>
        <w:ind w:left="907" w:right="0"/>
        <w:jc w:val="left"/>
        <w:rPr>
          <w:b/>
          <w:bCs/>
          <w:rtl/>
        </w:rPr>
      </w:pPr>
      <w:r>
        <w:rPr>
          <w:rFonts w:hint="cs"/>
          <w:b/>
          <w:bCs/>
          <w:rtl/>
        </w:rPr>
        <w:t>סיעת תן</w:t>
      </w:r>
      <w:r>
        <w:rPr>
          <w:b/>
          <w:bCs/>
          <w:rtl/>
        </w:rPr>
        <w:t>;</w:t>
      </w:r>
    </w:p>
    <w:p>
      <w:pPr>
        <w:numPr>
          <w:ilvl w:val="0"/>
          <w:numId w:val="9"/>
        </w:numPr>
        <w:ind w:left="907" w:right="0"/>
        <w:jc w:val="left"/>
        <w:rPr>
          <w:b/>
          <w:bCs/>
          <w:rtl/>
        </w:rPr>
      </w:pPr>
      <w:r>
        <w:rPr>
          <w:rFonts w:hint="cs"/>
          <w:b/>
          <w:bCs/>
          <w:rtl/>
        </w:rPr>
        <w:t>קהילה למען אריאל במאה 21</w:t>
      </w:r>
      <w:r>
        <w:rPr>
          <w:b/>
          <w:bCs/>
          <w:rtl/>
        </w:rPr>
        <w:t>;</w:t>
      </w:r>
    </w:p>
    <w:p>
      <w:pPr>
        <w:numPr>
          <w:ilvl w:val="0"/>
          <w:numId w:val="9"/>
        </w:numPr>
        <w:ind w:left="907" w:right="0"/>
        <w:jc w:val="left"/>
        <w:rPr>
          <w:b/>
          <w:bCs/>
          <w:rtl/>
        </w:rPr>
      </w:pPr>
      <w:r>
        <w:rPr>
          <w:rFonts w:hint="cs"/>
          <w:b/>
          <w:bCs/>
          <w:rtl/>
        </w:rPr>
        <w:t>קידמה ואחדות</w:t>
      </w:r>
      <w:r>
        <w:rPr>
          <w:b/>
          <w:bCs/>
          <w:rtl/>
        </w:rPr>
        <w:t>.</w:t>
      </w:r>
    </w:p>
    <w:p>
      <w:pPr>
        <w:tabs>
          <w:tab w:val="left" w:pos="368"/>
          <w:tab w:val="left" w:pos="793"/>
        </w:tabs>
        <w:ind w:left="0" w:right="0"/>
        <w:jc w:val="left"/>
        <w:rPr>
          <w:b/>
          <w:bCs/>
          <w:rtl/>
        </w:rPr>
      </w:pPr>
    </w:p>
    <w:p>
      <w:pPr>
        <w:numPr>
          <w:ilvl w:val="0"/>
          <w:numId w:val="3"/>
        </w:numPr>
        <w:tabs>
          <w:tab w:val="num" w:pos="368"/>
          <w:tab w:val="clear" w:pos="648"/>
        </w:tabs>
        <w:ind w:left="793" w:right="0" w:hanging="709"/>
        <w:jc w:val="both"/>
        <w:rPr>
          <w:rFonts w:hint="cs"/>
        </w:rPr>
      </w:pPr>
      <w:r>
        <w:rPr>
          <w:rtl/>
        </w:rPr>
        <w:t>(א)</w:t>
      </w:r>
      <w:r>
        <w:rPr>
          <w:rFonts w:hint="cs"/>
          <w:rtl/>
        </w:rPr>
        <w:tab/>
      </w:r>
      <w:r>
        <w:rPr>
          <w:rtl/>
        </w:rPr>
        <w:t>על פי התקנון, על הסיעות למסור למבקר המדינה את החשבונות והדוחות הכספיים לתקופת הבחירות בצירוף חוות-דעת של רואה חשבון בדבר תקינותם ושלמותם, וכן בדבר ניהול מערכת החשבונות בהתאם להנחיות מבקר המדינה.</w:t>
      </w:r>
    </w:p>
    <w:p>
      <w:pPr>
        <w:ind w:left="84" w:right="0"/>
        <w:jc w:val="both"/>
        <w:rPr>
          <w:rtl/>
        </w:rPr>
      </w:pPr>
    </w:p>
    <w:p>
      <w:pPr>
        <w:numPr>
          <w:ilvl w:val="0"/>
          <w:numId w:val="4"/>
        </w:numPr>
        <w:tabs>
          <w:tab w:val="num" w:pos="793"/>
          <w:tab w:val="clear" w:pos="1080"/>
        </w:tabs>
        <w:ind w:left="793" w:right="0" w:hanging="425"/>
        <w:jc w:val="both"/>
        <w:rPr>
          <w:rtl/>
        </w:rPr>
      </w:pPr>
      <w:r>
        <w:rPr>
          <w:rtl/>
        </w:rPr>
        <w:t>על סיעות ורשימות ברשויות המקומיות שמספר בעלי זכות הבחירה בהן עולה על  5,000 - הוטל למנות רואי חשבון בעצמן ועל חשבונן.</w:t>
      </w:r>
    </w:p>
    <w:p>
      <w:pPr>
        <w:ind w:left="720" w:right="0"/>
        <w:jc w:val="left"/>
        <w:rPr>
          <w:rtl/>
        </w:rPr>
      </w:pPr>
    </w:p>
    <w:p>
      <w:pPr>
        <w:numPr>
          <w:ilvl w:val="0"/>
          <w:numId w:val="4"/>
        </w:numPr>
        <w:tabs>
          <w:tab w:val="left" w:pos="368"/>
          <w:tab w:val="num" w:pos="793"/>
          <w:tab w:val="clear" w:pos="1080"/>
        </w:tabs>
        <w:ind w:left="793" w:right="0" w:hanging="425"/>
        <w:jc w:val="both"/>
        <w:rPr>
          <w:rtl/>
        </w:rPr>
      </w:pPr>
      <w:r>
        <w:rPr>
          <w:rtl/>
        </w:rPr>
        <w:t>לגבי רשויות מקומיות, שמספר בעלי זכות הבחירה בהן אינו עולה על 5,000 - על מבקר המדינה למנות רואה חשבון לבקר את חשבונותיהן של כל הסיעות המתמודדות בהן. שכרם של רואי חשבון אלה ישולם מאוצר מדינת ישראל.</w:t>
      </w:r>
    </w:p>
    <w:p>
      <w:pPr>
        <w:ind w:left="0" w:right="0"/>
        <w:jc w:val="left"/>
      </w:pPr>
    </w:p>
    <w:p>
      <w:pPr>
        <w:numPr>
          <w:ilvl w:val="0"/>
          <w:numId w:val="4"/>
        </w:numPr>
        <w:tabs>
          <w:tab w:val="num" w:pos="793"/>
          <w:tab w:val="clear" w:pos="1080"/>
        </w:tabs>
        <w:ind w:left="793" w:right="0" w:hanging="425"/>
        <w:jc w:val="both"/>
        <w:rPr>
          <w:rtl/>
        </w:rPr>
      </w:pPr>
      <w:r>
        <w:rPr>
          <w:rtl/>
        </w:rPr>
        <w:t>מספר בעלי זכות הבחירה במועצ</w:t>
      </w:r>
      <w:r>
        <w:rPr>
          <w:rFonts w:hint="cs"/>
          <w:rtl/>
        </w:rPr>
        <w:t>ה</w:t>
      </w:r>
      <w:r>
        <w:rPr>
          <w:rtl/>
        </w:rPr>
        <w:t xml:space="preserve"> המקומית </w:t>
      </w:r>
      <w:r>
        <w:rPr>
          <w:rFonts w:hint="cs"/>
          <w:b/>
          <w:bCs/>
          <w:rtl/>
        </w:rPr>
        <w:t>אפרתה</w:t>
      </w:r>
      <w:r>
        <w:rPr>
          <w:rtl/>
        </w:rPr>
        <w:t xml:space="preserve"> אינו עולה על 5,000. לפיכך מיניתי רוא</w:t>
      </w:r>
      <w:r>
        <w:rPr>
          <w:rFonts w:hint="cs"/>
          <w:rtl/>
        </w:rPr>
        <w:t>ה</w:t>
      </w:r>
      <w:r>
        <w:rPr>
          <w:rtl/>
        </w:rPr>
        <w:t xml:space="preserve"> חשבון לביקורת חשבונותיהן של </w:t>
      </w:r>
      <w:r>
        <w:rPr>
          <w:rFonts w:hint="cs"/>
          <w:rtl/>
        </w:rPr>
        <w:t>חמש</w:t>
      </w:r>
      <w:r>
        <w:rPr>
          <w:rtl/>
        </w:rPr>
        <w:t xml:space="preserve"> הסיעות המקומיות ברשות </w:t>
      </w:r>
      <w:r>
        <w:rPr>
          <w:rFonts w:hint="cs"/>
          <w:rtl/>
        </w:rPr>
        <w:t>זו</w:t>
      </w:r>
      <w:r>
        <w:rPr>
          <w:rtl/>
        </w:rPr>
        <w:t>.</w:t>
      </w:r>
    </w:p>
    <w:p>
      <w:pPr>
        <w:ind w:left="0" w:right="0"/>
        <w:jc w:val="left"/>
        <w:rPr>
          <w:rtl/>
        </w:rPr>
      </w:pPr>
    </w:p>
    <w:p>
      <w:pPr>
        <w:numPr>
          <w:ilvl w:val="0"/>
          <w:numId w:val="3"/>
        </w:numPr>
        <w:tabs>
          <w:tab w:val="num" w:pos="368"/>
          <w:tab w:val="clear" w:pos="648"/>
        </w:tabs>
        <w:ind w:left="368" w:right="0" w:hanging="284"/>
        <w:jc w:val="both"/>
        <w:rPr>
          <w:rFonts w:hint="cs"/>
        </w:rPr>
      </w:pPr>
      <w:r>
        <w:rPr>
          <w:rtl/>
        </w:rPr>
        <w:t>בדין וחשבון המוגש לפי התקנון, על מבקר המדינה לקבוע: האם ניהלו הסיעות מערכת חשבונות בהתאם להנחיות מבקר המדינה; האם היו הוצאות הבחירות שלהן בגבולות התיקרה שנקבעה בתקנון; האם היו ההכנסות שקיבלו בגבולות שנקבעו בתקנון.</w:t>
      </w:r>
    </w:p>
    <w:p>
      <w:pPr>
        <w:ind w:left="84" w:right="0"/>
        <w:jc w:val="both"/>
        <w:rPr>
          <w:rtl/>
        </w:rPr>
      </w:pPr>
      <w:r>
        <w:rPr>
          <w:rtl/>
        </w:rPr>
        <w:br w:type="page"/>
      </w:r>
    </w:p>
    <w:p>
      <w:pPr>
        <w:numPr>
          <w:ilvl w:val="0"/>
          <w:numId w:val="3"/>
        </w:numPr>
        <w:tabs>
          <w:tab w:val="num" w:pos="368"/>
          <w:tab w:val="clear" w:pos="648"/>
        </w:tabs>
        <w:ind w:left="368" w:right="0" w:hanging="284"/>
        <w:jc w:val="both"/>
        <w:rPr>
          <w:rtl/>
        </w:rPr>
      </w:pPr>
      <w:r>
        <w:rPr>
          <w:rtl/>
        </w:rPr>
        <w:t>הוראות התקנון בדבר ניהול חשבונות, ביקורת חשבונות, הגבלת הוצאות והכנסות, וביקורת מבקר המדינה, חלות גם על סיעות ורשימות שלא קיבלו מימון, בין שלא ביקשוהו, ובין שלא היו זכאיות למימון מחמת שלא מילאו תנאים מוקדמים מסויימים הקבועים בתקנון.</w:t>
      </w:r>
    </w:p>
    <w:p>
      <w:pPr>
        <w:tabs>
          <w:tab w:val="left" w:pos="793"/>
        </w:tabs>
        <w:ind w:left="0" w:right="0"/>
        <w:jc w:val="both"/>
      </w:pPr>
    </w:p>
    <w:p>
      <w:pPr>
        <w:numPr>
          <w:ilvl w:val="0"/>
          <w:numId w:val="3"/>
        </w:numPr>
        <w:tabs>
          <w:tab w:val="num" w:pos="368"/>
          <w:tab w:val="clear" w:pos="648"/>
          <w:tab w:val="left" w:pos="793"/>
        </w:tabs>
        <w:ind w:left="368" w:right="0" w:hanging="284"/>
        <w:jc w:val="both"/>
        <w:rPr>
          <w:rtl/>
        </w:rPr>
      </w:pPr>
      <w:r>
        <w:rPr>
          <w:rtl/>
        </w:rPr>
        <w:t>(א)</w:t>
        <w:tab/>
        <w:t>הדין וחשבון מתייחס, כאמור, ל</w:t>
      </w:r>
      <w:r>
        <w:rPr>
          <w:rFonts w:hint="cs"/>
          <w:rtl/>
        </w:rPr>
        <w:t xml:space="preserve">-13 </w:t>
      </w:r>
      <w:r>
        <w:rPr>
          <w:rtl/>
        </w:rPr>
        <w:t>סיעות מקומיות שהשתתפו בבחירות;</w:t>
      </w:r>
    </w:p>
    <w:p>
      <w:pPr>
        <w:tabs>
          <w:tab w:val="left" w:pos="368"/>
          <w:tab w:val="left" w:pos="651"/>
        </w:tabs>
        <w:ind w:left="0" w:right="0"/>
        <w:jc w:val="both"/>
        <w:rPr>
          <w:rFonts w:hint="cs"/>
          <w:rtl/>
        </w:rPr>
      </w:pPr>
    </w:p>
    <w:p>
      <w:pPr>
        <w:numPr>
          <w:ilvl w:val="0"/>
          <w:numId w:val="19"/>
        </w:numPr>
        <w:tabs>
          <w:tab w:val="left" w:pos="368"/>
          <w:tab w:val="left" w:pos="793"/>
        </w:tabs>
        <w:ind w:left="728" w:right="0"/>
        <w:jc w:val="both"/>
        <w:rPr>
          <w:rFonts w:hint="cs"/>
        </w:rPr>
      </w:pPr>
      <w:r>
        <w:rPr>
          <w:rFonts w:hint="cs"/>
          <w:rtl/>
        </w:rPr>
        <w:t>11</w:t>
      </w:r>
      <w:r>
        <w:rPr>
          <w:rtl/>
        </w:rPr>
        <w:t xml:space="preserve"> סיעות מקומיות מסרו למבקר המדינה דוחות כספיים לתקופת הבחירות בצירוף חוות-דעת רואה חשבון;</w:t>
      </w:r>
    </w:p>
    <w:p>
      <w:pPr>
        <w:tabs>
          <w:tab w:val="left" w:pos="368"/>
          <w:tab w:val="left" w:pos="793"/>
        </w:tabs>
        <w:ind w:left="368" w:right="0"/>
        <w:jc w:val="both"/>
        <w:rPr>
          <w:rFonts w:hint="cs"/>
          <w:rtl/>
        </w:rPr>
      </w:pPr>
    </w:p>
    <w:p>
      <w:pPr>
        <w:numPr>
          <w:ilvl w:val="0"/>
          <w:numId w:val="19"/>
        </w:numPr>
        <w:tabs>
          <w:tab w:val="left" w:pos="368"/>
          <w:tab w:val="left" w:pos="793"/>
        </w:tabs>
        <w:ind w:left="728" w:right="0"/>
        <w:jc w:val="both"/>
        <w:rPr>
          <w:rFonts w:hint="cs"/>
        </w:rPr>
      </w:pPr>
      <w:r>
        <w:rPr>
          <w:rFonts w:hint="cs"/>
          <w:rtl/>
        </w:rPr>
        <w:t xml:space="preserve">שתי </w:t>
      </w:r>
      <w:r>
        <w:rPr>
          <w:rtl/>
        </w:rPr>
        <w:t>סיע</w:t>
      </w:r>
      <w:r>
        <w:rPr>
          <w:rFonts w:hint="cs"/>
          <w:rtl/>
        </w:rPr>
        <w:t>ות</w:t>
      </w:r>
      <w:r>
        <w:rPr>
          <w:rtl/>
        </w:rPr>
        <w:t xml:space="preserve"> מקומי</w:t>
      </w:r>
      <w:r>
        <w:rPr>
          <w:rFonts w:hint="cs"/>
          <w:rtl/>
        </w:rPr>
        <w:t>ו</w:t>
      </w:r>
      <w:r>
        <w:rPr>
          <w:rtl/>
        </w:rPr>
        <w:t>ת מסר</w:t>
      </w:r>
      <w:r>
        <w:rPr>
          <w:rFonts w:hint="cs"/>
          <w:rtl/>
        </w:rPr>
        <w:t>ו</w:t>
      </w:r>
      <w:r>
        <w:rPr>
          <w:rtl/>
        </w:rPr>
        <w:t xml:space="preserve"> תצהיר, שלא היו לה</w:t>
      </w:r>
      <w:r>
        <w:rPr>
          <w:rFonts w:hint="cs"/>
          <w:rtl/>
        </w:rPr>
        <w:t>ן</w:t>
      </w:r>
      <w:r>
        <w:rPr>
          <w:rtl/>
        </w:rPr>
        <w:t xml:space="preserve"> הכנסות והוצאות בתקופת הבחירות;</w:t>
      </w:r>
    </w:p>
    <w:p>
      <w:pPr>
        <w:tabs>
          <w:tab w:val="left" w:pos="651"/>
        </w:tabs>
        <w:ind w:left="0" w:right="0"/>
        <w:jc w:val="both"/>
      </w:pPr>
    </w:p>
    <w:p>
      <w:pPr>
        <w:numPr>
          <w:ilvl w:val="0"/>
          <w:numId w:val="3"/>
        </w:numPr>
        <w:tabs>
          <w:tab w:val="num" w:pos="368"/>
          <w:tab w:val="clear" w:pos="648"/>
        </w:tabs>
        <w:ind w:left="368" w:right="0" w:hanging="284"/>
        <w:jc w:val="both"/>
        <w:rPr>
          <w:rtl/>
        </w:rPr>
      </w:pPr>
      <w:r>
        <w:rPr>
          <w:rtl/>
        </w:rPr>
        <w:t>בתקנון נקבע, כי על נציגי הסיעות המקומיות למסור למבקר המדינה, לא יאוחר מתום שלושה חודשים אחרי הבחירות את החשבונות וכן דוח כספי לתקופת הבחירות. בתקנון גם נקבע, כי מבקר המדינה רשאי לקבל את החשבונות והדוח האמורים אף אם הוגשו באיחור, אם הוא סבור, כי מן הצדק לעשות כן.</w:t>
      </w:r>
    </w:p>
    <w:p>
      <w:pPr>
        <w:tabs>
          <w:tab w:val="left" w:pos="368"/>
        </w:tabs>
        <w:ind w:left="368" w:right="0"/>
        <w:jc w:val="both"/>
        <w:rPr>
          <w:rFonts w:hint="cs"/>
          <w:rtl/>
        </w:rPr>
      </w:pPr>
    </w:p>
    <w:p>
      <w:pPr>
        <w:tabs>
          <w:tab w:val="left" w:pos="368"/>
        </w:tabs>
        <w:ind w:left="368" w:right="0"/>
        <w:jc w:val="both"/>
        <w:rPr>
          <w:rtl/>
        </w:rPr>
      </w:pPr>
      <w:r>
        <w:rPr>
          <w:rFonts w:hint="cs"/>
          <w:rtl/>
        </w:rPr>
        <w:t>ארבע</w:t>
      </w:r>
      <w:r>
        <w:rPr>
          <w:rtl/>
        </w:rPr>
        <w:t xml:space="preserve"> סיעות מקומיות מסרו באיחור ניכר את חשבונותיהן והדוח הכספי. חרף ההכבדה שנגרמה כתוצאה מכך על סיכום מלאכת הביקורת תוך התקופה הקבועה בחוק, החלטתי, כי מן הצדק לקבל את החשבונות ואת הדוחות הכספיים האמורים; עם זאת, עשיתי שימוש בשיקול הדעת שהחוק מעניק לי, וקבעתי, שעל הסיעה המקומית הזכאית למימון מאוצר מדינת ישראל (</w:t>
      </w:r>
      <w:r>
        <w:rPr>
          <w:rFonts w:hint="cs"/>
          <w:b/>
          <w:bCs/>
          <w:rtl/>
        </w:rPr>
        <w:t>סיעת תן</w:t>
      </w:r>
      <w:r>
        <w:rPr>
          <w:rFonts w:hint="cs"/>
          <w:rtl/>
        </w:rPr>
        <w:t xml:space="preserve"> מ</w:t>
      </w:r>
      <w:r>
        <w:rPr>
          <w:rFonts w:hint="cs"/>
          <w:b/>
          <w:bCs/>
          <w:rtl/>
        </w:rPr>
        <w:t>אריאל</w:t>
      </w:r>
      <w:r>
        <w:rPr>
          <w:rtl/>
        </w:rPr>
        <w:t>), אשר מסרה את הדוח הכספי באיחור ניכר, תושת סנקציה ההולמת את מידת האיחור</w:t>
      </w:r>
      <w:r>
        <w:rPr>
          <w:rFonts w:hint="cs"/>
          <w:rtl/>
        </w:rPr>
        <w:t xml:space="preserve"> תוך התחשבות בנסיבות מקילות לאיחור</w:t>
      </w:r>
      <w:r>
        <w:rPr>
          <w:rtl/>
        </w:rPr>
        <w:t>. הסיע</w:t>
      </w:r>
      <w:r>
        <w:rPr>
          <w:rFonts w:hint="cs"/>
          <w:rtl/>
        </w:rPr>
        <w:t>ות</w:t>
      </w:r>
      <w:r>
        <w:rPr>
          <w:rtl/>
        </w:rPr>
        <w:t xml:space="preserve"> המקומי</w:t>
      </w:r>
      <w:r>
        <w:rPr>
          <w:rFonts w:hint="cs"/>
          <w:rtl/>
        </w:rPr>
        <w:t>ו</w:t>
      </w:r>
      <w:r>
        <w:rPr>
          <w:rtl/>
        </w:rPr>
        <w:t>ת האחר</w:t>
      </w:r>
      <w:r>
        <w:rPr>
          <w:rFonts w:hint="cs"/>
          <w:rtl/>
        </w:rPr>
        <w:t>ו</w:t>
      </w:r>
      <w:r>
        <w:rPr>
          <w:rtl/>
        </w:rPr>
        <w:t>ת (</w:t>
      </w:r>
      <w:r>
        <w:rPr>
          <w:rFonts w:hint="cs"/>
          <w:b/>
          <w:bCs/>
          <w:rtl/>
        </w:rPr>
        <w:t>יחד צועדים קדימה</w:t>
      </w:r>
      <w:r>
        <w:rPr>
          <w:rFonts w:hint="cs"/>
          <w:rtl/>
        </w:rPr>
        <w:t xml:space="preserve">, </w:t>
      </w:r>
      <w:r>
        <w:rPr>
          <w:rFonts w:hint="cs"/>
          <w:b/>
          <w:bCs/>
          <w:rtl/>
        </w:rPr>
        <w:t>כולנו יד אחת בעד גוזי יוסף</w:t>
      </w:r>
      <w:r>
        <w:rPr>
          <w:rFonts w:hint="cs"/>
          <w:rtl/>
        </w:rPr>
        <w:t xml:space="preserve"> ו</w:t>
      </w:r>
      <w:r>
        <w:rPr>
          <w:rFonts w:hint="cs"/>
          <w:b/>
          <w:bCs/>
          <w:rtl/>
        </w:rPr>
        <w:t>קידמה ואחדות</w:t>
      </w:r>
      <w:r>
        <w:rPr>
          <w:rFonts w:hint="cs"/>
          <w:rtl/>
        </w:rPr>
        <w:t xml:space="preserve"> מ</w:t>
      </w:r>
      <w:r>
        <w:rPr>
          <w:rFonts w:hint="cs"/>
          <w:b/>
          <w:bCs/>
          <w:rtl/>
        </w:rPr>
        <w:t>אריאל</w:t>
      </w:r>
      <w:r>
        <w:rPr>
          <w:rtl/>
        </w:rPr>
        <w:t>) שמסר</w:t>
      </w:r>
      <w:r>
        <w:rPr>
          <w:rFonts w:hint="cs"/>
          <w:rtl/>
        </w:rPr>
        <w:t>ו</w:t>
      </w:r>
      <w:r>
        <w:rPr>
          <w:rtl/>
        </w:rPr>
        <w:t xml:space="preserve"> גם ה</w:t>
      </w:r>
      <w:r>
        <w:rPr>
          <w:rFonts w:hint="cs"/>
          <w:rtl/>
        </w:rPr>
        <w:t>ן</w:t>
      </w:r>
      <w:r>
        <w:rPr>
          <w:rtl/>
        </w:rPr>
        <w:t xml:space="preserve"> את </w:t>
      </w:r>
      <w:r>
        <w:rPr>
          <w:rFonts w:hint="cs"/>
          <w:rtl/>
        </w:rPr>
        <w:t>הדוחות הכספיים שלהן</w:t>
      </w:r>
      <w:r>
        <w:rPr>
          <w:rtl/>
        </w:rPr>
        <w:t xml:space="preserve"> באיחור, אינ</w:t>
      </w:r>
      <w:r>
        <w:rPr>
          <w:rFonts w:hint="cs"/>
          <w:rtl/>
        </w:rPr>
        <w:t>ן</w:t>
      </w:r>
      <w:r>
        <w:rPr>
          <w:rtl/>
        </w:rPr>
        <w:t xml:space="preserve"> זכאי</w:t>
      </w:r>
      <w:r>
        <w:rPr>
          <w:rFonts w:hint="cs"/>
          <w:rtl/>
        </w:rPr>
        <w:t>ו</w:t>
      </w:r>
      <w:r>
        <w:rPr>
          <w:rtl/>
        </w:rPr>
        <w:t>ת למימון מאוצר מדינת ישראל, ולפיכך לא ניתן להשית עליה</w:t>
      </w:r>
      <w:r>
        <w:rPr>
          <w:rFonts w:hint="cs"/>
          <w:rtl/>
        </w:rPr>
        <w:t>ן</w:t>
      </w:r>
      <w:r>
        <w:rPr>
          <w:rtl/>
        </w:rPr>
        <w:t xml:space="preserve"> סנקציה בשל האיחור.</w:t>
      </w:r>
    </w:p>
    <w:p>
      <w:pPr>
        <w:ind w:left="720" w:right="0"/>
        <w:jc w:val="both"/>
        <w:rPr>
          <w:rtl/>
        </w:rPr>
      </w:pPr>
    </w:p>
    <w:p>
      <w:pPr>
        <w:numPr>
          <w:ilvl w:val="0"/>
          <w:numId w:val="3"/>
        </w:numPr>
        <w:tabs>
          <w:tab w:val="num" w:pos="368"/>
          <w:tab w:val="clear" w:pos="648"/>
        </w:tabs>
        <w:ind w:left="368" w:right="0" w:hanging="284"/>
        <w:jc w:val="both"/>
        <w:rPr>
          <w:rtl/>
        </w:rPr>
      </w:pPr>
      <w:r>
        <w:rPr>
          <w:rtl/>
        </w:rPr>
        <w:t>קביעת תוצאות ביקורת החשבונות של הסיעות המקומיות נעשתה בהסתמך על חוות-דעת רואי החשבון; בדיקות ובירורים משלימים שערכו עובדי משרדי; השלמות, תיקונים והסברים של הסיעות; תצהירים של נציגי הסיעות שנתקבלו כראייה לפי סעיף 12ב לתקנון המאמץ, בין היתר, את סעיף 21(ה) לחוק.</w:t>
      </w:r>
    </w:p>
    <w:p>
      <w:pPr>
        <w:ind w:left="288" w:right="0"/>
        <w:jc w:val="both"/>
        <w:rPr>
          <w:rtl/>
        </w:rPr>
      </w:pPr>
    </w:p>
    <w:p>
      <w:pPr>
        <w:numPr>
          <w:ilvl w:val="0"/>
          <w:numId w:val="3"/>
        </w:numPr>
        <w:tabs>
          <w:tab w:val="num" w:pos="368"/>
          <w:tab w:val="clear" w:pos="648"/>
          <w:tab w:val="left" w:pos="793"/>
        </w:tabs>
        <w:ind w:left="368" w:right="0" w:hanging="284"/>
        <w:jc w:val="both"/>
        <w:rPr>
          <w:rtl/>
        </w:rPr>
      </w:pPr>
      <w:r>
        <w:rPr>
          <w:b/>
          <w:bCs/>
          <w:u w:val="single"/>
          <w:rtl/>
        </w:rPr>
        <w:t>סיכום הדוח</w:t>
      </w:r>
    </w:p>
    <w:p>
      <w:pPr>
        <w:ind w:left="0" w:right="0"/>
        <w:jc w:val="both"/>
        <w:rPr>
          <w:rtl/>
        </w:rPr>
      </w:pPr>
    </w:p>
    <w:p>
      <w:pPr>
        <w:numPr>
          <w:ilvl w:val="0"/>
          <w:numId w:val="20"/>
        </w:numPr>
        <w:tabs>
          <w:tab w:val="left" w:pos="368"/>
          <w:tab w:val="clear" w:pos="728"/>
          <w:tab w:val="num" w:pos="793"/>
        </w:tabs>
        <w:ind w:left="728" w:right="0"/>
        <w:jc w:val="left"/>
        <w:rPr>
          <w:rtl/>
        </w:rPr>
      </w:pPr>
      <w:r>
        <w:rPr>
          <w:rFonts w:hint="cs"/>
          <w:rtl/>
        </w:rPr>
        <w:t>שמונה</w:t>
      </w:r>
      <w:r>
        <w:rPr>
          <w:rtl/>
        </w:rPr>
        <w:t xml:space="preserve"> הסיעות המקומיות המפורטות להלן - </w:t>
      </w:r>
    </w:p>
    <w:p>
      <w:pPr>
        <w:ind w:left="0" w:right="0"/>
        <w:jc w:val="left"/>
        <w:rPr>
          <w:b/>
          <w:bCs/>
          <w:rtl/>
        </w:rPr>
      </w:pPr>
    </w:p>
    <w:p>
      <w:pPr>
        <w:pStyle w:val="BlockText"/>
        <w:numPr>
          <w:ilvl w:val="0"/>
          <w:numId w:val="15"/>
        </w:numPr>
        <w:tabs>
          <w:tab w:val="clear" w:pos="1097"/>
          <w:tab w:val="num" w:pos="1218"/>
        </w:tabs>
        <w:spacing w:line="240" w:lineRule="auto"/>
        <w:ind w:left="1218" w:right="0" w:hanging="425"/>
        <w:jc w:val="both"/>
        <w:rPr>
          <w:rFonts w:hint="cs"/>
        </w:rPr>
      </w:pPr>
      <w:r>
        <w:rPr>
          <w:rtl/>
        </w:rPr>
        <w:t xml:space="preserve">ניהלו מערכות חשבונות לפי הנחיות מבקר המדינה; </w:t>
      </w:r>
    </w:p>
    <w:p>
      <w:pPr>
        <w:pStyle w:val="BlockText"/>
        <w:spacing w:line="240" w:lineRule="auto"/>
        <w:ind w:left="793" w:right="0"/>
        <w:jc w:val="both"/>
        <w:rPr>
          <w:rtl/>
        </w:rPr>
      </w:pPr>
      <w:r>
        <w:rPr>
          <w:rtl/>
        </w:rPr>
        <w:br w:type="page"/>
      </w:r>
    </w:p>
    <w:p>
      <w:pPr>
        <w:pStyle w:val="BlockText"/>
        <w:numPr>
          <w:ilvl w:val="0"/>
          <w:numId w:val="15"/>
        </w:numPr>
        <w:tabs>
          <w:tab w:val="left" w:pos="368"/>
          <w:tab w:val="clear" w:pos="1097"/>
          <w:tab w:val="num" w:pos="1218"/>
        </w:tabs>
        <w:spacing w:line="240" w:lineRule="auto"/>
        <w:ind w:left="1218" w:right="0" w:hanging="425"/>
        <w:jc w:val="both"/>
        <w:rPr>
          <w:rtl/>
        </w:rPr>
      </w:pPr>
      <w:r>
        <w:rPr>
          <w:rtl/>
        </w:rPr>
        <w:t xml:space="preserve">הוצאות הבחירות שלהן בתקופת הבחירות היו בגבולות האמורים בסעיף 12ב לתקנון, המאמץ, בין היתר, את סעיף 15 לחוק; </w:t>
      </w:r>
    </w:p>
    <w:p>
      <w:pPr>
        <w:pStyle w:val="BlockText"/>
        <w:numPr>
          <w:ilvl w:val="0"/>
          <w:numId w:val="15"/>
        </w:numPr>
        <w:tabs>
          <w:tab w:val="clear" w:pos="1097"/>
          <w:tab w:val="num" w:pos="1218"/>
        </w:tabs>
        <w:spacing w:line="240" w:lineRule="auto"/>
        <w:ind w:left="1218" w:right="0" w:hanging="425"/>
        <w:jc w:val="both"/>
        <w:rPr>
          <w:rtl/>
        </w:rPr>
      </w:pPr>
      <w:r>
        <w:rPr>
          <w:rtl/>
        </w:rPr>
        <w:t xml:space="preserve">ההכנסות שלהן עמדו בדרישות סעיף 12ב(טז) לתקנון, המאמץ את סעיף 16(א) לחוק (תוך המרת המילים "בארץ או בחוץ לארץ" במילים "באזור יהודה והשומרון או מחוץ לאזור") וכן בדרישות סעיף 12ב לתקנון, המאמץ, בין היתר, את סעיף 16(ב) לחוק. </w:t>
      </w:r>
    </w:p>
    <w:p>
      <w:pPr>
        <w:ind w:left="720" w:right="0"/>
        <w:jc w:val="both"/>
        <w:rPr>
          <w:rtl/>
        </w:rPr>
      </w:pPr>
    </w:p>
    <w:p>
      <w:pPr>
        <w:ind w:left="720" w:right="0"/>
        <w:jc w:val="both"/>
        <w:rPr>
          <w:rtl/>
        </w:rPr>
      </w:pPr>
      <w:r>
        <w:rPr>
          <w:rtl/>
        </w:rPr>
        <w:t>לפיכך, ניתן לגביהן דין וחשבון חיובי לגבי תוצאות ביקורת חשבונותיהן לתקופת הבחירות.</w:t>
      </w:r>
    </w:p>
    <w:p>
      <w:pPr>
        <w:ind w:left="0" w:right="0"/>
        <w:jc w:val="both"/>
        <w:rPr>
          <w:rtl/>
        </w:rPr>
      </w:pPr>
    </w:p>
    <w:tbl>
      <w:tblPr>
        <w:tblW w:w="0" w:type="auto"/>
        <w:jc w:val="right"/>
        <w:tblInd w:w="901" w:type="dxa"/>
        <w:tblLayout w:type="fixed"/>
        <w:tblCellMar>
          <w:left w:w="108" w:type="dxa"/>
          <w:right w:w="108" w:type="dxa"/>
        </w:tblCellMar>
        <w:tblLook w:val="0000"/>
      </w:tblPr>
      <w:tblGrid>
        <w:gridCol w:w="1701"/>
        <w:gridCol w:w="3119"/>
        <w:gridCol w:w="2126"/>
        <w:gridCol w:w="567"/>
      </w:tblGrid>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left"/>
              <w:rPr>
                <w:b/>
                <w:bCs/>
                <w:szCs w:val="20"/>
                <w:rtl/>
              </w:rPr>
            </w:pPr>
            <w:r>
              <w:rPr>
                <w:b/>
                <w:bCs/>
                <w:szCs w:val="20"/>
                <w:rtl/>
              </w:rPr>
              <w:t xml:space="preserve">סנקציה מומלצת </w:t>
            </w:r>
            <w:r>
              <w:rPr>
                <w:b/>
                <w:bCs/>
                <w:szCs w:val="20"/>
                <w:u w:val="single"/>
                <w:rtl/>
              </w:rPr>
              <w:t>בגין איחור ב-%</w:t>
            </w:r>
            <w:r>
              <w:rPr>
                <w:rStyle w:val="FootnoteReference"/>
                <w:b/>
                <w:bCs/>
                <w:szCs w:val="20"/>
                <w:rtl/>
              </w:rPr>
              <w:footnoteReference w:customMarkFollows="1" w:id="0"/>
              <w:t xml:space="preserve">*</w:t>
            </w:r>
          </w:p>
          <w:p>
            <w:pPr>
              <w:ind w:left="0" w:right="0"/>
              <w:jc w:val="left"/>
              <w:rPr>
                <w:b/>
                <w:bCs/>
                <w:szCs w:val="20"/>
                <w:rtl/>
              </w:rPr>
            </w:pPr>
          </w:p>
        </w:tc>
        <w:tc>
          <w:tcPr>
            <w:tcW w:w="3119" w:type="dxa"/>
          </w:tcPr>
          <w:p>
            <w:pPr>
              <w:pStyle w:val="Heading6"/>
              <w:spacing w:line="240" w:lineRule="auto"/>
              <w:ind w:left="0" w:right="0"/>
              <w:jc w:val="left"/>
              <w:rPr>
                <w:szCs w:val="20"/>
                <w:rtl/>
              </w:rPr>
            </w:pPr>
          </w:p>
          <w:p>
            <w:pPr>
              <w:pStyle w:val="Heading6"/>
              <w:spacing w:line="240" w:lineRule="auto"/>
              <w:ind w:left="0" w:right="0"/>
              <w:jc w:val="left"/>
              <w:rPr>
                <w:szCs w:val="20"/>
                <w:rtl/>
              </w:rPr>
            </w:pPr>
            <w:r>
              <w:rPr>
                <w:szCs w:val="20"/>
                <w:rtl/>
              </w:rPr>
              <w:t>הסיעה המקומית</w:t>
            </w:r>
          </w:p>
        </w:tc>
        <w:tc>
          <w:tcPr>
            <w:tcW w:w="2126" w:type="dxa"/>
          </w:tcPr>
          <w:p>
            <w:pPr>
              <w:pStyle w:val="Heading6"/>
              <w:spacing w:line="240" w:lineRule="auto"/>
              <w:ind w:left="0" w:right="0"/>
              <w:jc w:val="left"/>
              <w:rPr>
                <w:szCs w:val="20"/>
                <w:rtl/>
              </w:rPr>
            </w:pPr>
          </w:p>
          <w:p>
            <w:pPr>
              <w:pStyle w:val="Heading6"/>
              <w:spacing w:line="240" w:lineRule="auto"/>
              <w:ind w:left="0" w:right="0"/>
              <w:jc w:val="left"/>
              <w:rPr>
                <w:szCs w:val="20"/>
                <w:rtl/>
              </w:rPr>
            </w:pPr>
            <w:r>
              <w:rPr>
                <w:szCs w:val="20"/>
                <w:rtl/>
              </w:rPr>
              <w:t>הרשות המקומית</w:t>
            </w:r>
          </w:p>
        </w:tc>
        <w:tc>
          <w:tcPr>
            <w:tcW w:w="567" w:type="dxa"/>
          </w:tcPr>
          <w:p>
            <w:pPr>
              <w:ind w:left="0" w:right="0"/>
              <w:jc w:val="left"/>
              <w:rPr>
                <w:b/>
                <w:bCs/>
                <w:szCs w:val="20"/>
                <w:rtl/>
              </w:rPr>
            </w:pP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both"/>
              <w:rPr>
                <w:szCs w:val="20"/>
                <w:rtl/>
              </w:rPr>
            </w:pPr>
          </w:p>
        </w:tc>
        <w:tc>
          <w:tcPr>
            <w:tcW w:w="3119" w:type="dxa"/>
          </w:tcPr>
          <w:p>
            <w:pPr>
              <w:ind w:left="0" w:right="0"/>
              <w:jc w:val="both"/>
              <w:rPr>
                <w:rFonts w:hint="cs"/>
                <w:szCs w:val="20"/>
                <w:rtl/>
              </w:rPr>
            </w:pPr>
            <w:r>
              <w:rPr>
                <w:rFonts w:hint="cs"/>
                <w:szCs w:val="20"/>
                <w:rtl/>
              </w:rPr>
              <w:t>אפרת ביחד</w:t>
            </w:r>
          </w:p>
        </w:tc>
        <w:tc>
          <w:tcPr>
            <w:tcW w:w="2126" w:type="dxa"/>
          </w:tcPr>
          <w:p>
            <w:pPr>
              <w:ind w:left="0" w:right="0"/>
              <w:jc w:val="both"/>
              <w:rPr>
                <w:rFonts w:hint="cs"/>
                <w:szCs w:val="20"/>
                <w:rtl/>
              </w:rPr>
            </w:pPr>
            <w:r>
              <w:rPr>
                <w:rFonts w:hint="cs"/>
                <w:szCs w:val="20"/>
                <w:rtl/>
              </w:rPr>
              <w:t>אפרתה</w:t>
            </w:r>
          </w:p>
        </w:tc>
        <w:tc>
          <w:tcPr>
            <w:tcW w:w="567" w:type="dxa"/>
          </w:tcPr>
          <w:p>
            <w:pPr>
              <w:ind w:left="0" w:right="0"/>
              <w:jc w:val="both"/>
              <w:rPr>
                <w:szCs w:val="20"/>
                <w:rtl/>
              </w:rPr>
            </w:pPr>
            <w:r>
              <w:rPr>
                <w:szCs w:val="20"/>
                <w:rtl/>
              </w:rPr>
              <w:t>1.</w:t>
            </w: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both"/>
              <w:rPr>
                <w:szCs w:val="20"/>
                <w:rtl/>
              </w:rPr>
            </w:pPr>
          </w:p>
        </w:tc>
        <w:tc>
          <w:tcPr>
            <w:tcW w:w="3119" w:type="dxa"/>
          </w:tcPr>
          <w:p>
            <w:pPr>
              <w:ind w:left="0" w:right="0"/>
              <w:jc w:val="both"/>
              <w:rPr>
                <w:rFonts w:hint="cs"/>
                <w:szCs w:val="20"/>
                <w:rtl/>
              </w:rPr>
            </w:pPr>
            <w:r>
              <w:rPr>
                <w:rFonts w:hint="cs"/>
                <w:szCs w:val="20"/>
                <w:rtl/>
              </w:rPr>
              <w:t>אפרת בתנופה</w:t>
            </w:r>
          </w:p>
        </w:tc>
        <w:tc>
          <w:tcPr>
            <w:tcW w:w="2126" w:type="dxa"/>
          </w:tcPr>
          <w:p>
            <w:pPr>
              <w:ind w:left="0" w:right="0"/>
              <w:jc w:val="both"/>
              <w:rPr>
                <w:szCs w:val="20"/>
                <w:rtl/>
              </w:rPr>
            </w:pPr>
            <w:r>
              <w:rPr>
                <w:rFonts w:hint="cs"/>
                <w:szCs w:val="20"/>
                <w:rtl/>
              </w:rPr>
              <w:t>אפרתה</w:t>
            </w:r>
          </w:p>
        </w:tc>
        <w:tc>
          <w:tcPr>
            <w:tcW w:w="567" w:type="dxa"/>
          </w:tcPr>
          <w:p>
            <w:pPr>
              <w:ind w:left="0" w:right="0"/>
              <w:jc w:val="both"/>
              <w:rPr>
                <w:szCs w:val="20"/>
                <w:rtl/>
              </w:rPr>
            </w:pPr>
            <w:r>
              <w:rPr>
                <w:szCs w:val="20"/>
                <w:rtl/>
              </w:rPr>
              <w:t>2.</w:t>
            </w: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both"/>
              <w:rPr>
                <w:szCs w:val="20"/>
                <w:rtl/>
              </w:rPr>
            </w:pPr>
          </w:p>
        </w:tc>
        <w:tc>
          <w:tcPr>
            <w:tcW w:w="3119" w:type="dxa"/>
          </w:tcPr>
          <w:p>
            <w:pPr>
              <w:ind w:left="0" w:right="0"/>
              <w:jc w:val="both"/>
              <w:rPr>
                <w:rFonts w:hint="cs"/>
                <w:szCs w:val="20"/>
                <w:rtl/>
              </w:rPr>
            </w:pPr>
            <w:r>
              <w:rPr>
                <w:rFonts w:hint="cs"/>
                <w:szCs w:val="20"/>
                <w:rtl/>
              </w:rPr>
              <w:t>עתיד</w:t>
            </w:r>
          </w:p>
        </w:tc>
        <w:tc>
          <w:tcPr>
            <w:tcW w:w="2126" w:type="dxa"/>
          </w:tcPr>
          <w:p>
            <w:pPr>
              <w:ind w:left="0" w:right="0"/>
              <w:jc w:val="both"/>
              <w:rPr>
                <w:szCs w:val="20"/>
                <w:rtl/>
              </w:rPr>
            </w:pPr>
            <w:r>
              <w:rPr>
                <w:rFonts w:hint="cs"/>
                <w:szCs w:val="20"/>
                <w:rtl/>
              </w:rPr>
              <w:t>אפרתה</w:t>
            </w:r>
          </w:p>
        </w:tc>
        <w:tc>
          <w:tcPr>
            <w:tcW w:w="567" w:type="dxa"/>
          </w:tcPr>
          <w:p>
            <w:pPr>
              <w:ind w:left="0" w:right="0"/>
              <w:jc w:val="both"/>
              <w:rPr>
                <w:szCs w:val="20"/>
                <w:rtl/>
              </w:rPr>
            </w:pPr>
            <w:r>
              <w:rPr>
                <w:szCs w:val="20"/>
                <w:rtl/>
              </w:rPr>
              <w:t>3.</w:t>
            </w: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both"/>
              <w:rPr>
                <w:szCs w:val="20"/>
                <w:rtl/>
              </w:rPr>
            </w:pPr>
          </w:p>
        </w:tc>
        <w:tc>
          <w:tcPr>
            <w:tcW w:w="3119" w:type="dxa"/>
          </w:tcPr>
          <w:p>
            <w:pPr>
              <w:ind w:left="0" w:right="0"/>
              <w:jc w:val="both"/>
              <w:rPr>
                <w:rFonts w:hint="cs"/>
                <w:szCs w:val="20"/>
                <w:rtl/>
              </w:rPr>
            </w:pPr>
            <w:r>
              <w:rPr>
                <w:rFonts w:hint="cs"/>
                <w:szCs w:val="20"/>
                <w:rtl/>
              </w:rPr>
              <w:t>בראשות יחיאל חזן</w:t>
            </w:r>
          </w:p>
        </w:tc>
        <w:tc>
          <w:tcPr>
            <w:tcW w:w="2126" w:type="dxa"/>
          </w:tcPr>
          <w:p>
            <w:pPr>
              <w:ind w:left="0" w:right="0"/>
              <w:jc w:val="both"/>
              <w:rPr>
                <w:rFonts w:hint="cs"/>
                <w:szCs w:val="20"/>
                <w:rtl/>
              </w:rPr>
            </w:pPr>
            <w:r>
              <w:rPr>
                <w:rFonts w:hint="cs"/>
                <w:szCs w:val="20"/>
                <w:rtl/>
              </w:rPr>
              <w:t>אריאל</w:t>
            </w:r>
          </w:p>
        </w:tc>
        <w:tc>
          <w:tcPr>
            <w:tcW w:w="567" w:type="dxa"/>
          </w:tcPr>
          <w:p>
            <w:pPr>
              <w:ind w:left="0" w:right="0"/>
              <w:jc w:val="both"/>
              <w:rPr>
                <w:szCs w:val="20"/>
                <w:rtl/>
              </w:rPr>
            </w:pPr>
            <w:r>
              <w:rPr>
                <w:szCs w:val="20"/>
                <w:rtl/>
              </w:rPr>
              <w:t>4.</w:t>
            </w: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both"/>
              <w:rPr>
                <w:szCs w:val="20"/>
                <w:rtl/>
              </w:rPr>
            </w:pPr>
          </w:p>
        </w:tc>
        <w:tc>
          <w:tcPr>
            <w:tcW w:w="3119" w:type="dxa"/>
          </w:tcPr>
          <w:p>
            <w:pPr>
              <w:pStyle w:val="Header"/>
              <w:tabs>
                <w:tab w:val="clear" w:pos="4153"/>
                <w:tab w:val="clear" w:pos="8306"/>
              </w:tabs>
              <w:ind w:left="0" w:right="0"/>
              <w:jc w:val="left"/>
              <w:rPr>
                <w:rFonts w:hint="cs"/>
                <w:szCs w:val="20"/>
                <w:rtl/>
              </w:rPr>
            </w:pPr>
            <w:r>
              <w:rPr>
                <w:rFonts w:hint="cs"/>
                <w:szCs w:val="20"/>
                <w:rtl/>
              </w:rPr>
              <w:t>לעתיד בטוח בראשות רון נחמן</w:t>
            </w:r>
          </w:p>
        </w:tc>
        <w:tc>
          <w:tcPr>
            <w:tcW w:w="2126" w:type="dxa"/>
          </w:tcPr>
          <w:p>
            <w:pPr>
              <w:ind w:left="0" w:right="0"/>
              <w:jc w:val="both"/>
              <w:rPr>
                <w:szCs w:val="20"/>
                <w:rtl/>
              </w:rPr>
            </w:pPr>
            <w:r>
              <w:rPr>
                <w:rFonts w:hint="cs"/>
                <w:szCs w:val="20"/>
                <w:rtl/>
              </w:rPr>
              <w:t>אריאל</w:t>
            </w:r>
          </w:p>
        </w:tc>
        <w:tc>
          <w:tcPr>
            <w:tcW w:w="567" w:type="dxa"/>
          </w:tcPr>
          <w:p>
            <w:pPr>
              <w:ind w:left="0" w:right="0"/>
              <w:jc w:val="both"/>
              <w:rPr>
                <w:szCs w:val="20"/>
                <w:rtl/>
              </w:rPr>
            </w:pPr>
            <w:r>
              <w:rPr>
                <w:rFonts w:hint="cs"/>
                <w:szCs w:val="20"/>
                <w:rtl/>
              </w:rPr>
              <w:t>5</w:t>
            </w:r>
            <w:r>
              <w:rPr>
                <w:szCs w:val="20"/>
                <w:rtl/>
              </w:rPr>
              <w:t>.</w:t>
            </w: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center"/>
              <w:rPr>
                <w:rFonts w:hint="cs"/>
                <w:szCs w:val="20"/>
                <w:rtl/>
              </w:rPr>
            </w:pPr>
            <w:r>
              <w:rPr>
                <w:rFonts w:hint="cs"/>
                <w:szCs w:val="20"/>
                <w:rtl/>
              </w:rPr>
              <w:t>2</w:t>
            </w:r>
          </w:p>
        </w:tc>
        <w:tc>
          <w:tcPr>
            <w:tcW w:w="3119" w:type="dxa"/>
          </w:tcPr>
          <w:p>
            <w:pPr>
              <w:ind w:left="0" w:right="0"/>
              <w:jc w:val="both"/>
              <w:rPr>
                <w:szCs w:val="20"/>
                <w:rtl/>
              </w:rPr>
            </w:pPr>
            <w:r>
              <w:rPr>
                <w:rFonts w:hint="cs"/>
                <w:szCs w:val="20"/>
                <w:rtl/>
              </w:rPr>
              <w:t>סיעת תן</w:t>
            </w:r>
          </w:p>
        </w:tc>
        <w:tc>
          <w:tcPr>
            <w:tcW w:w="2126" w:type="dxa"/>
          </w:tcPr>
          <w:p>
            <w:pPr>
              <w:ind w:left="0" w:right="0"/>
              <w:jc w:val="both"/>
              <w:rPr>
                <w:szCs w:val="20"/>
                <w:rtl/>
              </w:rPr>
            </w:pPr>
            <w:r>
              <w:rPr>
                <w:rFonts w:hint="cs"/>
                <w:szCs w:val="20"/>
                <w:rtl/>
              </w:rPr>
              <w:t>אריאל</w:t>
            </w:r>
          </w:p>
        </w:tc>
        <w:tc>
          <w:tcPr>
            <w:tcW w:w="567" w:type="dxa"/>
          </w:tcPr>
          <w:p>
            <w:pPr>
              <w:ind w:left="0" w:right="0"/>
              <w:jc w:val="both"/>
              <w:rPr>
                <w:szCs w:val="20"/>
                <w:rtl/>
              </w:rPr>
            </w:pPr>
            <w:r>
              <w:rPr>
                <w:rFonts w:hint="cs"/>
                <w:szCs w:val="20"/>
                <w:rtl/>
              </w:rPr>
              <w:t>6</w:t>
            </w:r>
            <w:r>
              <w:rPr>
                <w:szCs w:val="20"/>
                <w:rtl/>
              </w:rPr>
              <w:t>.</w:t>
            </w: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center"/>
              <w:rPr>
                <w:szCs w:val="20"/>
                <w:rtl/>
              </w:rPr>
            </w:pPr>
          </w:p>
        </w:tc>
        <w:tc>
          <w:tcPr>
            <w:tcW w:w="3119" w:type="dxa"/>
          </w:tcPr>
          <w:p>
            <w:pPr>
              <w:ind w:left="0" w:right="0"/>
              <w:jc w:val="both"/>
              <w:rPr>
                <w:szCs w:val="20"/>
                <w:rtl/>
              </w:rPr>
            </w:pPr>
            <w:r>
              <w:rPr>
                <w:rFonts w:hint="cs"/>
                <w:szCs w:val="20"/>
                <w:rtl/>
              </w:rPr>
              <w:t xml:space="preserve">קהילה למען אריאל במאה </w:t>
            </w:r>
            <w:r>
              <w:rPr>
                <w:rFonts w:hint="cs"/>
                <w:szCs w:val="20"/>
                <w:rtl/>
              </w:rPr>
              <w:t>21</w:t>
            </w:r>
          </w:p>
        </w:tc>
        <w:tc>
          <w:tcPr>
            <w:tcW w:w="2126" w:type="dxa"/>
          </w:tcPr>
          <w:p>
            <w:pPr>
              <w:ind w:left="0" w:right="0"/>
              <w:jc w:val="both"/>
              <w:rPr>
                <w:szCs w:val="20"/>
                <w:rtl/>
              </w:rPr>
            </w:pPr>
            <w:r>
              <w:rPr>
                <w:rFonts w:hint="cs"/>
                <w:szCs w:val="20"/>
                <w:rtl/>
              </w:rPr>
              <w:t>אריאל</w:t>
            </w:r>
          </w:p>
        </w:tc>
        <w:tc>
          <w:tcPr>
            <w:tcW w:w="567" w:type="dxa"/>
          </w:tcPr>
          <w:p>
            <w:pPr>
              <w:ind w:left="0" w:right="0"/>
              <w:jc w:val="both"/>
              <w:rPr>
                <w:szCs w:val="20"/>
                <w:rtl/>
              </w:rPr>
            </w:pPr>
            <w:r>
              <w:rPr>
                <w:rFonts w:hint="cs"/>
                <w:szCs w:val="20"/>
                <w:rtl/>
              </w:rPr>
              <w:t>7</w:t>
            </w:r>
            <w:r>
              <w:rPr>
                <w:szCs w:val="20"/>
                <w:rtl/>
              </w:rPr>
              <w:t>.</w:t>
            </w:r>
          </w:p>
        </w:tc>
      </w:tr>
      <w:tr>
        <w:tblPrEx>
          <w:tblW w:w="0" w:type="auto"/>
          <w:jc w:val="right"/>
          <w:tblInd w:w="901" w:type="dxa"/>
          <w:tblLayout w:type="fixed"/>
          <w:tblCellMar>
            <w:left w:w="108" w:type="dxa"/>
            <w:right w:w="108" w:type="dxa"/>
          </w:tblCellMar>
          <w:tblLook w:val="0000"/>
        </w:tblPrEx>
        <w:trPr>
          <w:jc w:val="right"/>
        </w:trPr>
        <w:tc>
          <w:tcPr>
            <w:tcW w:w="1701" w:type="dxa"/>
          </w:tcPr>
          <w:p>
            <w:pPr>
              <w:ind w:left="0" w:right="0"/>
              <w:jc w:val="both"/>
              <w:rPr>
                <w:szCs w:val="20"/>
                <w:rtl/>
              </w:rPr>
            </w:pPr>
          </w:p>
        </w:tc>
        <w:tc>
          <w:tcPr>
            <w:tcW w:w="3119" w:type="dxa"/>
          </w:tcPr>
          <w:p>
            <w:pPr>
              <w:ind w:left="0" w:right="0"/>
              <w:jc w:val="both"/>
              <w:rPr>
                <w:rFonts w:hint="cs"/>
                <w:szCs w:val="20"/>
                <w:rtl/>
              </w:rPr>
            </w:pPr>
            <w:r>
              <w:rPr>
                <w:rFonts w:hint="cs"/>
                <w:szCs w:val="20"/>
                <w:rtl/>
              </w:rPr>
              <w:t>קידמה ואחדות</w:t>
            </w:r>
          </w:p>
        </w:tc>
        <w:tc>
          <w:tcPr>
            <w:tcW w:w="2126" w:type="dxa"/>
          </w:tcPr>
          <w:p>
            <w:pPr>
              <w:ind w:left="0" w:right="0"/>
              <w:jc w:val="both"/>
              <w:rPr>
                <w:szCs w:val="20"/>
                <w:rtl/>
              </w:rPr>
            </w:pPr>
            <w:r>
              <w:rPr>
                <w:rFonts w:hint="cs"/>
                <w:szCs w:val="20"/>
                <w:rtl/>
              </w:rPr>
              <w:t>אריאל</w:t>
            </w:r>
          </w:p>
        </w:tc>
        <w:tc>
          <w:tcPr>
            <w:tcW w:w="567" w:type="dxa"/>
          </w:tcPr>
          <w:p>
            <w:pPr>
              <w:ind w:left="0" w:right="0"/>
              <w:jc w:val="both"/>
              <w:rPr>
                <w:szCs w:val="20"/>
                <w:rtl/>
              </w:rPr>
            </w:pPr>
            <w:r>
              <w:rPr>
                <w:rFonts w:hint="cs"/>
                <w:szCs w:val="20"/>
                <w:rtl/>
              </w:rPr>
              <w:t>8</w:t>
            </w:r>
            <w:r>
              <w:rPr>
                <w:szCs w:val="20"/>
                <w:rtl/>
              </w:rPr>
              <w:t>.</w:t>
            </w:r>
          </w:p>
        </w:tc>
      </w:tr>
    </w:tbl>
    <w:p>
      <w:pPr>
        <w:ind w:left="651" w:right="0"/>
        <w:jc w:val="both"/>
        <w:rPr>
          <w:rFonts w:hint="cs"/>
          <w:rtl/>
        </w:rPr>
      </w:pPr>
    </w:p>
    <w:p>
      <w:pPr>
        <w:ind w:left="651" w:right="0"/>
        <w:jc w:val="both"/>
        <w:rPr>
          <w:rFonts w:hint="cs"/>
        </w:rPr>
      </w:pPr>
    </w:p>
    <w:p>
      <w:pPr>
        <w:numPr>
          <w:ilvl w:val="0"/>
          <w:numId w:val="20"/>
        </w:numPr>
        <w:tabs>
          <w:tab w:val="left" w:pos="368"/>
          <w:tab w:val="clear" w:pos="728"/>
          <w:tab w:val="num" w:pos="793"/>
        </w:tabs>
        <w:ind w:left="793" w:right="0" w:hanging="425"/>
        <w:jc w:val="both"/>
        <w:rPr>
          <w:rFonts w:hint="cs"/>
        </w:rPr>
      </w:pPr>
      <w:r>
        <w:rPr>
          <w:rtl/>
        </w:rPr>
        <w:t>הסיע</w:t>
      </w:r>
      <w:r>
        <w:rPr>
          <w:rFonts w:hint="cs"/>
          <w:rtl/>
        </w:rPr>
        <w:t>ות</w:t>
      </w:r>
      <w:r>
        <w:rPr>
          <w:rtl/>
        </w:rPr>
        <w:t xml:space="preserve"> המקומי</w:t>
      </w:r>
      <w:r>
        <w:rPr>
          <w:rFonts w:hint="cs"/>
          <w:rtl/>
        </w:rPr>
        <w:t>ו</w:t>
      </w:r>
      <w:r>
        <w:rPr>
          <w:rtl/>
        </w:rPr>
        <w:t>ת מ</w:t>
      </w:r>
      <w:r>
        <w:rPr>
          <w:rFonts w:hint="cs"/>
          <w:b/>
          <w:bCs/>
          <w:rtl/>
        </w:rPr>
        <w:t>אריאל</w:t>
      </w:r>
      <w:r>
        <w:rPr>
          <w:rFonts w:hint="cs"/>
          <w:rtl/>
        </w:rPr>
        <w:t>:</w:t>
      </w:r>
      <w:r>
        <w:rPr>
          <w:rFonts w:hint="cs"/>
          <w:b/>
          <w:bCs/>
          <w:rtl/>
        </w:rPr>
        <w:t xml:space="preserve"> יחד צועדים קדימה</w:t>
      </w:r>
      <w:r>
        <w:rPr>
          <w:rtl/>
        </w:rPr>
        <w:t xml:space="preserve"> </w:t>
      </w:r>
      <w:r>
        <w:rPr>
          <w:rFonts w:hint="cs"/>
          <w:rtl/>
        </w:rPr>
        <w:t>ו</w:t>
      </w:r>
      <w:r>
        <w:rPr>
          <w:rFonts w:hint="cs"/>
          <w:b/>
          <w:bCs/>
          <w:rtl/>
        </w:rPr>
        <w:t>כולנו יד אחת בעד גוזי יוסף</w:t>
      </w:r>
      <w:r>
        <w:rPr>
          <w:rtl/>
        </w:rPr>
        <w:t>, מסר</w:t>
      </w:r>
      <w:r>
        <w:rPr>
          <w:rFonts w:hint="cs"/>
          <w:rtl/>
        </w:rPr>
        <w:t xml:space="preserve">ו </w:t>
      </w:r>
      <w:r>
        <w:rPr>
          <w:rtl/>
        </w:rPr>
        <w:t>תצהיר, כי לא היו לה</w:t>
      </w:r>
      <w:r>
        <w:rPr>
          <w:rFonts w:hint="cs"/>
          <w:rtl/>
        </w:rPr>
        <w:t>ן</w:t>
      </w:r>
      <w:r>
        <w:rPr>
          <w:rtl/>
        </w:rPr>
        <w:t xml:space="preserve"> הכנסות והוצאות, לפיכך ניתן דין וחשבון חיובי לגביה</w:t>
      </w:r>
      <w:r>
        <w:rPr>
          <w:rFonts w:hint="cs"/>
          <w:rtl/>
        </w:rPr>
        <w:t>ן</w:t>
      </w:r>
      <w:r>
        <w:rPr>
          <w:rtl/>
        </w:rPr>
        <w:t>.</w:t>
      </w:r>
    </w:p>
    <w:p>
      <w:pPr>
        <w:tabs>
          <w:tab w:val="left" w:pos="368"/>
        </w:tabs>
        <w:ind w:left="368" w:right="0"/>
        <w:jc w:val="left"/>
        <w:rPr>
          <w:rFonts w:hint="cs"/>
          <w:rtl/>
        </w:rPr>
      </w:pPr>
    </w:p>
    <w:p>
      <w:pPr>
        <w:numPr>
          <w:ilvl w:val="0"/>
          <w:numId w:val="20"/>
        </w:numPr>
        <w:tabs>
          <w:tab w:val="left" w:pos="368"/>
          <w:tab w:val="clear" w:pos="728"/>
          <w:tab w:val="num" w:pos="793"/>
        </w:tabs>
        <w:ind w:left="793" w:right="0" w:hanging="425"/>
        <w:jc w:val="both"/>
        <w:rPr>
          <w:rFonts w:hint="cs"/>
        </w:rPr>
      </w:pPr>
      <w:r>
        <w:rPr>
          <w:rtl/>
        </w:rPr>
        <w:t xml:space="preserve">לגבי </w:t>
      </w:r>
      <w:r>
        <w:rPr>
          <w:rFonts w:hint="cs"/>
          <w:rtl/>
        </w:rPr>
        <w:t>שלוש</w:t>
      </w:r>
      <w:r>
        <w:rPr>
          <w:rtl/>
        </w:rPr>
        <w:t xml:space="preserve"> הסיעות המקומיות המפורטות להלן, נמצא, כי לא עמדו באחד או יותר מהתנאים הבאים:</w:t>
      </w:r>
    </w:p>
    <w:p>
      <w:pPr>
        <w:ind w:left="651" w:right="0"/>
        <w:jc w:val="both"/>
        <w:rPr>
          <w:rtl/>
        </w:rPr>
      </w:pPr>
    </w:p>
    <w:p>
      <w:pPr>
        <w:numPr>
          <w:ilvl w:val="0"/>
          <w:numId w:val="16"/>
        </w:numPr>
        <w:ind w:left="907" w:right="0" w:firstLine="169"/>
        <w:jc w:val="both"/>
        <w:rPr>
          <w:rtl/>
        </w:rPr>
      </w:pPr>
      <w:r>
        <w:rPr>
          <w:rtl/>
        </w:rPr>
        <w:t>לא ניהלו מערכת חשבונות לפי הנחיות מבקר המדינה;</w:t>
      </w:r>
    </w:p>
    <w:p>
      <w:pPr>
        <w:numPr>
          <w:ilvl w:val="0"/>
          <w:numId w:val="16"/>
        </w:numPr>
        <w:ind w:left="907" w:right="0" w:firstLine="169"/>
        <w:jc w:val="both"/>
        <w:rPr>
          <w:rtl/>
        </w:rPr>
      </w:pPr>
      <w:r>
        <w:rPr>
          <w:rtl/>
        </w:rPr>
        <w:t>הוצאות הבחירות שלהן בתקופת הבחירות לא היו בגבולות האמורים בתקנון;</w:t>
      </w:r>
    </w:p>
    <w:p>
      <w:pPr>
        <w:numPr>
          <w:ilvl w:val="0"/>
          <w:numId w:val="16"/>
        </w:numPr>
        <w:ind w:left="907" w:right="0" w:firstLine="169"/>
        <w:jc w:val="both"/>
        <w:rPr>
          <w:rtl/>
        </w:rPr>
      </w:pPr>
      <w:r>
        <w:rPr>
          <w:rtl/>
        </w:rPr>
        <w:t>ההכנסות שלהן בתקופת הבחירות לא עמדו בהגבלות על-פי התקנון.</w:t>
      </w:r>
    </w:p>
    <w:p>
      <w:pPr>
        <w:ind w:left="0" w:right="0"/>
        <w:jc w:val="left"/>
        <w:rPr>
          <w:rtl/>
        </w:rPr>
      </w:pPr>
      <w:r>
        <w:rPr>
          <w:rtl/>
        </w:rPr>
        <w:br w:type="page"/>
      </w:r>
    </w:p>
    <w:p>
      <w:pPr>
        <w:ind w:left="509" w:right="0"/>
        <w:jc w:val="both"/>
        <w:rPr>
          <w:rtl/>
        </w:rPr>
      </w:pPr>
      <w:r>
        <w:rPr>
          <w:rtl/>
        </w:rPr>
        <w:t>לפיכך, ניתן דין וחשבון שאינו חיובי לגבי חשבונותיה של כל אחת מהסיעות המקומיות המפורטות להלן:</w:t>
      </w:r>
    </w:p>
    <w:p>
      <w:pPr>
        <w:ind w:left="509" w:right="0"/>
        <w:jc w:val="left"/>
        <w:rPr>
          <w:rtl/>
        </w:rPr>
      </w:pPr>
    </w:p>
    <w:p>
      <w:pPr>
        <w:ind w:left="509" w:right="0"/>
        <w:jc w:val="both"/>
        <w:rPr>
          <w:rtl/>
        </w:rPr>
      </w:pPr>
      <w:r>
        <w:rPr>
          <w:rtl/>
        </w:rPr>
        <w:t>בהתחשב באופי החריגה ובהיקפה החלטתי להשתמש בסמכותי לפי סעיף 23(ה) לחוק, ולהמליץ להשית על כל אחת מהסיעות המקומיות המפורטות להלן שלילת השלמת מימון של הוצאות הבחירות בשיעור הנקוב ליד שמה ולא את כל היתרה בשיעור של 15%:</w:t>
      </w:r>
    </w:p>
    <w:p>
      <w:pPr>
        <w:ind w:left="509" w:right="0"/>
        <w:jc w:val="both"/>
        <w:rPr>
          <w:rFonts w:hint="cs"/>
          <w:rtl/>
        </w:rPr>
      </w:pPr>
    </w:p>
    <w:p>
      <w:pPr>
        <w:ind w:left="509" w:right="0"/>
        <w:jc w:val="both"/>
        <w:rPr>
          <w:rFonts w:hint="cs"/>
          <w:rtl/>
        </w:rPr>
      </w:pPr>
    </w:p>
    <w:tbl>
      <w:tblPr>
        <w:tblW w:w="9356" w:type="dxa"/>
        <w:jc w:val="righ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
      <w:tblGrid>
        <w:gridCol w:w="1560"/>
        <w:gridCol w:w="1701"/>
        <w:gridCol w:w="1559"/>
        <w:gridCol w:w="1559"/>
        <w:gridCol w:w="1418"/>
        <w:gridCol w:w="1134"/>
        <w:gridCol w:w="425"/>
      </w:tblGrid>
      <w:tr>
        <w:tblPrEx>
          <w:tblW w:w="9356" w:type="dxa"/>
          <w:jc w:val="righ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jc w:val="right"/>
        </w:trPr>
        <w:tc>
          <w:tcPr>
            <w:tcW w:w="1560" w:type="dxa"/>
          </w:tcPr>
          <w:p>
            <w:pPr>
              <w:ind w:left="0" w:right="0"/>
              <w:jc w:val="center"/>
              <w:rPr>
                <w:b/>
                <w:bCs/>
                <w:szCs w:val="20"/>
                <w:rtl/>
              </w:rPr>
            </w:pPr>
            <w:r>
              <w:rPr>
                <w:b/>
                <w:bCs/>
                <w:szCs w:val="20"/>
                <w:rtl/>
              </w:rPr>
              <w:t xml:space="preserve">סנקציה מומלצת ב-%* בגין חריגה </w:t>
            </w:r>
          </w:p>
        </w:tc>
        <w:tc>
          <w:tcPr>
            <w:tcW w:w="1701" w:type="dxa"/>
          </w:tcPr>
          <w:p>
            <w:pPr>
              <w:ind w:left="0" w:right="0"/>
              <w:jc w:val="center"/>
              <w:rPr>
                <w:b/>
                <w:bCs/>
                <w:szCs w:val="20"/>
                <w:rtl/>
              </w:rPr>
            </w:pPr>
            <w:r>
              <w:rPr>
                <w:b/>
                <w:bCs/>
                <w:szCs w:val="20"/>
                <w:rtl/>
              </w:rPr>
              <w:t>עמידה בתיקרת הוצאות</w:t>
            </w:r>
          </w:p>
        </w:tc>
        <w:tc>
          <w:tcPr>
            <w:tcW w:w="1559" w:type="dxa"/>
          </w:tcPr>
          <w:p>
            <w:pPr>
              <w:ind w:left="0" w:right="0"/>
              <w:jc w:val="center"/>
              <w:rPr>
                <w:b/>
                <w:bCs/>
                <w:szCs w:val="20"/>
                <w:rtl/>
              </w:rPr>
            </w:pPr>
            <w:r>
              <w:rPr>
                <w:b/>
                <w:bCs/>
                <w:szCs w:val="20"/>
                <w:rtl/>
              </w:rPr>
              <w:t>עמידה בהגבלת הכנסות</w:t>
            </w:r>
          </w:p>
        </w:tc>
        <w:tc>
          <w:tcPr>
            <w:tcW w:w="1559" w:type="dxa"/>
          </w:tcPr>
          <w:p>
            <w:pPr>
              <w:ind w:left="0" w:right="0"/>
              <w:jc w:val="center"/>
              <w:rPr>
                <w:b/>
                <w:bCs/>
                <w:szCs w:val="20"/>
                <w:rtl/>
              </w:rPr>
            </w:pPr>
            <w:r>
              <w:rPr>
                <w:b/>
                <w:bCs/>
                <w:szCs w:val="20"/>
                <w:rtl/>
              </w:rPr>
              <w:t>עמידה בהנחיות מ"ה</w:t>
            </w:r>
          </w:p>
        </w:tc>
        <w:tc>
          <w:tcPr>
            <w:tcW w:w="1418" w:type="dxa"/>
          </w:tcPr>
          <w:p>
            <w:pPr>
              <w:pStyle w:val="Heading3"/>
              <w:spacing w:line="240" w:lineRule="auto"/>
              <w:ind w:left="0" w:right="0"/>
              <w:jc w:val="left"/>
              <w:rPr>
                <w:szCs w:val="20"/>
                <w:rtl/>
              </w:rPr>
            </w:pPr>
            <w:r>
              <w:rPr>
                <w:szCs w:val="20"/>
                <w:rtl/>
              </w:rPr>
              <w:t>הסיעה המקומית</w:t>
            </w:r>
          </w:p>
        </w:tc>
        <w:tc>
          <w:tcPr>
            <w:tcW w:w="1134" w:type="dxa"/>
          </w:tcPr>
          <w:p>
            <w:pPr>
              <w:ind w:left="0" w:right="0"/>
              <w:jc w:val="left"/>
              <w:rPr>
                <w:b/>
                <w:bCs/>
                <w:szCs w:val="20"/>
                <w:rtl/>
              </w:rPr>
            </w:pPr>
            <w:r>
              <w:rPr>
                <w:b/>
                <w:bCs/>
                <w:szCs w:val="20"/>
                <w:rtl/>
              </w:rPr>
              <w:t>הרשות המקומית</w:t>
            </w:r>
          </w:p>
        </w:tc>
        <w:tc>
          <w:tcPr>
            <w:tcW w:w="425" w:type="dxa"/>
          </w:tcPr>
          <w:p>
            <w:pPr>
              <w:ind w:left="0" w:right="0"/>
              <w:jc w:val="left"/>
              <w:rPr>
                <w:b/>
                <w:bCs/>
                <w:szCs w:val="20"/>
                <w:rtl/>
              </w:rPr>
            </w:pPr>
          </w:p>
        </w:tc>
      </w:tr>
      <w:tr>
        <w:tblPrEx>
          <w:tblW w:w="9356" w:type="dxa"/>
          <w:jc w:val="right"/>
          <w:tblInd w:w="-375" w:type="dxa"/>
          <w:tblLayout w:type="fixed"/>
          <w:tblCellMar>
            <w:left w:w="108" w:type="dxa"/>
            <w:right w:w="108" w:type="dxa"/>
          </w:tblCellMar>
          <w:tblLook w:val="0000"/>
        </w:tblPrEx>
        <w:trPr>
          <w:jc w:val="right"/>
        </w:trPr>
        <w:tc>
          <w:tcPr>
            <w:tcW w:w="1560" w:type="dxa"/>
          </w:tcPr>
          <w:p>
            <w:pPr>
              <w:ind w:left="0" w:right="0"/>
              <w:jc w:val="center"/>
              <w:rPr>
                <w:rFonts w:hint="cs"/>
                <w:szCs w:val="20"/>
                <w:rtl/>
              </w:rPr>
            </w:pPr>
            <w:r>
              <w:rPr>
                <w:rFonts w:hint="cs"/>
                <w:szCs w:val="20"/>
                <w:rtl/>
              </w:rPr>
              <w:t>2</w:t>
            </w:r>
          </w:p>
        </w:tc>
        <w:tc>
          <w:tcPr>
            <w:tcW w:w="1701" w:type="dxa"/>
          </w:tcPr>
          <w:p>
            <w:pPr>
              <w:ind w:left="0" w:right="0"/>
              <w:jc w:val="center"/>
              <w:rPr>
                <w:szCs w:val="20"/>
                <w:rtl/>
              </w:rPr>
            </w:pPr>
            <w:r>
              <w:rPr>
                <w:szCs w:val="20"/>
                <w:rtl/>
              </w:rPr>
              <w:t>+</w:t>
            </w:r>
          </w:p>
        </w:tc>
        <w:tc>
          <w:tcPr>
            <w:tcW w:w="1559" w:type="dxa"/>
          </w:tcPr>
          <w:p>
            <w:pPr>
              <w:ind w:left="0" w:right="0"/>
              <w:jc w:val="center"/>
              <w:rPr>
                <w:szCs w:val="20"/>
                <w:rtl/>
              </w:rPr>
            </w:pPr>
            <w:r>
              <w:rPr>
                <w:szCs w:val="20"/>
                <w:rtl/>
              </w:rPr>
              <w:t>+</w:t>
            </w:r>
          </w:p>
        </w:tc>
        <w:tc>
          <w:tcPr>
            <w:tcW w:w="1559" w:type="dxa"/>
          </w:tcPr>
          <w:p>
            <w:pPr>
              <w:ind w:left="0" w:right="0"/>
              <w:jc w:val="center"/>
              <w:rPr>
                <w:rFonts w:hint="cs"/>
                <w:szCs w:val="20"/>
                <w:rtl/>
              </w:rPr>
            </w:pPr>
            <w:r>
              <w:rPr>
                <w:rFonts w:hint="cs"/>
                <w:szCs w:val="20"/>
                <w:rtl/>
              </w:rPr>
              <w:t>_</w:t>
            </w:r>
          </w:p>
        </w:tc>
        <w:tc>
          <w:tcPr>
            <w:tcW w:w="1418" w:type="dxa"/>
          </w:tcPr>
          <w:p>
            <w:pPr>
              <w:pStyle w:val="Heading3"/>
              <w:spacing w:line="240" w:lineRule="auto"/>
              <w:ind w:left="0" w:right="0"/>
              <w:jc w:val="left"/>
              <w:rPr>
                <w:rFonts w:hint="cs"/>
                <w:b w:val="0"/>
                <w:bCs w:val="0"/>
                <w:szCs w:val="20"/>
                <w:rtl/>
              </w:rPr>
            </w:pPr>
            <w:r>
              <w:rPr>
                <w:rFonts w:hint="cs"/>
                <w:b w:val="0"/>
                <w:bCs w:val="0"/>
                <w:szCs w:val="20"/>
                <w:rtl/>
              </w:rPr>
              <w:t>אנשים למען תושבי אפרת</w:t>
            </w:r>
          </w:p>
        </w:tc>
        <w:tc>
          <w:tcPr>
            <w:tcW w:w="1134" w:type="dxa"/>
          </w:tcPr>
          <w:p>
            <w:pPr>
              <w:ind w:left="0" w:right="0"/>
              <w:jc w:val="left"/>
              <w:rPr>
                <w:rFonts w:hint="cs"/>
                <w:szCs w:val="20"/>
                <w:rtl/>
              </w:rPr>
            </w:pPr>
            <w:r>
              <w:rPr>
                <w:rFonts w:hint="cs"/>
                <w:szCs w:val="20"/>
                <w:rtl/>
              </w:rPr>
              <w:t>אפרתה</w:t>
            </w:r>
          </w:p>
        </w:tc>
        <w:tc>
          <w:tcPr>
            <w:tcW w:w="425" w:type="dxa"/>
          </w:tcPr>
          <w:p>
            <w:pPr>
              <w:pStyle w:val="Header"/>
              <w:tabs>
                <w:tab w:val="clear" w:pos="4153"/>
                <w:tab w:val="clear" w:pos="8306"/>
              </w:tabs>
              <w:ind w:left="0" w:right="0"/>
              <w:jc w:val="left"/>
              <w:rPr>
                <w:szCs w:val="20"/>
                <w:rtl/>
              </w:rPr>
            </w:pPr>
            <w:r>
              <w:rPr>
                <w:szCs w:val="20"/>
                <w:rtl/>
              </w:rPr>
              <w:t>1.</w:t>
            </w:r>
          </w:p>
        </w:tc>
      </w:tr>
      <w:tr>
        <w:tblPrEx>
          <w:tblW w:w="9356" w:type="dxa"/>
          <w:jc w:val="right"/>
          <w:tblInd w:w="-375" w:type="dxa"/>
          <w:tblLayout w:type="fixed"/>
          <w:tblCellMar>
            <w:left w:w="108" w:type="dxa"/>
            <w:right w:w="108" w:type="dxa"/>
          </w:tblCellMar>
          <w:tblLook w:val="0000"/>
        </w:tblPrEx>
        <w:trPr>
          <w:jc w:val="right"/>
        </w:trPr>
        <w:tc>
          <w:tcPr>
            <w:tcW w:w="1560" w:type="dxa"/>
          </w:tcPr>
          <w:p>
            <w:pPr>
              <w:ind w:left="0" w:right="0"/>
              <w:jc w:val="center"/>
              <w:rPr>
                <w:rFonts w:hint="cs"/>
                <w:szCs w:val="20"/>
                <w:rtl/>
              </w:rPr>
            </w:pPr>
            <w:r>
              <w:rPr>
                <w:rFonts w:hint="cs"/>
                <w:szCs w:val="20"/>
                <w:rtl/>
              </w:rPr>
              <w:t>3</w:t>
            </w:r>
          </w:p>
        </w:tc>
        <w:tc>
          <w:tcPr>
            <w:tcW w:w="1701" w:type="dxa"/>
          </w:tcPr>
          <w:p>
            <w:pPr>
              <w:ind w:left="0" w:right="0"/>
              <w:jc w:val="center"/>
              <w:rPr>
                <w:szCs w:val="20"/>
                <w:rtl/>
              </w:rPr>
            </w:pPr>
            <w:r>
              <w:rPr>
                <w:szCs w:val="20"/>
                <w:rtl/>
              </w:rPr>
              <w:t>+</w:t>
            </w:r>
          </w:p>
        </w:tc>
        <w:tc>
          <w:tcPr>
            <w:tcW w:w="1559" w:type="dxa"/>
          </w:tcPr>
          <w:p>
            <w:pPr>
              <w:ind w:left="0" w:right="0"/>
              <w:jc w:val="center"/>
              <w:rPr>
                <w:rFonts w:hint="cs"/>
                <w:szCs w:val="20"/>
                <w:rtl/>
              </w:rPr>
            </w:pPr>
            <w:r>
              <w:rPr>
                <w:rFonts w:hint="cs"/>
                <w:szCs w:val="20"/>
                <w:rtl/>
              </w:rPr>
              <w:t>_</w:t>
            </w:r>
          </w:p>
        </w:tc>
        <w:tc>
          <w:tcPr>
            <w:tcW w:w="1559" w:type="dxa"/>
          </w:tcPr>
          <w:p>
            <w:pPr>
              <w:ind w:left="0" w:right="0"/>
              <w:jc w:val="center"/>
              <w:rPr>
                <w:rFonts w:hint="cs"/>
                <w:szCs w:val="20"/>
                <w:rtl/>
              </w:rPr>
            </w:pPr>
            <w:r>
              <w:rPr>
                <w:rFonts w:hint="cs"/>
                <w:szCs w:val="20"/>
                <w:rtl/>
              </w:rPr>
              <w:t>+</w:t>
            </w:r>
          </w:p>
        </w:tc>
        <w:tc>
          <w:tcPr>
            <w:tcW w:w="1418" w:type="dxa"/>
          </w:tcPr>
          <w:p>
            <w:pPr>
              <w:pStyle w:val="Heading3"/>
              <w:spacing w:line="240" w:lineRule="auto"/>
              <w:ind w:left="0" w:right="0"/>
              <w:jc w:val="left"/>
              <w:rPr>
                <w:rFonts w:hint="cs"/>
                <w:b w:val="0"/>
                <w:bCs w:val="0"/>
                <w:szCs w:val="20"/>
                <w:rtl/>
              </w:rPr>
            </w:pPr>
            <w:r>
              <w:rPr>
                <w:rFonts w:hint="cs"/>
                <w:b w:val="0"/>
                <w:bCs w:val="0"/>
                <w:szCs w:val="20"/>
                <w:rtl/>
              </w:rPr>
              <w:t>אפרת ולענין</w:t>
            </w:r>
          </w:p>
        </w:tc>
        <w:tc>
          <w:tcPr>
            <w:tcW w:w="1134" w:type="dxa"/>
          </w:tcPr>
          <w:p>
            <w:pPr>
              <w:ind w:left="0" w:right="0"/>
              <w:jc w:val="left"/>
              <w:rPr>
                <w:rFonts w:hint="cs"/>
                <w:szCs w:val="20"/>
                <w:rtl/>
              </w:rPr>
            </w:pPr>
            <w:r>
              <w:rPr>
                <w:rFonts w:hint="cs"/>
                <w:szCs w:val="20"/>
                <w:rtl/>
              </w:rPr>
              <w:t>אפרתה</w:t>
            </w:r>
          </w:p>
        </w:tc>
        <w:tc>
          <w:tcPr>
            <w:tcW w:w="425" w:type="dxa"/>
          </w:tcPr>
          <w:p>
            <w:pPr>
              <w:ind w:left="0" w:right="0"/>
              <w:jc w:val="left"/>
              <w:rPr>
                <w:szCs w:val="20"/>
                <w:rtl/>
              </w:rPr>
            </w:pPr>
            <w:r>
              <w:rPr>
                <w:szCs w:val="20"/>
                <w:rtl/>
              </w:rPr>
              <w:t>2.</w:t>
            </w:r>
          </w:p>
        </w:tc>
      </w:tr>
      <w:tr>
        <w:tblPrEx>
          <w:tblW w:w="9356" w:type="dxa"/>
          <w:jc w:val="right"/>
          <w:tblInd w:w="-375" w:type="dxa"/>
          <w:tblLayout w:type="fixed"/>
          <w:tblCellMar>
            <w:left w:w="108" w:type="dxa"/>
            <w:right w:w="108" w:type="dxa"/>
          </w:tblCellMar>
          <w:tblLook w:val="0000"/>
        </w:tblPrEx>
        <w:trPr>
          <w:jc w:val="right"/>
        </w:trPr>
        <w:tc>
          <w:tcPr>
            <w:tcW w:w="1560" w:type="dxa"/>
          </w:tcPr>
          <w:p>
            <w:pPr>
              <w:ind w:left="0" w:right="0"/>
              <w:jc w:val="center"/>
              <w:rPr>
                <w:szCs w:val="20"/>
                <w:rtl/>
              </w:rPr>
            </w:pPr>
            <w:r>
              <w:rPr>
                <w:szCs w:val="20"/>
                <w:rtl/>
              </w:rPr>
              <w:t>**</w:t>
            </w:r>
          </w:p>
        </w:tc>
        <w:tc>
          <w:tcPr>
            <w:tcW w:w="1701" w:type="dxa"/>
          </w:tcPr>
          <w:p>
            <w:pPr>
              <w:ind w:left="0" w:right="0"/>
              <w:jc w:val="center"/>
              <w:rPr>
                <w:szCs w:val="20"/>
                <w:rtl/>
              </w:rPr>
            </w:pPr>
            <w:r>
              <w:rPr>
                <w:szCs w:val="20"/>
                <w:rtl/>
              </w:rPr>
              <w:t>+</w:t>
            </w:r>
          </w:p>
        </w:tc>
        <w:tc>
          <w:tcPr>
            <w:tcW w:w="1559" w:type="dxa"/>
          </w:tcPr>
          <w:p>
            <w:pPr>
              <w:ind w:left="0" w:right="0"/>
              <w:jc w:val="center"/>
              <w:rPr>
                <w:rFonts w:hint="cs"/>
                <w:szCs w:val="20"/>
                <w:rtl/>
              </w:rPr>
            </w:pPr>
            <w:r>
              <w:rPr>
                <w:rFonts w:hint="cs"/>
                <w:szCs w:val="20"/>
                <w:rtl/>
              </w:rPr>
              <w:t>_</w:t>
            </w:r>
          </w:p>
        </w:tc>
        <w:tc>
          <w:tcPr>
            <w:tcW w:w="1559" w:type="dxa"/>
          </w:tcPr>
          <w:p>
            <w:pPr>
              <w:ind w:left="0" w:right="0"/>
              <w:jc w:val="center"/>
              <w:rPr>
                <w:rFonts w:hint="cs"/>
                <w:szCs w:val="20"/>
                <w:rtl/>
              </w:rPr>
            </w:pPr>
            <w:r>
              <w:rPr>
                <w:rFonts w:hint="cs"/>
                <w:szCs w:val="20"/>
                <w:rtl/>
              </w:rPr>
              <w:t>+</w:t>
            </w:r>
          </w:p>
        </w:tc>
        <w:tc>
          <w:tcPr>
            <w:tcW w:w="1418" w:type="dxa"/>
          </w:tcPr>
          <w:p>
            <w:pPr>
              <w:pStyle w:val="Heading3"/>
              <w:spacing w:line="240" w:lineRule="auto"/>
              <w:ind w:left="0" w:right="0"/>
              <w:jc w:val="left"/>
              <w:rPr>
                <w:b w:val="0"/>
                <w:bCs w:val="0"/>
                <w:szCs w:val="20"/>
                <w:rtl/>
              </w:rPr>
            </w:pPr>
            <w:r>
              <w:rPr>
                <w:rFonts w:hint="cs"/>
                <w:b w:val="0"/>
                <w:bCs w:val="0"/>
                <w:szCs w:val="20"/>
                <w:rtl/>
              </w:rPr>
              <w:t>ארי</w:t>
            </w:r>
            <w:r>
              <w:rPr>
                <w:b w:val="0"/>
                <w:bCs w:val="0"/>
                <w:szCs w:val="20"/>
                <w:rtl/>
              </w:rPr>
              <w:t>אל אחת</w:t>
            </w:r>
          </w:p>
        </w:tc>
        <w:tc>
          <w:tcPr>
            <w:tcW w:w="1134" w:type="dxa"/>
          </w:tcPr>
          <w:p>
            <w:pPr>
              <w:ind w:left="0" w:right="0"/>
              <w:jc w:val="left"/>
              <w:rPr>
                <w:rFonts w:hint="cs"/>
                <w:szCs w:val="20"/>
                <w:rtl/>
              </w:rPr>
            </w:pPr>
            <w:r>
              <w:rPr>
                <w:rFonts w:hint="cs"/>
                <w:szCs w:val="20"/>
                <w:rtl/>
              </w:rPr>
              <w:t>אריאל</w:t>
            </w:r>
          </w:p>
        </w:tc>
        <w:tc>
          <w:tcPr>
            <w:tcW w:w="425" w:type="dxa"/>
          </w:tcPr>
          <w:p>
            <w:pPr>
              <w:ind w:left="0" w:right="0"/>
              <w:jc w:val="left"/>
              <w:rPr>
                <w:szCs w:val="20"/>
                <w:rtl/>
              </w:rPr>
            </w:pPr>
            <w:r>
              <w:rPr>
                <w:szCs w:val="20"/>
                <w:rtl/>
              </w:rPr>
              <w:t>3.</w:t>
            </w:r>
          </w:p>
        </w:tc>
      </w:tr>
    </w:tbl>
    <w:p>
      <w:pPr>
        <w:ind w:left="651" w:right="0"/>
        <w:jc w:val="left"/>
        <w:rPr>
          <w:rFonts w:hint="cs"/>
          <w:szCs w:val="20"/>
          <w:rtl/>
        </w:rPr>
      </w:pPr>
    </w:p>
    <w:p>
      <w:pPr>
        <w:ind w:left="651" w:right="0"/>
        <w:jc w:val="left"/>
        <w:rPr>
          <w:rFonts w:hint="cs"/>
          <w:szCs w:val="20"/>
          <w:rtl/>
        </w:rPr>
      </w:pPr>
    </w:p>
    <w:p>
      <w:pPr>
        <w:ind w:left="84" w:right="0"/>
        <w:jc w:val="left"/>
        <w:rPr>
          <w:sz w:val="24"/>
          <w:u w:val="single"/>
          <w:rtl/>
        </w:rPr>
      </w:pPr>
      <w:r>
        <w:rPr>
          <w:sz w:val="24"/>
          <w:rtl/>
        </w:rPr>
        <w:t>_______________</w:t>
        <w:tab/>
        <w:tab/>
        <w:tab/>
        <w:tab/>
        <w:tab/>
      </w:r>
      <w:r>
        <w:rPr>
          <w:sz w:val="24"/>
          <w:u w:val="single"/>
          <w:rtl/>
        </w:rPr>
        <w:t>מקראה</w:t>
      </w:r>
    </w:p>
    <w:p>
      <w:pPr>
        <w:ind w:left="84" w:right="0"/>
        <w:jc w:val="left"/>
        <w:rPr>
          <w:sz w:val="24"/>
          <w:rtl/>
        </w:rPr>
      </w:pPr>
      <w:r>
        <w:rPr>
          <w:sz w:val="24"/>
          <w:rtl/>
        </w:rPr>
        <w:t>* אחוז מכלל המימון המגיע.</w:t>
        <w:tab/>
        <w:tab/>
        <w:tab/>
        <w:tab/>
        <w:t>מ"ה - מבקר המדינה;</w:t>
      </w:r>
    </w:p>
    <w:p>
      <w:pPr>
        <w:ind w:left="84" w:right="0"/>
        <w:jc w:val="left"/>
        <w:rPr>
          <w:sz w:val="24"/>
          <w:rtl/>
        </w:rPr>
      </w:pPr>
      <w:r>
        <w:rPr>
          <w:sz w:val="24"/>
          <w:rtl/>
        </w:rPr>
        <w:t>** הסיעה המקומית אינה זכאית למימון מאוצר מדינת ישראל.</w:t>
        <w:tab/>
        <w:t>"+" - הסיעה המקומית עמדה בהגבלה</w:t>
      </w:r>
    </w:p>
    <w:p>
      <w:pPr>
        <w:ind w:left="84" w:right="0"/>
        <w:jc w:val="left"/>
        <w:rPr>
          <w:sz w:val="24"/>
          <w:rtl/>
        </w:rPr>
      </w:pPr>
      <w:r>
        <w:rPr>
          <w:sz w:val="24"/>
          <w:rtl/>
        </w:rPr>
        <w:tab/>
        <w:tab/>
        <w:tab/>
        <w:tab/>
        <w:tab/>
        <w:tab/>
        <w:tab/>
        <w:t>"-" - הסיעה המקומית לא עמדה בהגבלה</w:t>
      </w:r>
    </w:p>
    <w:p>
      <w:pPr>
        <w:ind w:left="651" w:right="0"/>
        <w:jc w:val="left"/>
        <w:rPr>
          <w:rtl/>
        </w:rPr>
      </w:pPr>
    </w:p>
    <w:p>
      <w:pPr>
        <w:ind w:left="651" w:right="0"/>
        <w:jc w:val="left"/>
        <w:rPr>
          <w:rtl/>
        </w:rPr>
      </w:pPr>
    </w:p>
    <w:p>
      <w:pPr>
        <w:ind w:left="0" w:right="0"/>
        <w:jc w:val="both"/>
        <w:rPr>
          <w:rtl/>
        </w:rPr>
      </w:pPr>
    </w:p>
    <w:p>
      <w:pPr>
        <w:numPr>
          <w:ilvl w:val="0"/>
          <w:numId w:val="3"/>
        </w:numPr>
        <w:tabs>
          <w:tab w:val="num" w:pos="368"/>
          <w:tab w:val="clear" w:pos="648"/>
        </w:tabs>
        <w:ind w:left="368" w:right="0" w:hanging="284"/>
        <w:jc w:val="both"/>
        <w:rPr>
          <w:rtl/>
        </w:rPr>
      </w:pPr>
      <w:r>
        <w:rPr>
          <w:rtl/>
        </w:rPr>
        <w:t xml:space="preserve">בד בבד עם מסירת דוח זה ליושב ראש כנסת ישראל, הוא מומצא, לפעולה, לממונה על הישובים הישראלים ביהודה ובשומרון. </w:t>
      </w:r>
    </w:p>
    <w:p>
      <w:pPr>
        <w:ind w:left="0" w:right="0"/>
        <w:jc w:val="left"/>
        <w:rPr>
          <w:rtl/>
        </w:rPr>
      </w:pPr>
    </w:p>
    <w:p>
      <w:pPr>
        <w:ind w:left="0" w:right="0"/>
        <w:jc w:val="left"/>
        <w:rPr>
          <w:rFonts w:hint="cs"/>
          <w:rtl/>
        </w:rPr>
      </w:pPr>
    </w:p>
    <w:p>
      <w:pPr>
        <w:ind w:left="0" w:right="0"/>
        <w:jc w:val="left"/>
        <w:rPr>
          <w:rFonts w:hint="cs"/>
          <w:rtl/>
        </w:rPr>
      </w:pPr>
    </w:p>
    <w:p>
      <w:pPr>
        <w:pStyle w:val="Heading2"/>
        <w:tabs>
          <w:tab w:val="center" w:pos="6321"/>
        </w:tabs>
        <w:ind w:left="0" w:right="0"/>
        <w:jc w:val="left"/>
        <w:rPr>
          <w:rtl/>
        </w:rPr>
      </w:pPr>
      <w:r>
        <w:rPr>
          <w:rtl/>
        </w:rPr>
        <w:tab/>
        <w:t>אליעזר גולדברג</w:t>
      </w:r>
    </w:p>
    <w:p>
      <w:pPr>
        <w:ind w:left="0" w:right="0"/>
        <w:jc w:val="left"/>
        <w:rPr>
          <w:rtl/>
        </w:rPr>
      </w:pPr>
    </w:p>
    <w:p>
      <w:pPr>
        <w:ind w:left="0" w:right="0"/>
        <w:jc w:val="left"/>
        <w:rPr>
          <w:rtl/>
        </w:rPr>
      </w:pPr>
    </w:p>
    <w:p>
      <w:pPr>
        <w:tabs>
          <w:tab w:val="center" w:pos="6321"/>
        </w:tabs>
        <w:ind w:left="0" w:right="0"/>
        <w:jc w:val="left"/>
        <w:rPr>
          <w:rtl/>
        </w:rPr>
      </w:pPr>
      <w:r>
        <w:rPr>
          <w:rtl/>
        </w:rPr>
        <w:tab/>
        <w:t>מבקר המדינה</w:t>
      </w:r>
    </w:p>
    <w:p>
      <w:pPr>
        <w:ind w:left="0" w:right="0"/>
        <w:jc w:val="left"/>
        <w:rPr>
          <w:rtl/>
        </w:rPr>
      </w:pPr>
      <w:r>
        <w:rPr>
          <w:rtl/>
        </w:rPr>
        <w:tab/>
      </w:r>
    </w:p>
    <w:p>
      <w:pPr>
        <w:tabs>
          <w:tab w:val="left" w:pos="5896"/>
        </w:tabs>
        <w:ind w:left="0" w:right="0"/>
        <w:jc w:val="left"/>
        <w:rPr>
          <w:rtl/>
        </w:rPr>
      </w:pPr>
    </w:p>
    <w:p>
      <w:pPr>
        <w:tabs>
          <w:tab w:val="left" w:pos="5896"/>
        </w:tabs>
        <w:ind w:left="0" w:right="0"/>
        <w:jc w:val="left"/>
        <w:rPr>
          <w:rFonts w:hint="cs"/>
          <w:rtl/>
        </w:rPr>
      </w:pPr>
      <w:r>
        <w:rPr>
          <w:rtl/>
        </w:rPr>
        <w:t xml:space="preserve">ירושלים, </w:t>
      </w:r>
      <w:r>
        <w:rPr>
          <w:rFonts w:hint="cs"/>
          <w:rtl/>
        </w:rPr>
        <w:t>ז</w:t>
      </w:r>
      <w:r>
        <w:rPr>
          <w:rtl/>
        </w:rPr>
        <w:t>' ב</w:t>
      </w:r>
      <w:r>
        <w:rPr>
          <w:rFonts w:hint="cs"/>
          <w:rtl/>
        </w:rPr>
        <w:t>שבט</w:t>
      </w:r>
      <w:r>
        <w:rPr>
          <w:rtl/>
        </w:rPr>
        <w:t xml:space="preserve"> התשס"</w:t>
      </w:r>
      <w:r>
        <w:rPr>
          <w:rFonts w:hint="cs"/>
          <w:rtl/>
        </w:rPr>
        <w:t>א</w:t>
      </w:r>
    </w:p>
    <w:p>
      <w:pPr>
        <w:ind w:left="0" w:right="0"/>
        <w:jc w:val="left"/>
        <w:rPr>
          <w:rFonts w:hint="cs"/>
        </w:rPr>
      </w:pPr>
      <w:r>
        <w:rPr>
          <w:rFonts w:hint="cs"/>
          <w:rtl/>
        </w:rPr>
        <w:tab/>
        <w:t xml:space="preserve"> 31</w:t>
      </w:r>
      <w:r>
        <w:rPr>
          <w:rtl/>
        </w:rPr>
        <w:t xml:space="preserve"> בי</w:t>
      </w:r>
      <w:r>
        <w:rPr>
          <w:rFonts w:hint="cs"/>
          <w:rtl/>
        </w:rPr>
        <w:t>נואר</w:t>
      </w:r>
      <w:r>
        <w:rPr>
          <w:rtl/>
        </w:rPr>
        <w:t xml:space="preserve"> 200</w:t>
      </w:r>
      <w:r>
        <w:rPr>
          <w:rFonts w:hint="cs"/>
          <w:rtl/>
        </w:rPr>
        <w:t>1</w:t>
      </w:r>
    </w:p>
    <w:sectPr>
      <w:headerReference w:type="even" r:id="rId6"/>
      <w:headerReference w:type="default" r:id="rId7"/>
      <w:footerReference w:type="even" r:id="rId8"/>
      <w:footerReference w:type="default" r:id="rId9"/>
      <w:pgSz w:w="11906" w:h="16838"/>
      <w:pgMar w:top="1440" w:right="1800" w:bottom="1440" w:left="1800" w:header="720" w:footer="720" w:gutter="0"/>
      <w:cols w:space="720"/>
      <w:titlePg/>
      <w:bidi/>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00003A87" w:usb1="00000000" w:usb2="00000000" w:usb3="00000000" w:csb0="000000FF"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Footer"/>
      <w:ind w:left="0" w:right="360"/>
      <w:jc w:val="lef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360"/>
      <w:jc w:val="left"/>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pPr>
        <w:pStyle w:val="FootnoteText"/>
        <w:ind w:left="0" w:right="0"/>
        <w:jc w:val="left"/>
        <w:rPr>
          <w:rtl/>
        </w:rPr>
      </w:pPr>
      <w:r>
        <w:rPr>
          <w:rStyle w:val="FootnoteReference"/>
          <w:rtl/>
        </w:rPr>
        <w:t>*</w:t>
      </w:r>
      <w:r>
        <w:rPr>
          <w:rFonts w:cs="Miriam"/>
          <w:rtl/>
        </w:rPr>
        <w:t xml:space="preserve"> אחוז מכלל המימון המגיע.</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left"/>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lef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5</w:t>
    </w:r>
    <w:r>
      <w:rPr>
        <w:rStyle w:val="PageNumber"/>
        <w:rtl/>
      </w:rPr>
      <w:fldChar w:fldCharType="end"/>
    </w:r>
  </w:p>
  <w:p>
    <w:pPr>
      <w:pStyle w:val="Header"/>
      <w:ind w:left="0" w:right="0"/>
      <w:jc w:val="cent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4711"/>
    <w:multiLevelType w:val="singleLevel"/>
    <w:tmpl w:val="5FA0D110"/>
    <w:lvl w:ilvl="0">
      <w:start w:val="1"/>
      <w:numFmt w:val="decimal"/>
      <w:lvlText w:val="(%1)"/>
      <w:lvlJc w:val="center"/>
      <w:pPr>
        <w:tabs>
          <w:tab w:val="num" w:pos="648"/>
        </w:tabs>
        <w:ind w:left="360" w:right="360" w:hanging="72"/>
      </w:pPr>
    </w:lvl>
  </w:abstractNum>
  <w:abstractNum w:abstractNumId="1">
    <w:nsid w:val="08583C6C"/>
    <w:multiLevelType w:val="singleLevel"/>
    <w:tmpl w:val="D4B00B38"/>
    <w:lvl w:ilvl="0">
      <w:start w:val="1"/>
      <w:numFmt w:val="upperRoman"/>
      <w:lvlText w:val="(%1)"/>
      <w:lvlJc w:val="left"/>
      <w:pPr>
        <w:tabs>
          <w:tab w:val="num" w:pos="782"/>
        </w:tabs>
        <w:ind w:left="782" w:right="782" w:hanging="360"/>
      </w:pPr>
      <w:rPr>
        <w:rFonts w:hint="default"/>
        <w:sz w:val="24"/>
      </w:rPr>
    </w:lvl>
  </w:abstractNum>
  <w:abstractNum w:abstractNumId="2">
    <w:nsid w:val="0D59349E"/>
    <w:multiLevelType w:val="hybridMultilevel"/>
    <w:tmpl w:val="5C9AED96"/>
    <w:lvl w:ilvl="0">
      <w:start w:val="1"/>
      <w:numFmt w:val="hebrew1"/>
      <w:lvlText w:val="(%1)"/>
      <w:lvlJc w:val="left"/>
      <w:pPr>
        <w:tabs>
          <w:tab w:val="num" w:pos="728"/>
        </w:tabs>
        <w:ind w:left="728" w:right="728" w:hanging="360"/>
      </w:pPr>
      <w:rPr>
        <w:rFonts w:hint="cs"/>
      </w:rPr>
    </w:lvl>
    <w:lvl w:ilvl="1" w:tentative="1">
      <w:start w:val="1"/>
      <w:numFmt w:val="lowerLetter"/>
      <w:lvlText w:val="%2."/>
      <w:lvlJc w:val="left"/>
      <w:pPr>
        <w:tabs>
          <w:tab w:val="num" w:pos="1448"/>
        </w:tabs>
        <w:ind w:left="1448" w:right="1448" w:hanging="360"/>
      </w:pPr>
    </w:lvl>
    <w:lvl w:ilvl="2" w:tentative="1">
      <w:start w:val="1"/>
      <w:numFmt w:val="lowerRoman"/>
      <w:lvlText w:val="%3."/>
      <w:lvlJc w:val="right"/>
      <w:pPr>
        <w:tabs>
          <w:tab w:val="num" w:pos="2168"/>
        </w:tabs>
        <w:ind w:left="2168" w:right="2168" w:hanging="180"/>
      </w:pPr>
    </w:lvl>
    <w:lvl w:ilvl="3" w:tentative="1">
      <w:start w:val="1"/>
      <w:numFmt w:val="decimal"/>
      <w:lvlText w:val="%4."/>
      <w:lvlJc w:val="left"/>
      <w:pPr>
        <w:tabs>
          <w:tab w:val="num" w:pos="2888"/>
        </w:tabs>
        <w:ind w:left="2888" w:right="2888" w:hanging="360"/>
      </w:pPr>
    </w:lvl>
    <w:lvl w:ilvl="4" w:tentative="1">
      <w:start w:val="1"/>
      <w:numFmt w:val="lowerLetter"/>
      <w:lvlText w:val="%5."/>
      <w:lvlJc w:val="left"/>
      <w:pPr>
        <w:tabs>
          <w:tab w:val="num" w:pos="3608"/>
        </w:tabs>
        <w:ind w:left="3608" w:right="3608" w:hanging="360"/>
      </w:pPr>
    </w:lvl>
    <w:lvl w:ilvl="5" w:tentative="1">
      <w:start w:val="1"/>
      <w:numFmt w:val="lowerRoman"/>
      <w:lvlText w:val="%6."/>
      <w:lvlJc w:val="right"/>
      <w:pPr>
        <w:tabs>
          <w:tab w:val="num" w:pos="4328"/>
        </w:tabs>
        <w:ind w:left="4328" w:right="4328" w:hanging="180"/>
      </w:pPr>
    </w:lvl>
    <w:lvl w:ilvl="6" w:tentative="1">
      <w:start w:val="1"/>
      <w:numFmt w:val="decimal"/>
      <w:lvlText w:val="%7."/>
      <w:lvlJc w:val="left"/>
      <w:pPr>
        <w:tabs>
          <w:tab w:val="num" w:pos="5048"/>
        </w:tabs>
        <w:ind w:left="5048" w:right="5048" w:hanging="360"/>
      </w:pPr>
    </w:lvl>
    <w:lvl w:ilvl="7" w:tentative="1">
      <w:start w:val="1"/>
      <w:numFmt w:val="lowerLetter"/>
      <w:lvlText w:val="%8."/>
      <w:lvlJc w:val="left"/>
      <w:pPr>
        <w:tabs>
          <w:tab w:val="num" w:pos="5768"/>
        </w:tabs>
        <w:ind w:left="5768" w:right="5768" w:hanging="360"/>
      </w:pPr>
    </w:lvl>
    <w:lvl w:ilvl="8" w:tentative="1">
      <w:start w:val="1"/>
      <w:numFmt w:val="lowerRoman"/>
      <w:lvlText w:val="%9."/>
      <w:lvlJc w:val="right"/>
      <w:pPr>
        <w:tabs>
          <w:tab w:val="num" w:pos="6488"/>
        </w:tabs>
        <w:ind w:left="6488" w:right="6488" w:hanging="180"/>
      </w:pPr>
    </w:lvl>
  </w:abstractNum>
  <w:abstractNum w:abstractNumId="3">
    <w:nsid w:val="106229BB"/>
    <w:multiLevelType w:val="singleLevel"/>
    <w:tmpl w:val="040D000F"/>
    <w:lvl w:ilvl="0">
      <w:start w:val="1"/>
      <w:numFmt w:val="decimal"/>
      <w:lvlText w:val="%1."/>
      <w:lvlJc w:val="center"/>
      <w:pPr>
        <w:tabs>
          <w:tab w:val="num" w:pos="648"/>
        </w:tabs>
        <w:ind w:left="360" w:right="360" w:hanging="72"/>
      </w:pPr>
    </w:lvl>
  </w:abstractNum>
  <w:abstractNum w:abstractNumId="4">
    <w:nsid w:val="15B15622"/>
    <w:multiLevelType w:val="singleLevel"/>
    <w:tmpl w:val="86365DE4"/>
    <w:lvl w:ilvl="0">
      <w:start w:val="1"/>
      <w:numFmt w:val="decimal"/>
      <w:lvlText w:val="(%1)"/>
      <w:lvlJc w:val="center"/>
      <w:pPr>
        <w:tabs>
          <w:tab w:val="num" w:pos="1097"/>
        </w:tabs>
        <w:ind w:left="907" w:right="907" w:hanging="170"/>
      </w:pPr>
      <w:rPr>
        <w:rFonts w:hint="default"/>
        <w:u w:val="none"/>
      </w:rPr>
    </w:lvl>
  </w:abstractNum>
  <w:abstractNum w:abstractNumId="5">
    <w:nsid w:val="19866ACC"/>
    <w:multiLevelType w:val="singleLevel"/>
    <w:tmpl w:val="86365DE4"/>
    <w:lvl w:ilvl="0">
      <w:start w:val="1"/>
      <w:numFmt w:val="decimal"/>
      <w:lvlText w:val="(%1)"/>
      <w:lvlJc w:val="center"/>
      <w:pPr>
        <w:tabs>
          <w:tab w:val="num" w:pos="1097"/>
        </w:tabs>
        <w:ind w:left="907" w:right="907" w:hanging="170"/>
      </w:pPr>
      <w:rPr>
        <w:rFonts w:hint="default"/>
        <w:u w:val="none"/>
      </w:rPr>
    </w:lvl>
  </w:abstractNum>
  <w:abstractNum w:abstractNumId="6">
    <w:nsid w:val="25986FCD"/>
    <w:multiLevelType w:val="hybridMultilevel"/>
    <w:tmpl w:val="380EBD14"/>
    <w:lvl w:ilvl="0">
      <w:start w:val="2"/>
      <w:numFmt w:val="hebrew1"/>
      <w:lvlText w:val="(%1)"/>
      <w:lvlJc w:val="left"/>
      <w:pPr>
        <w:tabs>
          <w:tab w:val="num" w:pos="728"/>
        </w:tabs>
        <w:ind w:left="728" w:right="728" w:hanging="360"/>
      </w:pPr>
      <w:rPr>
        <w:rFonts w:hint="cs"/>
      </w:rPr>
    </w:lvl>
    <w:lvl w:ilvl="1" w:tentative="1">
      <w:start w:val="1"/>
      <w:numFmt w:val="lowerLetter"/>
      <w:lvlText w:val="%2."/>
      <w:lvlJc w:val="left"/>
      <w:pPr>
        <w:tabs>
          <w:tab w:val="num" w:pos="1448"/>
        </w:tabs>
        <w:ind w:left="1448" w:right="1448" w:hanging="360"/>
      </w:pPr>
    </w:lvl>
    <w:lvl w:ilvl="2" w:tentative="1">
      <w:start w:val="1"/>
      <w:numFmt w:val="lowerRoman"/>
      <w:lvlText w:val="%3."/>
      <w:lvlJc w:val="right"/>
      <w:pPr>
        <w:tabs>
          <w:tab w:val="num" w:pos="2168"/>
        </w:tabs>
        <w:ind w:left="2168" w:right="2168" w:hanging="180"/>
      </w:pPr>
    </w:lvl>
    <w:lvl w:ilvl="3" w:tentative="1">
      <w:start w:val="1"/>
      <w:numFmt w:val="decimal"/>
      <w:lvlText w:val="%4."/>
      <w:lvlJc w:val="left"/>
      <w:pPr>
        <w:tabs>
          <w:tab w:val="num" w:pos="2888"/>
        </w:tabs>
        <w:ind w:left="2888" w:right="2888" w:hanging="360"/>
      </w:pPr>
    </w:lvl>
    <w:lvl w:ilvl="4" w:tentative="1">
      <w:start w:val="1"/>
      <w:numFmt w:val="lowerLetter"/>
      <w:lvlText w:val="%5."/>
      <w:lvlJc w:val="left"/>
      <w:pPr>
        <w:tabs>
          <w:tab w:val="num" w:pos="3608"/>
        </w:tabs>
        <w:ind w:left="3608" w:right="3608" w:hanging="360"/>
      </w:pPr>
    </w:lvl>
    <w:lvl w:ilvl="5" w:tentative="1">
      <w:start w:val="1"/>
      <w:numFmt w:val="lowerRoman"/>
      <w:lvlText w:val="%6."/>
      <w:lvlJc w:val="right"/>
      <w:pPr>
        <w:tabs>
          <w:tab w:val="num" w:pos="4328"/>
        </w:tabs>
        <w:ind w:left="4328" w:right="4328" w:hanging="180"/>
      </w:pPr>
    </w:lvl>
    <w:lvl w:ilvl="6" w:tentative="1">
      <w:start w:val="1"/>
      <w:numFmt w:val="decimal"/>
      <w:lvlText w:val="%7."/>
      <w:lvlJc w:val="left"/>
      <w:pPr>
        <w:tabs>
          <w:tab w:val="num" w:pos="5048"/>
        </w:tabs>
        <w:ind w:left="5048" w:right="5048" w:hanging="360"/>
      </w:pPr>
    </w:lvl>
    <w:lvl w:ilvl="7" w:tentative="1">
      <w:start w:val="1"/>
      <w:numFmt w:val="lowerLetter"/>
      <w:lvlText w:val="%8."/>
      <w:lvlJc w:val="left"/>
      <w:pPr>
        <w:tabs>
          <w:tab w:val="num" w:pos="5768"/>
        </w:tabs>
        <w:ind w:left="5768" w:right="5768" w:hanging="360"/>
      </w:pPr>
    </w:lvl>
    <w:lvl w:ilvl="8" w:tentative="1">
      <w:start w:val="1"/>
      <w:numFmt w:val="lowerRoman"/>
      <w:lvlText w:val="%9."/>
      <w:lvlJc w:val="right"/>
      <w:pPr>
        <w:tabs>
          <w:tab w:val="num" w:pos="6488"/>
        </w:tabs>
        <w:ind w:left="6488" w:right="6488" w:hanging="180"/>
      </w:pPr>
    </w:lvl>
  </w:abstractNum>
  <w:abstractNum w:abstractNumId="7">
    <w:nsid w:val="299446F8"/>
    <w:multiLevelType w:val="singleLevel"/>
    <w:tmpl w:val="86365DE4"/>
    <w:lvl w:ilvl="0">
      <w:start w:val="1"/>
      <w:numFmt w:val="decimal"/>
      <w:lvlText w:val="(%1)"/>
      <w:lvlJc w:val="center"/>
      <w:pPr>
        <w:tabs>
          <w:tab w:val="num" w:pos="1097"/>
        </w:tabs>
        <w:ind w:left="907" w:right="907" w:hanging="170"/>
      </w:pPr>
      <w:rPr>
        <w:rFonts w:hint="default"/>
        <w:u w:val="none"/>
      </w:rPr>
    </w:lvl>
  </w:abstractNum>
  <w:abstractNum w:abstractNumId="8">
    <w:nsid w:val="2BC30452"/>
    <w:multiLevelType w:val="singleLevel"/>
    <w:tmpl w:val="F510EFD4"/>
    <w:lvl w:ilvl="0">
      <w:start w:val="2"/>
      <w:numFmt w:val="hebrew1"/>
      <w:lvlText w:val="(%1)"/>
      <w:lvlJc w:val="left"/>
      <w:pPr>
        <w:tabs>
          <w:tab w:val="num" w:pos="1080"/>
        </w:tabs>
        <w:ind w:left="1080" w:right="1080" w:hanging="360"/>
      </w:pPr>
      <w:rPr>
        <w:rFonts w:hint="default"/>
        <w:sz w:val="24"/>
      </w:rPr>
    </w:lvl>
  </w:abstractNum>
  <w:abstractNum w:abstractNumId="9">
    <w:nsid w:val="2E3B5663"/>
    <w:multiLevelType w:val="singleLevel"/>
    <w:tmpl w:val="1696FD9E"/>
    <w:lvl w:ilvl="0">
      <w:start w:val="1"/>
      <w:numFmt w:val="decimal"/>
      <w:lvlText w:val="(%1)"/>
      <w:lvlJc w:val="center"/>
      <w:pPr>
        <w:tabs>
          <w:tab w:val="num" w:pos="1097"/>
        </w:tabs>
        <w:ind w:left="907" w:right="907" w:hanging="170"/>
      </w:pPr>
      <w:rPr>
        <w:rFonts w:cs="David" w:hint="cs"/>
        <w:bCs w:val="0"/>
        <w:iCs w:val="0"/>
        <w:outline w:val="0"/>
        <w:shadow w:val="0"/>
        <w:emboss w:val="0"/>
        <w:imprint w:val="0"/>
        <w:szCs w:val="24"/>
        <w:u w:val="none"/>
      </w:rPr>
    </w:lvl>
  </w:abstractNum>
  <w:abstractNum w:abstractNumId="10">
    <w:nsid w:val="35A95DAA"/>
    <w:multiLevelType w:val="singleLevel"/>
    <w:tmpl w:val="C700F428"/>
    <w:lvl w:ilvl="0">
      <w:start w:val="9"/>
      <w:numFmt w:val="decimal"/>
      <w:lvlText w:val="%1."/>
      <w:lvlJc w:val="center"/>
      <w:pPr>
        <w:tabs>
          <w:tab w:val="num" w:pos="648"/>
        </w:tabs>
        <w:ind w:left="360" w:right="360" w:hanging="72"/>
      </w:pPr>
    </w:lvl>
  </w:abstractNum>
  <w:abstractNum w:abstractNumId="11">
    <w:nsid w:val="3DDA09C4"/>
    <w:multiLevelType w:val="singleLevel"/>
    <w:tmpl w:val="8F345A06"/>
    <w:lvl w:ilvl="0">
      <w:start w:val="2"/>
      <w:numFmt w:val="hebrew1"/>
      <w:lvlText w:val="(%1)"/>
      <w:lvlJc w:val="left"/>
      <w:pPr>
        <w:tabs>
          <w:tab w:val="num" w:pos="1080"/>
        </w:tabs>
        <w:ind w:left="1080" w:right="1080" w:hanging="432"/>
      </w:pPr>
      <w:rPr>
        <w:rFonts w:hint="default"/>
        <w:color w:val="000000"/>
        <w:sz w:val="24"/>
      </w:rPr>
    </w:lvl>
  </w:abstractNum>
  <w:abstractNum w:abstractNumId="12">
    <w:nsid w:val="48954858"/>
    <w:multiLevelType w:val="singleLevel"/>
    <w:tmpl w:val="F8AA13E2"/>
    <w:lvl w:ilvl="0">
      <w:start w:val="1"/>
      <w:numFmt w:val="hebrew1"/>
      <w:pStyle w:val="Heading9"/>
      <w:lvlText w:val="%1."/>
      <w:lvlJc w:val="center"/>
      <w:pPr>
        <w:tabs>
          <w:tab w:val="num" w:pos="700"/>
        </w:tabs>
        <w:ind w:left="510" w:right="510" w:hanging="170"/>
      </w:pPr>
      <w:rPr>
        <w:rFonts w:cs="David" w:hint="cs"/>
        <w:bCs w:val="0"/>
        <w:iCs w:val="0"/>
        <w:szCs w:val="24"/>
      </w:rPr>
    </w:lvl>
  </w:abstractNum>
  <w:abstractNum w:abstractNumId="13">
    <w:nsid w:val="51C65012"/>
    <w:multiLevelType w:val="singleLevel"/>
    <w:tmpl w:val="E4CA961E"/>
    <w:lvl w:ilvl="0">
      <w:start w:val="1"/>
      <w:numFmt w:val="decimal"/>
      <w:lvlText w:val="(%1)"/>
      <w:lvlJc w:val="center"/>
      <w:pPr>
        <w:tabs>
          <w:tab w:val="num" w:pos="648"/>
        </w:tabs>
        <w:ind w:left="360" w:right="360" w:hanging="72"/>
      </w:pPr>
    </w:lvl>
  </w:abstractNum>
  <w:abstractNum w:abstractNumId="14">
    <w:nsid w:val="5A066A12"/>
    <w:multiLevelType w:val="singleLevel"/>
    <w:tmpl w:val="86365DE4"/>
    <w:lvl w:ilvl="0">
      <w:start w:val="1"/>
      <w:numFmt w:val="decimal"/>
      <w:lvlText w:val="(%1)"/>
      <w:lvlJc w:val="center"/>
      <w:pPr>
        <w:tabs>
          <w:tab w:val="num" w:pos="1097"/>
        </w:tabs>
        <w:ind w:left="907" w:right="907" w:hanging="170"/>
      </w:pPr>
      <w:rPr>
        <w:rFonts w:hint="default"/>
        <w:u w:val="none"/>
      </w:rPr>
    </w:lvl>
  </w:abstractNum>
  <w:abstractNum w:abstractNumId="15">
    <w:nsid w:val="5AC92884"/>
    <w:multiLevelType w:val="singleLevel"/>
    <w:tmpl w:val="1A9C3F64"/>
    <w:lvl w:ilvl="0">
      <w:start w:val="1"/>
      <w:numFmt w:val="hebrew2"/>
      <w:lvlText w:val="(%1)"/>
      <w:lvlJc w:val="center"/>
      <w:pPr>
        <w:tabs>
          <w:tab w:val="num" w:pos="648"/>
        </w:tabs>
        <w:ind w:left="360" w:right="360" w:hanging="72"/>
      </w:pPr>
    </w:lvl>
  </w:abstractNum>
  <w:abstractNum w:abstractNumId="16">
    <w:nsid w:val="5FBE47A4"/>
    <w:multiLevelType w:val="singleLevel"/>
    <w:tmpl w:val="86365DE4"/>
    <w:lvl w:ilvl="0">
      <w:start w:val="1"/>
      <w:numFmt w:val="decimal"/>
      <w:lvlText w:val="(%1)"/>
      <w:lvlJc w:val="center"/>
      <w:pPr>
        <w:tabs>
          <w:tab w:val="num" w:pos="1097"/>
        </w:tabs>
        <w:ind w:left="907" w:right="907" w:hanging="170"/>
      </w:pPr>
      <w:rPr>
        <w:rFonts w:hint="default"/>
        <w:u w:val="none"/>
      </w:rPr>
    </w:lvl>
  </w:abstractNum>
  <w:abstractNum w:abstractNumId="17">
    <w:nsid w:val="6EB67BA6"/>
    <w:multiLevelType w:val="singleLevel"/>
    <w:tmpl w:val="1B3C2182"/>
    <w:lvl w:ilvl="0">
      <w:start w:val="1"/>
      <w:numFmt w:val="decimal"/>
      <w:lvlText w:val="(%1)"/>
      <w:lvlJc w:val="center"/>
      <w:pPr>
        <w:tabs>
          <w:tab w:val="num" w:pos="1097"/>
        </w:tabs>
        <w:ind w:left="907" w:right="907" w:hanging="170"/>
      </w:pPr>
      <w:rPr>
        <w:rFonts w:cs="David" w:hint="cs"/>
        <w:bCs w:val="0"/>
        <w:iCs w:val="0"/>
        <w:szCs w:val="24"/>
        <w:u w:val="none"/>
      </w:rPr>
    </w:lvl>
  </w:abstractNum>
  <w:abstractNum w:abstractNumId="18">
    <w:nsid w:val="6F39281D"/>
    <w:multiLevelType w:val="singleLevel"/>
    <w:tmpl w:val="19DA2342"/>
    <w:lvl w:ilvl="0">
      <w:start w:val="5"/>
      <w:numFmt w:val="decimal"/>
      <w:lvlText w:val="%1."/>
      <w:lvlJc w:val="center"/>
      <w:pPr>
        <w:tabs>
          <w:tab w:val="num" w:pos="648"/>
        </w:tabs>
        <w:ind w:left="360" w:right="360" w:hanging="72"/>
      </w:pPr>
    </w:lvl>
  </w:abstractNum>
  <w:abstractNum w:abstractNumId="19">
    <w:nsid w:val="7D335AEC"/>
    <w:multiLevelType w:val="singleLevel"/>
    <w:tmpl w:val="D4B00B38"/>
    <w:lvl w:ilvl="0">
      <w:start w:val="1"/>
      <w:numFmt w:val="upperRoman"/>
      <w:lvlText w:val="(%1)"/>
      <w:lvlJc w:val="left"/>
      <w:pPr>
        <w:tabs>
          <w:tab w:val="num" w:pos="782"/>
        </w:tabs>
        <w:ind w:left="782" w:right="782" w:hanging="360"/>
      </w:pPr>
      <w:rPr>
        <w:rFonts w:hint="default"/>
        <w:sz w:val="24"/>
      </w:rPr>
    </w:lvl>
  </w:abstractNum>
  <w:num w:numId="1">
    <w:abstractNumId w:val="3"/>
  </w:num>
  <w:num w:numId="2">
    <w:abstractNumId w:val="0"/>
  </w:num>
  <w:num w:numId="3">
    <w:abstractNumId w:val="18"/>
  </w:num>
  <w:num w:numId="4">
    <w:abstractNumId w:val="8"/>
  </w:num>
  <w:num w:numId="5">
    <w:abstractNumId w:val="10"/>
  </w:num>
  <w:num w:numId="6">
    <w:abstractNumId w:val="13"/>
  </w:num>
  <w:num w:numId="7">
    <w:abstractNumId w:val="12"/>
  </w:num>
  <w:num w:numId="8">
    <w:abstractNumId w:val="9"/>
  </w:num>
  <w:num w:numId="9">
    <w:abstractNumId w:val="17"/>
  </w:num>
  <w:num w:numId="10">
    <w:abstractNumId w:val="16"/>
  </w:num>
  <w:num w:numId="11">
    <w:abstractNumId w:val="7"/>
  </w:num>
  <w:num w:numId="12">
    <w:abstractNumId w:val="14"/>
  </w:num>
  <w:num w:numId="13">
    <w:abstractNumId w:val="19"/>
  </w:num>
  <w:num w:numId="14">
    <w:abstractNumId w:val="15"/>
  </w:num>
  <w:num w:numId="15">
    <w:abstractNumId w:val="4"/>
  </w:num>
  <w:num w:numId="16">
    <w:abstractNumId w:val="5"/>
  </w:num>
  <w:num w:numId="17">
    <w:abstractNumId w:val="11"/>
  </w:num>
  <w:num w:numId="18">
    <w:abstractNumId w:val="1"/>
  </w:num>
  <w:num w:numId="19">
    <w:abstractNumId w:val="6"/>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jc w:val="left"/>
    </w:pPr>
    <w:rPr>
      <w:rFonts w:cs="David"/>
      <w:noProof/>
      <w:szCs w:val="24"/>
      <w:lang w:val="en-US" w:eastAsia="he-IL" w:bidi="he-IL"/>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qFormat/>
    <w:pPr>
      <w:keepNext/>
      <w:outlineLvl w:val="1"/>
    </w:pPr>
  </w:style>
  <w:style w:type="paragraph" w:styleId="Heading3">
    <w:name w:val="heading 3"/>
    <w:basedOn w:val="Normal"/>
    <w:next w:val="Normal"/>
    <w:uiPriority w:val="9"/>
    <w:qFormat/>
    <w:pPr>
      <w:keepNext/>
      <w:spacing w:line="360" w:lineRule="auto"/>
      <w:outlineLvl w:val="2"/>
    </w:pPr>
    <w:rPr>
      <w:b/>
      <w:bCs/>
    </w:rPr>
  </w:style>
  <w:style w:type="paragraph" w:styleId="Heading4">
    <w:name w:val="heading 4"/>
    <w:basedOn w:val="Normal"/>
    <w:next w:val="Normal"/>
    <w:uiPriority w:val="9"/>
    <w:qFormat/>
    <w:pPr>
      <w:keepNext/>
      <w:outlineLvl w:val="3"/>
    </w:pPr>
    <w:rPr>
      <w:b/>
      <w:bCs/>
    </w:rPr>
  </w:style>
  <w:style w:type="paragraph" w:styleId="Heading5">
    <w:name w:val="heading 5"/>
    <w:basedOn w:val="Normal"/>
    <w:next w:val="Normal"/>
    <w:uiPriority w:val="9"/>
    <w:qFormat/>
    <w:pPr>
      <w:keepNext/>
      <w:spacing w:line="360" w:lineRule="auto"/>
      <w:ind w:left="1440"/>
      <w:jc w:val="center"/>
      <w:outlineLvl w:val="4"/>
    </w:pPr>
    <w:rPr>
      <w:b/>
      <w:bCs/>
    </w:rPr>
  </w:style>
  <w:style w:type="paragraph" w:styleId="Heading6">
    <w:name w:val="heading 6"/>
    <w:basedOn w:val="Normal"/>
    <w:next w:val="Normal"/>
    <w:uiPriority w:val="9"/>
    <w:qFormat/>
    <w:pPr>
      <w:keepNext/>
      <w:spacing w:line="360" w:lineRule="auto"/>
      <w:outlineLvl w:val="5"/>
    </w:pPr>
    <w:rPr>
      <w:b/>
      <w:bCs/>
      <w:u w:val="single"/>
    </w:rPr>
  </w:style>
  <w:style w:type="paragraph" w:styleId="Heading7">
    <w:name w:val="heading 7"/>
    <w:basedOn w:val="Normal"/>
    <w:next w:val="Normal"/>
    <w:uiPriority w:val="9"/>
    <w:qFormat/>
    <w:pPr>
      <w:keepNext/>
      <w:spacing w:line="360" w:lineRule="auto"/>
      <w:jc w:val="both"/>
      <w:outlineLvl w:val="6"/>
    </w:pPr>
    <w:rPr>
      <w:b/>
      <w:bCs/>
      <w:u w:val="single"/>
    </w:rPr>
  </w:style>
  <w:style w:type="paragraph" w:styleId="Heading8">
    <w:name w:val="heading 8"/>
    <w:basedOn w:val="Normal"/>
    <w:next w:val="Normal"/>
    <w:uiPriority w:val="9"/>
    <w:qFormat/>
    <w:pPr>
      <w:keepNext/>
      <w:numPr>
        <w:ilvl w:val="0"/>
        <w:numId w:val="7"/>
      </w:numPr>
      <w:tabs>
        <w:tab w:val="clear" w:pos="700"/>
        <w:tab w:val="num" w:pos="935"/>
      </w:tabs>
      <w:spacing w:line="360" w:lineRule="auto"/>
      <w:ind w:hanging="284"/>
      <w:outlineLvl w:val="7"/>
    </w:pPr>
    <w:rPr>
      <w:b/>
      <w:bCs/>
    </w:rPr>
  </w:style>
  <w:style w:type="paragraph" w:styleId="Heading9">
    <w:name w:val="heading 9"/>
    <w:basedOn w:val="Normal"/>
    <w:next w:val="Normal"/>
    <w:uiPriority w:val="9"/>
    <w:qFormat/>
    <w:pPr>
      <w:keepNext/>
      <w:numPr>
        <w:ilvl w:val="0"/>
        <w:numId w:val="7"/>
      </w:numPr>
      <w:spacing w:line="360" w:lineRule="auto"/>
      <w:ind w:left="510" w:right="0"/>
      <w:jc w:val="left"/>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line="360" w:lineRule="auto"/>
      <w:ind w:left="226"/>
      <w:jc w:val="both"/>
    </w:p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Title">
    <w:name w:val="Title"/>
    <w:basedOn w:val="Normal"/>
    <w:uiPriority w:val="10"/>
    <w:qFormat/>
    <w:pPr>
      <w:ind w:left="0" w:right="0"/>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footer" Target="footer2.xml"/><Relationship Id="rId14" Type="http://schemas.openxmlformats.org/officeDocument/2006/relationships/customXml" Target="../customXml/item3.xml"/></Relationships>
</file>

<file path=word/_rels/settings.xml.rels>&#65279;<?xml version="1.0" encoding="utf-8" standalone="yes"?><Relationships xmlns="http://schemas.openxmlformats.org/package/2006/relationships"><Relationship Id="rId1" Type="http://schemas.openxmlformats.org/officeDocument/2006/relationships/attachedTemplate" Target="file:///\\Mavhar\f\Docs\&#1488;&#1490;&#1507;%20&#1488;%20&#1489;&#1500;&#1497;%20&#1488;&#1494;&#1492;&#1512;&#1492;.dot" TargetMode="Externa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CE04E5-F9EB-47C2-835D-2D499711D018}"/>
</file>

<file path=customXml/itemProps2.xml><?xml version="1.0" encoding="utf-8"?>
<ds:datastoreItem xmlns:ds="http://schemas.openxmlformats.org/officeDocument/2006/customXml" ds:itemID="{EC739290-892D-4BD8-9375-205B33B11A27}"/>
</file>

<file path=customXml/itemProps3.xml><?xml version="1.0" encoding="utf-8"?>
<ds:datastoreItem xmlns:ds="http://schemas.openxmlformats.org/officeDocument/2006/customXml" ds:itemID="{188AFB33-A985-4E04-AA9F-9868A18CE2D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