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Header"/>
        <w:keepNext/>
        <w:tabs>
          <w:tab w:val="left" w:pos="282"/>
          <w:tab w:val="clear" w:pos="4153"/>
          <w:tab w:val="clear" w:pos="8306"/>
        </w:tabs>
        <w:spacing w:line="360" w:lineRule="auto"/>
        <w:ind w:left="0" w:right="0" w:hanging="720"/>
        <w:jc w:val="both"/>
        <w:rPr>
          <w:rFonts w:hint="cs"/>
          <w:rtl/>
        </w:rPr>
      </w:pPr>
      <w:r>
        <w:rPr>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1pt;height:38.65pt" stroked="f">
            <v:imagedata r:id="rId5" o:title="D:\זמני\סמלים\semel-mevaker2.gif"/>
          </v:shape>
        </w:pict>
      </w:r>
    </w:p>
    <w:p>
      <w:pPr>
        <w:spacing w:line="360" w:lineRule="auto"/>
        <w:ind w:left="0" w:right="0" w:hanging="720"/>
        <w:jc w:val="both"/>
        <w:rPr>
          <w:rFonts w:hint="cs"/>
          <w:szCs w:val="18"/>
          <w:rtl/>
          <w:lang w:eastAsia="en-US"/>
        </w:rPr>
      </w:pPr>
      <w:r>
        <w:rPr>
          <w:noProof/>
          <w:szCs w:val="18"/>
          <w:rtl/>
          <w:lang w:val="he-IL"/>
        </w:rPr>
        <w:pict>
          <v:shape id="_x0000_s1026" type="#_x0000_t75" style="width:43.95pt;height:54.3pt;margin-top:7.65pt;margin-left:198pt;mso-wrap-edited:f;position:absolute;visibility:visible;z-index:-251658240" o:oleicon="f" o:button="f" o:hrstd="f" o:hrnoshade="f" o:hr="f" o:bullet="f" wrapcoords="-366 0 -366 21000 21600 21000 21600 0 -366 0" filled="f" stroked="f">
            <v:fill o:detectmouseclick="f"/>
            <v:imagedata r:id="rId6" o:title=""/>
            <w10:wrap type="square"/>
          </v:shape>
          <o:OLEObject Type="Embed" ProgID="Word.Picture.8" ShapeID="_x0000_s1026" DrawAspect="Content" ObjectID="_1151220711" r:id="rId7"/>
        </w:pict>
      </w:r>
    </w:p>
    <w:p>
      <w:pPr>
        <w:spacing w:line="360" w:lineRule="auto"/>
        <w:ind w:left="0" w:right="0" w:hanging="720"/>
        <w:jc w:val="both"/>
        <w:rPr>
          <w:rFonts w:hint="cs"/>
          <w:szCs w:val="18"/>
          <w:rtl/>
          <w:lang w:eastAsia="en-US"/>
        </w:rPr>
      </w:pPr>
    </w:p>
    <w:p>
      <w:pPr>
        <w:spacing w:line="360" w:lineRule="auto"/>
        <w:ind w:left="0" w:right="0" w:hanging="720"/>
        <w:jc w:val="both"/>
        <w:rPr>
          <w:rFonts w:hint="cs"/>
          <w:szCs w:val="18"/>
          <w:rtl/>
          <w:lang w:eastAsia="en-US"/>
        </w:rPr>
      </w:pPr>
      <w:r>
        <w:rPr>
          <w:rFonts w:hint="cs"/>
          <w:szCs w:val="18"/>
          <w:rtl/>
          <w:lang w:eastAsia="en-US"/>
        </w:rPr>
        <w:t xml:space="preserve"> </w:t>
      </w:r>
    </w:p>
    <w:p>
      <w:pPr>
        <w:spacing w:line="360" w:lineRule="auto"/>
        <w:ind w:left="0" w:right="0" w:hanging="720"/>
        <w:jc w:val="both"/>
        <w:rPr>
          <w:szCs w:val="18"/>
          <w:rtl/>
          <w:lang w:eastAsia="en-US"/>
        </w:rPr>
      </w:pPr>
    </w:p>
    <w:p>
      <w:pPr>
        <w:pStyle w:val="Heading9"/>
        <w:numPr>
          <w:ilvl w:val="0"/>
          <w:numId w:val="0"/>
        </w:numPr>
        <w:spacing w:line="360" w:lineRule="auto"/>
        <w:ind w:left="0" w:right="0" w:hanging="720"/>
        <w:jc w:val="both"/>
        <w:rPr>
          <w:rFonts w:hint="cs"/>
          <w:sz w:val="20"/>
          <w:szCs w:val="22"/>
          <w:u w:val="none"/>
          <w:rtl/>
          <w:lang w:eastAsia="en-US"/>
        </w:rPr>
      </w:pPr>
    </w:p>
    <w:p>
      <w:pPr>
        <w:pStyle w:val="Heading9"/>
        <w:numPr>
          <w:ilvl w:val="0"/>
          <w:numId w:val="0"/>
        </w:numPr>
        <w:spacing w:line="360" w:lineRule="auto"/>
        <w:ind w:left="0" w:right="0" w:hanging="720"/>
        <w:jc w:val="center"/>
        <w:rPr>
          <w:b/>
          <w:bCs/>
          <w:sz w:val="32"/>
          <w:szCs w:val="30"/>
          <w:u w:val="none"/>
          <w:rtl/>
          <w:lang w:eastAsia="en-US"/>
        </w:rPr>
      </w:pPr>
      <w:r>
        <w:rPr>
          <w:b/>
          <w:bCs/>
          <w:sz w:val="32"/>
          <w:szCs w:val="30"/>
          <w:u w:val="none"/>
          <w:rtl/>
          <w:lang w:eastAsia="en-US"/>
        </w:rPr>
        <w:t>מ ד י נ ת</w:t>
      </w:r>
      <w:r>
        <w:rPr>
          <w:rFonts w:hint="cs"/>
          <w:b/>
          <w:bCs/>
          <w:sz w:val="32"/>
          <w:szCs w:val="30"/>
          <w:u w:val="none"/>
          <w:rtl/>
          <w:lang w:eastAsia="en-US"/>
        </w:rPr>
        <w:t xml:space="preserve"> </w:t>
      </w:r>
      <w:r>
        <w:rPr>
          <w:b/>
          <w:bCs/>
          <w:sz w:val="32"/>
          <w:szCs w:val="30"/>
          <w:u w:val="none"/>
          <w:rtl/>
          <w:lang w:eastAsia="en-US"/>
        </w:rPr>
        <w:t xml:space="preserve"> י ש ר א ל</w:t>
      </w:r>
    </w:p>
    <w:p>
      <w:pPr>
        <w:spacing w:line="360" w:lineRule="auto"/>
        <w:ind w:left="0" w:right="0" w:hanging="720"/>
        <w:jc w:val="both"/>
        <w:rPr>
          <w:rFonts w:hint="cs"/>
          <w:sz w:val="14"/>
          <w:szCs w:val="16"/>
          <w:rtl/>
          <w:lang w:eastAsia="en-US"/>
        </w:rPr>
      </w:pPr>
    </w:p>
    <w:p>
      <w:pPr>
        <w:spacing w:line="360" w:lineRule="auto"/>
        <w:ind w:left="0" w:right="0" w:hanging="720"/>
        <w:jc w:val="both"/>
        <w:rPr>
          <w:rFonts w:hint="cs"/>
          <w:sz w:val="14"/>
          <w:szCs w:val="16"/>
          <w:rtl/>
          <w:lang w:eastAsia="en-US"/>
        </w:rPr>
      </w:pPr>
    </w:p>
    <w:p>
      <w:pPr>
        <w:spacing w:line="360" w:lineRule="auto"/>
        <w:ind w:left="0" w:right="0" w:hanging="720"/>
        <w:jc w:val="both"/>
        <w:rPr>
          <w:b/>
          <w:bCs/>
          <w:sz w:val="30"/>
          <w:szCs w:val="28"/>
          <w:rtl/>
          <w:lang w:eastAsia="en-US"/>
        </w:rPr>
      </w:pPr>
      <w:r>
        <w:rPr>
          <w:rFonts w:hint="cs"/>
          <w:b/>
          <w:bCs/>
          <w:sz w:val="30"/>
          <w:szCs w:val="28"/>
          <w:rtl/>
          <w:lang w:eastAsia="en-US"/>
        </w:rPr>
        <w:t>מיכה לינדנשטראוס</w:t>
      </w:r>
      <w:r>
        <w:rPr>
          <w:b/>
          <w:bCs/>
          <w:sz w:val="30"/>
          <w:szCs w:val="28"/>
          <w:rtl/>
          <w:lang w:eastAsia="en-US"/>
        </w:rPr>
        <w:tab/>
        <w:tab/>
        <w:tab/>
        <w:tab/>
        <w:tab/>
        <w:tab/>
        <w:tab/>
        <w:tab/>
        <w:tab/>
        <w:tab/>
      </w:r>
    </w:p>
    <w:p>
      <w:pPr>
        <w:pStyle w:val="Heading2"/>
        <w:ind w:left="0" w:right="0" w:hanging="720"/>
        <w:jc w:val="both"/>
        <w:rPr>
          <w:b w:val="0"/>
          <w:bCs w:val="0"/>
          <w:sz w:val="30"/>
          <w:rtl/>
          <w:lang w:eastAsia="en-US"/>
        </w:rPr>
      </w:pPr>
      <w:r>
        <w:rPr>
          <w:b w:val="0"/>
          <w:bCs w:val="0"/>
          <w:sz w:val="30"/>
          <w:rtl/>
          <w:lang w:eastAsia="en-US"/>
        </w:rPr>
        <w:t>מבקר המדינה</w:t>
      </w:r>
    </w:p>
    <w:p>
      <w:pPr>
        <w:spacing w:line="360" w:lineRule="auto"/>
        <w:ind w:left="0" w:right="0" w:hanging="720"/>
        <w:jc w:val="center"/>
        <w:rPr>
          <w:rFonts w:hint="cs"/>
          <w:b/>
          <w:bCs/>
          <w:szCs w:val="22"/>
          <w:rtl/>
          <w:lang w:eastAsia="en-US"/>
        </w:rPr>
      </w:pPr>
    </w:p>
    <w:p>
      <w:pPr>
        <w:spacing w:line="360" w:lineRule="auto"/>
        <w:ind w:left="0" w:right="0" w:hanging="720"/>
        <w:jc w:val="center"/>
        <w:rPr>
          <w:rFonts w:hint="cs"/>
          <w:b/>
          <w:bCs/>
          <w:szCs w:val="22"/>
          <w:rtl/>
          <w:lang w:eastAsia="en-US"/>
        </w:rPr>
      </w:pPr>
    </w:p>
    <w:p>
      <w:pPr>
        <w:spacing w:line="360" w:lineRule="auto"/>
        <w:ind w:left="0" w:right="0" w:hanging="720"/>
        <w:jc w:val="center"/>
        <w:rPr>
          <w:rFonts w:hint="cs"/>
          <w:b/>
          <w:bCs/>
          <w:sz w:val="34"/>
          <w:szCs w:val="32"/>
          <w:rtl/>
          <w:lang w:eastAsia="en-US"/>
        </w:rPr>
      </w:pPr>
      <w:r>
        <w:rPr>
          <w:rFonts w:hint="cs"/>
          <w:b/>
          <w:bCs/>
          <w:sz w:val="34"/>
          <w:szCs w:val="32"/>
          <w:rtl/>
          <w:lang w:eastAsia="en-US"/>
        </w:rPr>
        <w:t>חוק הרשויות המקומיות (מימון בחירות), התשנ"ג-1993</w:t>
      </w:r>
    </w:p>
    <w:p>
      <w:pPr>
        <w:spacing w:line="360" w:lineRule="auto"/>
        <w:ind w:left="0" w:right="0" w:hanging="720"/>
        <w:jc w:val="center"/>
        <w:rPr>
          <w:rFonts w:hint="cs"/>
          <w:b/>
          <w:bCs/>
          <w:sz w:val="18"/>
          <w:rtl/>
          <w:lang w:eastAsia="en-US"/>
        </w:rPr>
      </w:pPr>
    </w:p>
    <w:p>
      <w:pPr>
        <w:spacing w:line="360" w:lineRule="auto"/>
        <w:ind w:left="0" w:right="0" w:hanging="720"/>
        <w:jc w:val="center"/>
        <w:rPr>
          <w:rFonts w:hint="cs"/>
          <w:b/>
          <w:bCs/>
          <w:sz w:val="18"/>
          <w:rtl/>
          <w:lang w:eastAsia="en-US"/>
        </w:rPr>
      </w:pPr>
    </w:p>
    <w:p>
      <w:pPr>
        <w:spacing w:line="360" w:lineRule="auto"/>
        <w:ind w:left="0" w:right="0" w:hanging="720"/>
        <w:jc w:val="center"/>
        <w:rPr>
          <w:rFonts w:hint="cs"/>
          <w:b/>
          <w:bCs/>
          <w:szCs w:val="26"/>
          <w:rtl/>
          <w:lang w:eastAsia="en-US"/>
        </w:rPr>
      </w:pPr>
      <w:r>
        <w:rPr>
          <w:rFonts w:hint="cs"/>
          <w:b/>
          <w:bCs/>
          <w:szCs w:val="26"/>
          <w:rtl/>
          <w:lang w:eastAsia="en-US"/>
        </w:rPr>
        <w:t xml:space="preserve">דוח </w:t>
      </w:r>
      <w:r>
        <w:rPr>
          <w:b/>
          <w:bCs/>
          <w:szCs w:val="26"/>
          <w:rtl/>
          <w:lang w:eastAsia="en-US"/>
        </w:rPr>
        <w:t>על</w:t>
      </w:r>
      <w:r>
        <w:rPr>
          <w:rFonts w:hint="cs"/>
          <w:b/>
          <w:bCs/>
          <w:szCs w:val="26"/>
          <w:rtl/>
          <w:lang w:eastAsia="en-US"/>
        </w:rPr>
        <w:t xml:space="preserve"> </w:t>
      </w:r>
      <w:r>
        <w:rPr>
          <w:b/>
          <w:bCs/>
          <w:szCs w:val="26"/>
          <w:rtl/>
          <w:lang w:eastAsia="en-US"/>
        </w:rPr>
        <w:t>תוצאות</w:t>
      </w:r>
      <w:r>
        <w:rPr>
          <w:rFonts w:hint="cs"/>
          <w:b/>
          <w:bCs/>
          <w:szCs w:val="26"/>
          <w:rtl/>
          <w:lang w:eastAsia="en-US"/>
        </w:rPr>
        <w:t xml:space="preserve"> </w:t>
      </w:r>
      <w:r>
        <w:rPr>
          <w:b/>
          <w:bCs/>
          <w:szCs w:val="26"/>
          <w:rtl/>
          <w:lang w:eastAsia="en-US"/>
        </w:rPr>
        <w:t>ביקורת</w:t>
      </w:r>
      <w:r>
        <w:rPr>
          <w:rFonts w:hint="cs"/>
          <w:b/>
          <w:bCs/>
          <w:szCs w:val="26"/>
          <w:rtl/>
          <w:lang w:eastAsia="en-US"/>
        </w:rPr>
        <w:t xml:space="preserve"> </w:t>
      </w:r>
      <w:r>
        <w:rPr>
          <w:b/>
          <w:bCs/>
          <w:szCs w:val="26"/>
          <w:rtl/>
          <w:lang w:eastAsia="en-US"/>
        </w:rPr>
        <w:t>חשבונות</w:t>
      </w:r>
      <w:r>
        <w:rPr>
          <w:rFonts w:hint="cs"/>
          <w:b/>
          <w:bCs/>
          <w:szCs w:val="26"/>
          <w:rtl/>
          <w:lang w:eastAsia="en-US"/>
        </w:rPr>
        <w:t xml:space="preserve"> המועמדים שהשתתפו</w:t>
      </w:r>
    </w:p>
    <w:p>
      <w:pPr>
        <w:spacing w:line="360" w:lineRule="auto"/>
        <w:ind w:left="0" w:right="0" w:hanging="720"/>
        <w:jc w:val="center"/>
        <w:rPr>
          <w:rFonts w:hint="cs"/>
          <w:b/>
          <w:bCs/>
          <w:szCs w:val="26"/>
          <w:u w:val="single"/>
          <w:rtl/>
          <w:lang w:eastAsia="en-US"/>
        </w:rPr>
      </w:pPr>
      <w:r>
        <w:rPr>
          <w:rFonts w:hint="cs"/>
          <w:b/>
          <w:bCs/>
          <w:szCs w:val="26"/>
          <w:u w:val="single"/>
          <w:rtl/>
          <w:lang w:eastAsia="en-US"/>
        </w:rPr>
        <w:t>בבחירות המיוחדות לראש הרשות המקומית חדרה במאי 2005</w:t>
      </w:r>
    </w:p>
    <w:p>
      <w:pPr>
        <w:spacing w:line="360" w:lineRule="auto"/>
        <w:ind w:left="0" w:right="0" w:hanging="720"/>
        <w:jc w:val="both"/>
        <w:rPr>
          <w:rFonts w:hint="cs"/>
          <w:b/>
          <w:bCs/>
          <w:sz w:val="22"/>
          <w:rtl/>
          <w:lang w:eastAsia="en-US"/>
        </w:rPr>
      </w:pPr>
    </w:p>
    <w:p>
      <w:pPr>
        <w:tabs>
          <w:tab w:val="left" w:pos="282"/>
        </w:tabs>
        <w:ind w:left="282" w:right="0" w:hanging="282"/>
        <w:jc w:val="both"/>
        <w:rPr>
          <w:rFonts w:hint="cs"/>
          <w:rtl/>
          <w:lang w:eastAsia="en-US"/>
        </w:rPr>
      </w:pPr>
      <w:r>
        <w:rPr>
          <w:rFonts w:hint="cs"/>
          <w:rtl/>
          <w:lang w:eastAsia="en-US"/>
        </w:rPr>
        <w:t>1.</w:t>
        <w:tab/>
        <w:t xml:space="preserve">ב-2.3.05 התקבל בכנסת חוק הרשויות המקומיות (מימון בחירות) (תיקון מס' 6) (והארכת מועדים בבחירות מיוחדות - הוראת שעה), התשס"ה-2005. בתיקון הוכנסו שינויים בחוק הרשויות המקומיות (מימון בחירות), התשנ"ג - 1993 (להלן - החוק), והוסדר, בין היתר, מתן מימון ממלכתי למתמודדים בבחירות מיוחדות לבחירת ראש רשות. </w:t>
      </w:r>
    </w:p>
    <w:p>
      <w:pPr>
        <w:pStyle w:val="Header"/>
        <w:tabs>
          <w:tab w:val="clear" w:pos="4153"/>
          <w:tab w:val="clear" w:pos="8306"/>
        </w:tabs>
        <w:ind w:left="567" w:right="0" w:hanging="720"/>
        <w:jc w:val="both"/>
        <w:rPr>
          <w:rFonts w:hint="cs"/>
          <w:rtl/>
          <w:lang w:eastAsia="en-US"/>
        </w:rPr>
      </w:pPr>
    </w:p>
    <w:p>
      <w:pPr>
        <w:tabs>
          <w:tab w:val="left" w:pos="282"/>
        </w:tabs>
        <w:ind w:left="282" w:right="0" w:hanging="282"/>
        <w:jc w:val="both"/>
        <w:rPr>
          <w:rFonts w:hint="cs"/>
          <w:rtl/>
          <w:lang w:eastAsia="en-US"/>
        </w:rPr>
      </w:pPr>
      <w:r>
        <w:rPr>
          <w:rFonts w:hint="cs"/>
          <w:rtl/>
          <w:lang w:eastAsia="en-US"/>
        </w:rPr>
        <w:t>2.</w:t>
        <w:tab/>
        <w:t xml:space="preserve">ב-3.5.05 (כד' בניסן התשס"ה) התקיימו בחירות מיוחדות לראש הרשות המקומית </w:t>
      </w:r>
      <w:r>
        <w:rPr>
          <w:rFonts w:hint="cs"/>
          <w:b/>
          <w:bCs/>
          <w:rtl/>
          <w:lang w:eastAsia="en-US"/>
        </w:rPr>
        <w:t>חדרה</w:t>
      </w:r>
      <w:r>
        <w:rPr>
          <w:rFonts w:hint="cs"/>
          <w:rtl/>
          <w:lang w:eastAsia="en-US"/>
        </w:rPr>
        <w:t>. בבחירות אלה התמודדו ארבעה מועמדים, שזכאותם לקבלת מימון ממלכתי נקבעה לפי התיקון האמור לחוק. בבחירות אלה ניצח מר חיים אביטן.</w:t>
      </w:r>
    </w:p>
    <w:p>
      <w:pPr>
        <w:ind w:left="0" w:right="0" w:hanging="720"/>
        <w:jc w:val="both"/>
        <w:rPr>
          <w:rFonts w:hint="cs"/>
          <w:sz w:val="26"/>
          <w:rtl/>
        </w:rPr>
      </w:pPr>
    </w:p>
    <w:p>
      <w:pPr>
        <w:tabs>
          <w:tab w:val="left" w:pos="282"/>
        </w:tabs>
        <w:ind w:left="282" w:right="0" w:hanging="282"/>
        <w:jc w:val="both"/>
        <w:rPr>
          <w:rFonts w:hint="cs"/>
          <w:lang w:eastAsia="en-US"/>
        </w:rPr>
      </w:pPr>
      <w:r>
        <w:rPr>
          <w:rFonts w:hint="cs"/>
          <w:rtl/>
        </w:rPr>
        <w:t>3.</w:t>
        <w:tab/>
        <w:t>עם מתן מימון ממלכתי מוטלות על המועמדים הגבלות בקשר להוצאותיהם ולהכנסותיהם, וחשבונותיהם עומדים לביקורת מבקר המדינה. בדוח שעל מבקר המדינה למסור לפי החוק, עליו לקבוע אם המועמדים ניהלו מערכת חשבונות בהתאם להנחיות מבקר המדינה ואם הוצאות הבחירות שלהם וההכנסות שקיבלו היו בגבולות שהחוק קובע.</w:t>
      </w:r>
    </w:p>
    <w:p>
      <w:pPr>
        <w:tabs>
          <w:tab w:val="left" w:pos="282"/>
        </w:tabs>
        <w:ind w:left="0" w:right="0"/>
        <w:jc w:val="both"/>
        <w:rPr>
          <w:rFonts w:hint="cs"/>
          <w:sz w:val="26"/>
          <w:rtl/>
        </w:rPr>
      </w:pPr>
    </w:p>
    <w:p>
      <w:pPr>
        <w:tabs>
          <w:tab w:val="left" w:pos="282"/>
        </w:tabs>
        <w:ind w:left="849" w:right="0" w:hanging="851"/>
        <w:jc w:val="both"/>
        <w:rPr>
          <w:rtl/>
        </w:rPr>
      </w:pPr>
      <w:r>
        <w:rPr>
          <w:rFonts w:hint="cs"/>
          <w:rtl/>
        </w:rPr>
        <w:t>4.</w:t>
        <w:tab/>
        <w:t>(א)</w:t>
        <w:tab/>
      </w:r>
      <w:r>
        <w:rPr>
          <w:rtl/>
        </w:rPr>
        <w:t>בחוק נקבע,</w:t>
      </w:r>
      <w:r>
        <w:rPr>
          <w:rFonts w:hint="cs"/>
          <w:rtl/>
        </w:rPr>
        <w:t xml:space="preserve"> </w:t>
      </w:r>
      <w:r>
        <w:rPr>
          <w:rtl/>
        </w:rPr>
        <w:t>כי</w:t>
      </w:r>
      <w:r>
        <w:rPr>
          <w:rFonts w:hint="cs"/>
          <w:rtl/>
        </w:rPr>
        <w:t xml:space="preserve"> </w:t>
      </w:r>
      <w:r>
        <w:rPr>
          <w:rtl/>
        </w:rPr>
        <w:t>על</w:t>
      </w:r>
      <w:r>
        <w:rPr>
          <w:rFonts w:hint="cs"/>
          <w:rtl/>
        </w:rPr>
        <w:t xml:space="preserve"> המועמדים </w:t>
      </w:r>
      <w:r>
        <w:rPr>
          <w:rtl/>
        </w:rPr>
        <w:t>למסור</w:t>
      </w:r>
      <w:r>
        <w:rPr>
          <w:rFonts w:hint="cs"/>
          <w:rtl/>
        </w:rPr>
        <w:t xml:space="preserve"> </w:t>
      </w:r>
      <w:r>
        <w:rPr>
          <w:rtl/>
        </w:rPr>
        <w:t>למבקר</w:t>
      </w:r>
      <w:r>
        <w:rPr>
          <w:rFonts w:hint="cs"/>
          <w:rtl/>
        </w:rPr>
        <w:t xml:space="preserve"> </w:t>
      </w:r>
      <w:r>
        <w:rPr>
          <w:rtl/>
        </w:rPr>
        <w:t>המדינה את</w:t>
      </w:r>
      <w:r>
        <w:rPr>
          <w:rFonts w:hint="cs"/>
          <w:rtl/>
        </w:rPr>
        <w:t xml:space="preserve"> </w:t>
      </w:r>
      <w:r>
        <w:rPr>
          <w:rtl/>
        </w:rPr>
        <w:t>חשבונותיה</w:t>
      </w:r>
      <w:r>
        <w:rPr>
          <w:rFonts w:hint="cs"/>
          <w:rtl/>
        </w:rPr>
        <w:t>ם</w:t>
      </w:r>
      <w:r>
        <w:rPr>
          <w:rtl/>
        </w:rPr>
        <w:t xml:space="preserve"> ואת הדוחות הכספיים </w:t>
      </w:r>
      <w:r>
        <w:rPr>
          <w:rFonts w:hint="cs"/>
          <w:rtl/>
        </w:rPr>
        <w:t xml:space="preserve">שלהם </w:t>
      </w:r>
      <w:r>
        <w:rPr>
          <w:rtl/>
        </w:rPr>
        <w:t>לתקופת הבחירות בצירוף חוות</w:t>
      </w:r>
      <w:r>
        <w:rPr>
          <w:rFonts w:hint="cs"/>
          <w:rtl/>
        </w:rPr>
        <w:t xml:space="preserve"> </w:t>
      </w:r>
      <w:r>
        <w:rPr>
          <w:rtl/>
        </w:rPr>
        <w:t>דעת של רואה</w:t>
      </w:r>
      <w:r>
        <w:rPr>
          <w:rFonts w:hint="cs"/>
          <w:rtl/>
        </w:rPr>
        <w:t xml:space="preserve"> </w:t>
      </w:r>
      <w:r>
        <w:rPr>
          <w:rtl/>
        </w:rPr>
        <w:t>חשבון בדבר תקינותם ושלמותם ובדבר ניהול מערכת חשבונות בהתאם להנחיות מבקר המדינה.</w:t>
      </w:r>
    </w:p>
    <w:p>
      <w:pPr>
        <w:tabs>
          <w:tab w:val="left" w:pos="282"/>
        </w:tabs>
        <w:bidi/>
        <w:ind w:left="849" w:right="0" w:hanging="851"/>
        <w:jc w:val="both"/>
        <w:rPr>
          <w:rFonts w:hint="cs"/>
          <w:rtl/>
        </w:rPr>
      </w:pPr>
      <w:r>
        <w:rPr>
          <w:rtl/>
        </w:rPr>
        <w:br w:type="page"/>
      </w:r>
    </w:p>
    <w:p>
      <w:pPr>
        <w:tabs>
          <w:tab w:val="left" w:pos="282"/>
        </w:tabs>
        <w:ind w:left="849" w:right="0" w:firstLine="0"/>
        <w:jc w:val="both"/>
        <w:rPr>
          <w:rFonts w:hint="cs"/>
          <w:rtl/>
        </w:rPr>
      </w:pPr>
    </w:p>
    <w:p>
      <w:pPr>
        <w:tabs>
          <w:tab w:val="left" w:pos="282"/>
        </w:tabs>
        <w:ind w:left="849" w:right="0" w:hanging="851"/>
        <w:jc w:val="both"/>
        <w:rPr>
          <w:rFonts w:hint="cs"/>
          <w:sz w:val="26"/>
          <w:lang w:eastAsia="en-US"/>
        </w:rPr>
      </w:pPr>
      <w:r>
        <w:rPr>
          <w:rFonts w:hint="cs"/>
          <w:sz w:val="26"/>
          <w:rtl/>
          <w:lang w:eastAsia="en-US"/>
        </w:rPr>
        <w:t>(ב)</w:t>
        <w:tab/>
        <w:t>ב</w:t>
      </w:r>
      <w:r>
        <w:rPr>
          <w:sz w:val="26"/>
          <w:rtl/>
          <w:lang w:eastAsia="en-US"/>
        </w:rPr>
        <w:t xml:space="preserve">רשויות מקומיות </w:t>
      </w:r>
      <w:r>
        <w:rPr>
          <w:rFonts w:hint="cs"/>
          <w:sz w:val="26"/>
          <w:rtl/>
          <w:lang w:eastAsia="en-US"/>
        </w:rPr>
        <w:t>ש</w:t>
      </w:r>
      <w:r>
        <w:rPr>
          <w:sz w:val="26"/>
          <w:rtl/>
          <w:lang w:eastAsia="en-US"/>
        </w:rPr>
        <w:t xml:space="preserve">מספר בעלי </w:t>
      </w:r>
      <w:r>
        <w:rPr>
          <w:rFonts w:hint="cs"/>
          <w:sz w:val="26"/>
          <w:rtl/>
          <w:lang w:eastAsia="en-US"/>
        </w:rPr>
        <w:t>ה</w:t>
      </w:r>
      <w:r>
        <w:rPr>
          <w:sz w:val="26"/>
          <w:rtl/>
          <w:lang w:eastAsia="en-US"/>
        </w:rPr>
        <w:t xml:space="preserve">זכות </w:t>
      </w:r>
      <w:r>
        <w:rPr>
          <w:rFonts w:hint="cs"/>
          <w:sz w:val="26"/>
          <w:rtl/>
          <w:lang w:eastAsia="en-US"/>
        </w:rPr>
        <w:t>לבחור</w:t>
      </w:r>
      <w:r>
        <w:rPr>
          <w:sz w:val="26"/>
          <w:rtl/>
          <w:lang w:eastAsia="en-US"/>
        </w:rPr>
        <w:t xml:space="preserve"> בהן </w:t>
      </w:r>
      <w:r>
        <w:rPr>
          <w:rFonts w:hint="cs"/>
          <w:sz w:val="26"/>
          <w:rtl/>
          <w:lang w:eastAsia="en-US"/>
        </w:rPr>
        <w:t>גדול מ-</w:t>
      </w:r>
      <w:r>
        <w:rPr>
          <w:sz w:val="26"/>
          <w:rtl/>
          <w:lang w:eastAsia="en-US"/>
        </w:rPr>
        <w:t>5,</w:t>
      </w:r>
      <w:r>
        <w:rPr>
          <w:sz w:val="26"/>
          <w:rtl/>
          <w:lang w:eastAsia="en-US"/>
        </w:rPr>
        <w:t>000</w:t>
      </w:r>
      <w:r>
        <w:rPr>
          <w:rFonts w:hint="cs"/>
          <w:sz w:val="26"/>
          <w:rtl/>
          <w:lang w:eastAsia="en-US"/>
        </w:rPr>
        <w:t xml:space="preserve"> הוטל על המועמדים למנות רואי חשבון בעצמם ועל חשבונם.</w:t>
      </w:r>
    </w:p>
    <w:p>
      <w:pPr>
        <w:tabs>
          <w:tab w:val="left" w:pos="646"/>
          <w:tab w:val="left" w:pos="1077"/>
          <w:tab w:val="left" w:pos="1134"/>
        </w:tabs>
        <w:ind w:left="0" w:right="0"/>
        <w:jc w:val="both"/>
        <w:rPr>
          <w:rFonts w:hint="cs"/>
          <w:sz w:val="26"/>
          <w:rtl/>
          <w:lang w:eastAsia="en-US"/>
        </w:rPr>
      </w:pPr>
    </w:p>
    <w:p>
      <w:pPr>
        <w:numPr>
          <w:ilvl w:val="0"/>
          <w:numId w:val="17"/>
        </w:numPr>
        <w:tabs>
          <w:tab w:val="left" w:pos="282"/>
        </w:tabs>
        <w:ind w:left="853" w:right="0"/>
        <w:jc w:val="both"/>
        <w:rPr>
          <w:rFonts w:hint="cs"/>
          <w:sz w:val="26"/>
          <w:rtl/>
          <w:lang w:eastAsia="en-US"/>
        </w:rPr>
      </w:pPr>
      <w:r>
        <w:rPr>
          <w:rFonts w:hint="cs"/>
          <w:sz w:val="26"/>
          <w:rtl/>
          <w:lang w:eastAsia="en-US"/>
        </w:rPr>
        <w:t xml:space="preserve">מספר </w:t>
      </w:r>
      <w:r>
        <w:rPr>
          <w:sz w:val="26"/>
          <w:rtl/>
          <w:lang w:eastAsia="en-US"/>
        </w:rPr>
        <w:t xml:space="preserve">בעלי </w:t>
      </w:r>
      <w:r>
        <w:rPr>
          <w:rFonts w:hint="cs"/>
          <w:sz w:val="26"/>
          <w:rtl/>
          <w:lang w:eastAsia="en-US"/>
        </w:rPr>
        <w:t>ה</w:t>
      </w:r>
      <w:r>
        <w:rPr>
          <w:sz w:val="26"/>
          <w:rtl/>
          <w:lang w:eastAsia="en-US"/>
        </w:rPr>
        <w:t xml:space="preserve">זכות </w:t>
      </w:r>
      <w:r>
        <w:rPr>
          <w:rFonts w:hint="cs"/>
          <w:sz w:val="26"/>
          <w:rtl/>
          <w:lang w:eastAsia="en-US"/>
        </w:rPr>
        <w:t>לבחור</w:t>
      </w:r>
      <w:r>
        <w:rPr>
          <w:rFonts w:hint="cs"/>
          <w:b/>
          <w:bCs/>
          <w:sz w:val="26"/>
          <w:rtl/>
          <w:lang w:eastAsia="en-US"/>
        </w:rPr>
        <w:t xml:space="preserve"> בחדרה</w:t>
      </w:r>
      <w:r>
        <w:rPr>
          <w:rFonts w:hint="cs"/>
          <w:sz w:val="26"/>
          <w:rtl/>
          <w:lang w:eastAsia="en-US"/>
        </w:rPr>
        <w:t xml:space="preserve"> גדול מ- 5,000. </w:t>
      </w:r>
    </w:p>
    <w:p>
      <w:pPr>
        <w:tabs>
          <w:tab w:val="left" w:pos="282"/>
        </w:tabs>
        <w:ind w:left="283" w:right="0"/>
        <w:jc w:val="both"/>
        <w:rPr>
          <w:sz w:val="26"/>
          <w:rtl/>
          <w:lang w:eastAsia="en-US"/>
        </w:rPr>
      </w:pPr>
    </w:p>
    <w:p>
      <w:pPr>
        <w:numPr>
          <w:ilvl w:val="0"/>
          <w:numId w:val="16"/>
        </w:numPr>
        <w:tabs>
          <w:tab w:val="num" w:pos="360"/>
        </w:tabs>
        <w:ind w:left="720" w:right="0"/>
        <w:jc w:val="both"/>
        <w:rPr>
          <w:rFonts w:hint="cs"/>
          <w:sz w:val="26"/>
        </w:rPr>
      </w:pPr>
      <w:r>
        <w:rPr>
          <w:sz w:val="26"/>
          <w:rtl/>
        </w:rPr>
        <w:t xml:space="preserve">הוראות החוק בדבר ניהול חשבונות, ביקורת חשבונות, הגבלת הוצאות והכנסות וביקורת מבקר המדינה חלות גם על </w:t>
      </w:r>
      <w:r>
        <w:rPr>
          <w:rFonts w:hint="cs"/>
          <w:sz w:val="26"/>
          <w:rtl/>
        </w:rPr>
        <w:t>מועמדים</w:t>
      </w:r>
      <w:r>
        <w:rPr>
          <w:sz w:val="26"/>
          <w:rtl/>
        </w:rPr>
        <w:t xml:space="preserve"> שלא קיבלו מימון, בין שלא ביקשוהו ובין שלא היו זכאי</w:t>
      </w:r>
      <w:r>
        <w:rPr>
          <w:rFonts w:hint="cs"/>
          <w:sz w:val="26"/>
          <w:rtl/>
        </w:rPr>
        <w:t>ם</w:t>
      </w:r>
      <w:r>
        <w:rPr>
          <w:sz w:val="26"/>
          <w:rtl/>
        </w:rPr>
        <w:t xml:space="preserve"> ל</w:t>
      </w:r>
      <w:r>
        <w:rPr>
          <w:rFonts w:hint="cs"/>
          <w:sz w:val="26"/>
          <w:rtl/>
        </w:rPr>
        <w:t xml:space="preserve">כך </w:t>
      </w:r>
      <w:r>
        <w:rPr>
          <w:sz w:val="26"/>
          <w:rtl/>
        </w:rPr>
        <w:t xml:space="preserve">מחמת </w:t>
      </w:r>
      <w:r>
        <w:rPr>
          <w:rFonts w:hint="cs"/>
          <w:sz w:val="26"/>
          <w:rtl/>
        </w:rPr>
        <w:t>אי-מילוי</w:t>
      </w:r>
      <w:r>
        <w:rPr>
          <w:sz w:val="26"/>
          <w:rtl/>
        </w:rPr>
        <w:t xml:space="preserve"> תנאים מוקדמים מסוימים הקבועים בחוק.</w:t>
      </w:r>
    </w:p>
    <w:p>
      <w:pPr>
        <w:ind w:left="-2" w:right="0"/>
        <w:jc w:val="both"/>
        <w:rPr>
          <w:rFonts w:hint="cs"/>
          <w:sz w:val="26"/>
        </w:rPr>
      </w:pPr>
    </w:p>
    <w:p>
      <w:pPr>
        <w:pStyle w:val="Heading6"/>
        <w:spacing w:line="312" w:lineRule="auto"/>
        <w:ind w:left="0" w:right="0"/>
        <w:jc w:val="both"/>
        <w:rPr>
          <w:rFonts w:hint="cs"/>
          <w:b w:val="0"/>
          <w:bCs w:val="0"/>
          <w:rtl/>
        </w:rPr>
      </w:pPr>
      <w:r>
        <w:rPr>
          <w:rFonts w:hint="cs"/>
          <w:b w:val="0"/>
          <w:bCs w:val="0"/>
          <w:rtl/>
        </w:rPr>
        <w:t xml:space="preserve">6. </w:t>
      </w:r>
      <w:r>
        <w:rPr>
          <w:b w:val="0"/>
          <w:bCs w:val="0"/>
          <w:rtl/>
        </w:rPr>
        <w:t>(א)</w:t>
      </w:r>
      <w:r>
        <w:rPr>
          <w:rFonts w:hint="cs"/>
          <w:b w:val="0"/>
          <w:bCs w:val="0"/>
          <w:rtl/>
        </w:rPr>
        <w:tab/>
      </w:r>
      <w:r>
        <w:rPr>
          <w:b w:val="0"/>
          <w:bCs w:val="0"/>
          <w:rtl/>
        </w:rPr>
        <w:t>ד</w:t>
      </w:r>
      <w:r>
        <w:rPr>
          <w:rFonts w:hint="cs"/>
          <w:b w:val="0"/>
          <w:bCs w:val="0"/>
          <w:rtl/>
        </w:rPr>
        <w:t>וח</w:t>
      </w:r>
      <w:r>
        <w:rPr>
          <w:b w:val="0"/>
          <w:bCs w:val="0"/>
          <w:rtl/>
        </w:rPr>
        <w:t xml:space="preserve"> </w:t>
      </w:r>
      <w:r>
        <w:rPr>
          <w:rFonts w:hint="cs"/>
          <w:b w:val="0"/>
          <w:bCs w:val="0"/>
          <w:rtl/>
        </w:rPr>
        <w:t>זה עוסק</w:t>
      </w:r>
      <w:r>
        <w:rPr>
          <w:b w:val="0"/>
          <w:bCs w:val="0"/>
          <w:rtl/>
        </w:rPr>
        <w:t>, כאמור</w:t>
      </w:r>
      <w:r>
        <w:rPr>
          <w:rFonts w:hint="cs"/>
          <w:b w:val="0"/>
          <w:bCs w:val="0"/>
          <w:rtl/>
        </w:rPr>
        <w:t>,</w:t>
      </w:r>
      <w:r>
        <w:rPr>
          <w:b w:val="0"/>
          <w:bCs w:val="0"/>
          <w:rtl/>
        </w:rPr>
        <w:t xml:space="preserve"> </w:t>
      </w:r>
      <w:r>
        <w:rPr>
          <w:rFonts w:hint="cs"/>
          <w:b w:val="0"/>
          <w:bCs w:val="0"/>
          <w:rtl/>
        </w:rPr>
        <w:t xml:space="preserve">בארבעה מועמדים </w:t>
      </w:r>
      <w:r>
        <w:rPr>
          <w:b w:val="0"/>
          <w:bCs w:val="0"/>
          <w:rtl/>
        </w:rPr>
        <w:t>שהשתתפו בבחירות</w:t>
      </w:r>
      <w:r>
        <w:rPr>
          <w:rFonts w:hint="cs"/>
          <w:b w:val="0"/>
          <w:bCs w:val="0"/>
          <w:rtl/>
        </w:rPr>
        <w:t xml:space="preserve">: אביטן חיים, </w:t>
      </w:r>
      <w:r>
        <w:rPr>
          <w:rFonts w:hint="cs"/>
          <w:b w:val="0"/>
          <w:bCs w:val="0"/>
          <w:sz w:val="26"/>
          <w:rtl/>
        </w:rPr>
        <w:t xml:space="preserve">בן דוד </w:t>
        <w:tab/>
        <w:t xml:space="preserve">סדי, </w:t>
      </w:r>
      <w:r>
        <w:rPr>
          <w:rFonts w:hint="cs"/>
          <w:b w:val="0"/>
          <w:bCs w:val="0"/>
          <w:rtl/>
        </w:rPr>
        <w:t>יעקבי יגאל ושטיין יעקב.</w:t>
      </w:r>
    </w:p>
    <w:p>
      <w:pPr>
        <w:tabs>
          <w:tab w:val="left" w:pos="282"/>
          <w:tab w:val="left" w:pos="851"/>
        </w:tabs>
        <w:ind w:left="0" w:right="0" w:hanging="720"/>
        <w:jc w:val="both"/>
        <w:rPr>
          <w:rFonts w:hint="cs"/>
          <w:sz w:val="16"/>
          <w:szCs w:val="18"/>
          <w:rtl/>
        </w:rPr>
      </w:pPr>
    </w:p>
    <w:p>
      <w:pPr>
        <w:pStyle w:val="Heading6"/>
        <w:spacing w:line="312" w:lineRule="auto"/>
        <w:ind w:left="720" w:right="0" w:hanging="364"/>
        <w:jc w:val="both"/>
        <w:rPr>
          <w:rFonts w:hint="cs"/>
          <w:b w:val="0"/>
          <w:bCs w:val="0"/>
          <w:rtl/>
        </w:rPr>
      </w:pPr>
      <w:r>
        <w:rPr>
          <w:rFonts w:hint="cs"/>
          <w:b w:val="0"/>
          <w:bCs w:val="0"/>
          <w:rtl/>
        </w:rPr>
        <w:t>(ב)</w:t>
        <w:tab/>
        <w:t xml:space="preserve"> שלושה מועמדים </w:t>
      </w:r>
      <w:r>
        <w:rPr>
          <w:b w:val="0"/>
          <w:bCs w:val="0"/>
          <w:rtl/>
        </w:rPr>
        <w:t>מסרו למבקר המדינה דוחות כספיים בצירוף חוות</w:t>
      </w:r>
      <w:r>
        <w:rPr>
          <w:rFonts w:hint="cs"/>
          <w:b w:val="0"/>
          <w:bCs w:val="0"/>
          <w:rtl/>
        </w:rPr>
        <w:t xml:space="preserve"> </w:t>
      </w:r>
      <w:r>
        <w:rPr>
          <w:b w:val="0"/>
          <w:bCs w:val="0"/>
          <w:rtl/>
        </w:rPr>
        <w:t xml:space="preserve">דעת </w:t>
      </w:r>
      <w:r>
        <w:rPr>
          <w:rFonts w:hint="cs"/>
          <w:b w:val="0"/>
          <w:bCs w:val="0"/>
          <w:rtl/>
        </w:rPr>
        <w:t xml:space="preserve">של </w:t>
      </w:r>
      <w:r>
        <w:rPr>
          <w:b w:val="0"/>
          <w:bCs w:val="0"/>
          <w:rtl/>
        </w:rPr>
        <w:t xml:space="preserve">רואה </w:t>
      </w:r>
      <w:r>
        <w:rPr>
          <w:rFonts w:hint="cs"/>
          <w:b w:val="0"/>
          <w:bCs w:val="0"/>
          <w:rtl/>
        </w:rPr>
        <w:t>ה</w:t>
      </w:r>
      <w:r>
        <w:rPr>
          <w:b w:val="0"/>
          <w:bCs w:val="0"/>
          <w:rtl/>
        </w:rPr>
        <w:t>חשבון</w:t>
      </w:r>
      <w:r>
        <w:rPr>
          <w:rFonts w:hint="cs"/>
          <w:b w:val="0"/>
          <w:bCs w:val="0"/>
          <w:rtl/>
        </w:rPr>
        <w:t xml:space="preserve">: אביטן חיים, </w:t>
      </w:r>
      <w:r>
        <w:rPr>
          <w:rFonts w:hint="cs"/>
          <w:b w:val="0"/>
          <w:bCs w:val="0"/>
          <w:sz w:val="26"/>
          <w:rtl/>
        </w:rPr>
        <w:t>בן דוד סדי ו</w:t>
      </w:r>
      <w:r>
        <w:rPr>
          <w:rFonts w:hint="cs"/>
          <w:b w:val="0"/>
          <w:bCs w:val="0"/>
          <w:rtl/>
        </w:rPr>
        <w:t xml:space="preserve">שטיין יעקב. שניים מהם: </w:t>
      </w:r>
      <w:r>
        <w:rPr>
          <w:rFonts w:hint="cs"/>
          <w:b w:val="0"/>
          <w:bCs w:val="0"/>
          <w:sz w:val="26"/>
          <w:rtl/>
        </w:rPr>
        <w:t>בן דוד סדי ו</w:t>
      </w:r>
      <w:r>
        <w:rPr>
          <w:rFonts w:hint="cs"/>
          <w:b w:val="0"/>
          <w:bCs w:val="0"/>
          <w:rtl/>
        </w:rPr>
        <w:t>שטיין יעקב, מסרו דוחות כספיים לתקופה שאינה תואמת את תקופת הבחירות.</w:t>
      </w:r>
    </w:p>
    <w:p>
      <w:pPr>
        <w:tabs>
          <w:tab w:val="left" w:pos="282"/>
          <w:tab w:val="left" w:pos="851"/>
        </w:tabs>
        <w:ind w:left="851" w:right="0" w:hanging="720"/>
        <w:jc w:val="both"/>
        <w:rPr>
          <w:rFonts w:hint="cs"/>
          <w:sz w:val="18"/>
          <w:szCs w:val="18"/>
          <w:rtl/>
        </w:rPr>
      </w:pPr>
    </w:p>
    <w:p>
      <w:pPr>
        <w:pStyle w:val="Heading6"/>
        <w:spacing w:line="312" w:lineRule="auto"/>
        <w:ind w:left="720" w:right="0" w:hanging="364"/>
        <w:jc w:val="both"/>
        <w:rPr>
          <w:rFonts w:hint="cs"/>
          <w:b w:val="0"/>
          <w:bCs w:val="0"/>
          <w:rtl/>
        </w:rPr>
      </w:pPr>
      <w:r>
        <w:rPr>
          <w:rFonts w:hint="cs"/>
          <w:b w:val="0"/>
          <w:bCs w:val="0"/>
          <w:rtl/>
        </w:rPr>
        <w:t>(ג)</w:t>
        <w:tab/>
        <w:t>חרף פניות חוזרות ונשנות לא מסר המועמד יעקבי יגאל, למשרד מבקר המדינה דוח כספי לתקופת הבחירות. המועמד לא היה זכאי למימון מאוצר המדינה, אך החוק אינו מטיל סנקציה כספית במקרים אלה.</w:t>
      </w:r>
    </w:p>
    <w:p>
      <w:pPr>
        <w:pStyle w:val="Heading6"/>
        <w:spacing w:line="312" w:lineRule="auto"/>
        <w:ind w:left="720" w:right="0" w:hanging="364"/>
        <w:jc w:val="both"/>
        <w:rPr>
          <w:rFonts w:hint="cs"/>
          <w:b w:val="0"/>
          <w:bCs w:val="0"/>
          <w:rtl/>
        </w:rPr>
      </w:pPr>
      <w:r>
        <w:rPr>
          <w:rFonts w:hint="cs"/>
          <w:b w:val="0"/>
          <w:bCs w:val="0"/>
          <w:rtl/>
        </w:rPr>
        <w:tab/>
      </w:r>
    </w:p>
    <w:p>
      <w:pPr>
        <w:pStyle w:val="Heading6"/>
        <w:spacing w:line="312" w:lineRule="auto"/>
        <w:ind w:left="720" w:right="0"/>
        <w:jc w:val="both"/>
        <w:rPr>
          <w:rFonts w:hint="cs"/>
          <w:b w:val="0"/>
          <w:bCs w:val="0"/>
          <w:rtl/>
        </w:rPr>
      </w:pPr>
      <w:r>
        <w:rPr>
          <w:rFonts w:hint="cs"/>
          <w:b w:val="0"/>
          <w:bCs w:val="0"/>
          <w:rtl/>
        </w:rPr>
        <w:t>לדעת משרד מבקר המדינה, מן הראוי שמי שמעמיד עצמו לבחירה לתפקיד ציבורי, יפעל בהתאם לדרישות החוק, ובשקיפות מלאה. משרד מבקר המדינה מעיר כי מן הראוי שהמחוקק ייתן את דעתו על סנקציה מתאימה במקרים מעין אלה.</w:t>
      </w:r>
    </w:p>
    <w:p>
      <w:pPr>
        <w:tabs>
          <w:tab w:val="left" w:pos="282"/>
          <w:tab w:val="left" w:pos="851"/>
        </w:tabs>
        <w:ind w:left="851" w:right="0" w:hanging="720"/>
        <w:jc w:val="both"/>
        <w:rPr>
          <w:rFonts w:hint="cs"/>
          <w:rtl/>
        </w:rPr>
      </w:pPr>
    </w:p>
    <w:p>
      <w:pPr>
        <w:pStyle w:val="Heading1"/>
        <w:keepNext w:val="0"/>
        <w:ind w:left="0" w:right="0" w:hanging="2"/>
        <w:jc w:val="both"/>
        <w:rPr>
          <w:rFonts w:hint="cs"/>
          <w:b w:val="0"/>
          <w:bCs w:val="0"/>
          <w:sz w:val="20"/>
          <w:szCs w:val="22"/>
          <w:rtl/>
          <w:lang w:eastAsia="en-US"/>
        </w:rPr>
      </w:pPr>
      <w:r>
        <w:rPr>
          <w:rFonts w:ascii="Arial" w:hAnsi="Arial" w:cs="David" w:hint="cs"/>
          <w:b w:val="0"/>
          <w:bCs w:val="0"/>
          <w:sz w:val="28"/>
          <w:szCs w:val="30"/>
          <w:rtl/>
          <w:lang w:eastAsia="en-US"/>
        </w:rPr>
        <w:t>עיקרי</w:t>
      </w:r>
      <w:r>
        <w:rPr>
          <w:rFonts w:hint="cs"/>
          <w:b w:val="0"/>
          <w:bCs w:val="0"/>
          <w:sz w:val="20"/>
          <w:szCs w:val="22"/>
          <w:rtl/>
          <w:lang w:eastAsia="en-US"/>
        </w:rPr>
        <w:t xml:space="preserve"> </w:t>
      </w:r>
      <w:r>
        <w:rPr>
          <w:rFonts w:ascii="Arial" w:hAnsi="Arial" w:cs="David" w:hint="cs"/>
          <w:b w:val="0"/>
          <w:bCs w:val="0"/>
          <w:sz w:val="28"/>
          <w:szCs w:val="30"/>
          <w:rtl/>
          <w:lang w:eastAsia="en-US"/>
        </w:rPr>
        <w:t>הממצאים</w:t>
      </w:r>
    </w:p>
    <w:p>
      <w:pPr>
        <w:ind w:left="0" w:right="0"/>
        <w:jc w:val="both"/>
        <w:rPr>
          <w:sz w:val="16"/>
          <w:szCs w:val="18"/>
          <w:rtl/>
          <w:lang w:eastAsia="en-US"/>
        </w:rPr>
      </w:pPr>
    </w:p>
    <w:p>
      <w:pPr>
        <w:tabs>
          <w:tab w:val="left" w:pos="282"/>
        </w:tabs>
        <w:ind w:left="282" w:right="0" w:hanging="282"/>
        <w:jc w:val="both"/>
        <w:rPr>
          <w:rFonts w:hint="cs"/>
          <w:rtl/>
        </w:rPr>
      </w:pPr>
      <w:r>
        <w:rPr>
          <w:rFonts w:hint="cs"/>
          <w:rtl/>
        </w:rPr>
        <w:t>7.</w:t>
        <w:tab/>
        <w:t>תוצאות ביקורת החשבונות של המועמדים נקבעו על פי אלה: הדוחות הכספיים שמסרו; חוות הדעת של רואי החשבון שבדקו את החשבונות שצורפו לדוחות הכספיים; בדיקת חשבונות המועמדים; בדיקות ובירורים משלימים שעשו עובדי משרדי; השלמות, תיקונים והסברים של המועמדים ותצהירים של נציגי המועמדים שהתקבלו כראיה לפי סעיף 21(ה) לחוק.</w:t>
      </w:r>
    </w:p>
    <w:p>
      <w:pPr>
        <w:ind w:left="-2" w:right="0"/>
        <w:jc w:val="both"/>
        <w:rPr>
          <w:rFonts w:hint="cs"/>
          <w:sz w:val="26"/>
          <w:rtl/>
        </w:rPr>
      </w:pPr>
    </w:p>
    <w:p>
      <w:pPr>
        <w:pStyle w:val="Heading1"/>
        <w:keepNext w:val="0"/>
        <w:ind w:left="0" w:right="0" w:hanging="2"/>
        <w:jc w:val="both"/>
        <w:rPr>
          <w:rFonts w:cs="David" w:hint="cs"/>
          <w:b w:val="0"/>
          <w:bCs w:val="0"/>
          <w:sz w:val="22"/>
          <w:rtl/>
        </w:rPr>
      </w:pPr>
      <w:r>
        <w:rPr>
          <w:rFonts w:cs="David"/>
          <w:b w:val="0"/>
          <w:bCs w:val="0"/>
          <w:sz w:val="22"/>
          <w:rtl/>
          <w:lang w:eastAsia="en-US"/>
        </w:rPr>
        <w:t>הנחיות מבקר המדינה</w:t>
      </w:r>
    </w:p>
    <w:p>
      <w:pPr>
        <w:ind w:left="0" w:right="0"/>
        <w:jc w:val="both"/>
        <w:rPr>
          <w:rFonts w:hint="cs"/>
          <w:sz w:val="18"/>
          <w:szCs w:val="18"/>
        </w:rPr>
      </w:pPr>
    </w:p>
    <w:p>
      <w:pPr>
        <w:numPr>
          <w:ilvl w:val="0"/>
          <w:numId w:val="15"/>
        </w:numPr>
        <w:tabs>
          <w:tab w:val="num" w:pos="360"/>
          <w:tab w:val="left" w:pos="850"/>
          <w:tab w:val="left" w:pos="1077"/>
        </w:tabs>
        <w:ind w:left="567" w:right="0"/>
        <w:jc w:val="both"/>
        <w:rPr>
          <w:rFonts w:hint="cs"/>
          <w:sz w:val="26"/>
          <w:lang w:eastAsia="en-US"/>
        </w:rPr>
      </w:pPr>
      <w:r>
        <w:rPr>
          <w:rFonts w:hint="cs"/>
          <w:sz w:val="26"/>
          <w:rtl/>
          <w:lang w:eastAsia="en-US"/>
        </w:rPr>
        <w:t>(א)</w:t>
        <w:tab/>
        <w:t>לפי ה</w:t>
      </w:r>
      <w:r>
        <w:rPr>
          <w:sz w:val="26"/>
          <w:rtl/>
          <w:lang w:eastAsia="en-US"/>
        </w:rPr>
        <w:t>חוק</w:t>
      </w:r>
      <w:r>
        <w:rPr>
          <w:rFonts w:hint="cs"/>
          <w:sz w:val="26"/>
          <w:rtl/>
          <w:lang w:eastAsia="en-US"/>
        </w:rPr>
        <w:t xml:space="preserve">, </w:t>
      </w:r>
      <w:r>
        <w:rPr>
          <w:sz w:val="26"/>
          <w:rtl/>
          <w:lang w:eastAsia="en-US"/>
        </w:rPr>
        <w:t xml:space="preserve">על </w:t>
      </w:r>
      <w:r>
        <w:rPr>
          <w:rFonts w:hint="cs"/>
          <w:sz w:val="26"/>
          <w:rtl/>
          <w:lang w:eastAsia="en-US"/>
        </w:rPr>
        <w:t>המועמדים לנהל את מערכת החשבונות שלהם בהתאם להנחיות מבקר המדינה.</w:t>
      </w:r>
    </w:p>
    <w:p>
      <w:pPr>
        <w:ind w:left="0" w:right="0"/>
        <w:jc w:val="both"/>
        <w:rPr>
          <w:rFonts w:hint="cs"/>
          <w:sz w:val="16"/>
          <w:szCs w:val="18"/>
          <w:rtl/>
        </w:rPr>
      </w:pPr>
    </w:p>
    <w:p>
      <w:pPr>
        <w:numPr>
          <w:ilvl w:val="0"/>
          <w:numId w:val="18"/>
        </w:numPr>
        <w:ind w:left="930" w:right="0"/>
        <w:jc w:val="both"/>
        <w:rPr>
          <w:sz w:val="26"/>
          <w:rtl/>
          <w:lang w:eastAsia="en-US"/>
        </w:rPr>
      </w:pPr>
      <w:r>
        <w:rPr>
          <w:rFonts w:hint="cs"/>
          <w:sz w:val="26"/>
          <w:rtl/>
          <w:lang w:eastAsia="en-US"/>
        </w:rPr>
        <w:t>שני מועמדים</w:t>
      </w:r>
      <w:r>
        <w:rPr>
          <w:rFonts w:hint="cs"/>
          <w:rtl/>
        </w:rPr>
        <w:t xml:space="preserve">, </w:t>
      </w:r>
      <w:r>
        <w:rPr>
          <w:rFonts w:hint="cs"/>
          <w:sz w:val="26"/>
          <w:rtl/>
          <w:lang w:eastAsia="en-US"/>
        </w:rPr>
        <w:t>אביטן חיים ושטיין יעקב</w:t>
      </w:r>
      <w:r>
        <w:rPr>
          <w:rFonts w:hint="cs"/>
          <w:rtl/>
          <w:lang w:eastAsia="en-US"/>
        </w:rPr>
        <w:t xml:space="preserve"> </w:t>
      </w:r>
      <w:r>
        <w:rPr>
          <w:rFonts w:hint="cs"/>
          <w:sz w:val="26"/>
          <w:rtl/>
          <w:lang w:eastAsia="en-US"/>
        </w:rPr>
        <w:t xml:space="preserve">ניהלו את מערכת חשבונותיהם שלא </w:t>
      </w:r>
    </w:p>
    <w:p>
      <w:pPr>
        <w:numPr>
          <w:ilvl w:val="0"/>
          <w:numId w:val="18"/>
        </w:numPr>
        <w:ind w:left="930" w:right="0"/>
        <w:jc w:val="both"/>
        <w:rPr>
          <w:rFonts w:hint="cs"/>
          <w:sz w:val="26"/>
          <w:rtl/>
          <w:lang w:eastAsia="en-US"/>
        </w:rPr>
      </w:pPr>
      <w:r>
        <w:rPr>
          <w:sz w:val="26"/>
          <w:rtl/>
          <w:lang w:eastAsia="en-US"/>
        </w:rPr>
        <w:br w:type="page"/>
      </w:r>
      <w:r>
        <w:rPr>
          <w:rFonts w:hint="cs"/>
          <w:sz w:val="26"/>
          <w:rtl/>
          <w:lang w:eastAsia="en-US"/>
        </w:rPr>
        <w:t>בהתאמה מלאה להנחיות מבקר המדינה</w:t>
      </w:r>
      <w:r>
        <w:rPr>
          <w:sz w:val="26"/>
          <w:rtl/>
          <w:lang w:eastAsia="en-US"/>
        </w:rPr>
        <w:t>.</w:t>
      </w:r>
    </w:p>
    <w:p>
      <w:pPr>
        <w:tabs>
          <w:tab w:val="left" w:pos="646"/>
          <w:tab w:val="left" w:pos="1077"/>
        </w:tabs>
        <w:ind w:left="1077" w:right="0" w:hanging="1079"/>
        <w:jc w:val="both"/>
        <w:rPr>
          <w:rFonts w:hint="cs"/>
          <w:b/>
          <w:bCs/>
          <w:sz w:val="26"/>
          <w:rtl/>
          <w:lang w:eastAsia="en-US"/>
        </w:rPr>
      </w:pPr>
      <w:r>
        <w:rPr>
          <w:b/>
          <w:bCs/>
          <w:sz w:val="26"/>
          <w:rtl/>
          <w:lang w:eastAsia="en-US"/>
        </w:rPr>
        <w:t>הוצאות</w:t>
      </w:r>
      <w:r>
        <w:rPr>
          <w:rStyle w:val="FootnoteReference"/>
          <w:rtl/>
        </w:rPr>
        <w:footnoteReference w:id="2"/>
      </w:r>
    </w:p>
    <w:p>
      <w:pPr>
        <w:numPr>
          <w:ilvl w:val="0"/>
          <w:numId w:val="15"/>
        </w:numPr>
        <w:tabs>
          <w:tab w:val="num" w:pos="360"/>
          <w:tab w:val="left" w:pos="849"/>
        </w:tabs>
        <w:ind w:left="567" w:right="0"/>
        <w:jc w:val="both"/>
        <w:rPr>
          <w:rFonts w:hint="cs"/>
        </w:rPr>
      </w:pPr>
      <w:r>
        <w:rPr>
          <w:rFonts w:hint="cs"/>
          <w:rtl/>
        </w:rPr>
        <w:t xml:space="preserve"> (א)</w:t>
        <w:tab/>
        <w:t xml:space="preserve">בחוק אין התייחסות לדרך חישוב תקרת ההוצאות של מועמד אשר אינו זכאי למימון ממלכתי בבחירות מיוחדות לראש רשות. </w:t>
      </w:r>
    </w:p>
    <w:p>
      <w:pPr>
        <w:tabs>
          <w:tab w:val="left" w:pos="282"/>
        </w:tabs>
        <w:ind w:left="0" w:right="0" w:hanging="720"/>
        <w:jc w:val="both"/>
        <w:rPr>
          <w:rFonts w:hint="cs"/>
          <w:rtl/>
        </w:rPr>
      </w:pPr>
    </w:p>
    <w:p>
      <w:pPr>
        <w:tabs>
          <w:tab w:val="left" w:pos="282"/>
          <w:tab w:val="left" w:pos="849"/>
        </w:tabs>
        <w:ind w:left="849" w:right="0" w:hanging="849"/>
        <w:jc w:val="both"/>
        <w:rPr>
          <w:rFonts w:hint="cs"/>
          <w:rtl/>
        </w:rPr>
      </w:pPr>
      <w:r>
        <w:rPr>
          <w:rFonts w:hint="cs"/>
          <w:rtl/>
        </w:rPr>
        <w:tab/>
        <w:tab/>
        <w:t>לפיכך מצאתי לנכון לקבוע, כי מועמד שאינו זכאי למימון ממלכתי ועמד בתקרת הוצאות של מועמד הזכאי לסכום המימון המינימלי (קרי מועמד שזכה בלא פחות מ-20% מהקולות הכשרים של בוחרים), אראה אותו כמי שהוצאות הבחירות שלו היו בגבולות תקרת ההוצאות המותרת. לבעיה זו התייחס מבקר המדינה הקודם בדוחות קודמים</w:t>
      </w:r>
      <w:r>
        <w:rPr>
          <w:rStyle w:val="FootnoteReference"/>
          <w:rtl/>
        </w:rPr>
        <w:footnoteReference w:id="3"/>
      </w:r>
      <w:r>
        <w:rPr>
          <w:rFonts w:hint="cs"/>
          <w:rtl/>
        </w:rPr>
        <w:t xml:space="preserve"> הנוגעים למועמדים לראש מועצה אזורית, וכן בדוח על תוצאות ביקורת חשבונות המועמדים שהשתתפו בבחירות המיוחדות לראש הרשות בלוד</w:t>
      </w:r>
      <w:r>
        <w:rPr>
          <w:rStyle w:val="FootnoteReference"/>
          <w:rtl/>
        </w:rPr>
        <w:footnoteReference w:id="4"/>
      </w:r>
      <w:r>
        <w:rPr>
          <w:rFonts w:hint="cs"/>
          <w:rtl/>
        </w:rPr>
        <w:t>.</w:t>
      </w:r>
    </w:p>
    <w:p>
      <w:pPr>
        <w:ind w:left="0" w:right="0" w:hanging="720"/>
        <w:jc w:val="both"/>
        <w:rPr>
          <w:rFonts w:hint="cs"/>
          <w:sz w:val="16"/>
          <w:szCs w:val="18"/>
          <w:rtl/>
        </w:rPr>
      </w:pPr>
      <w:r>
        <w:rPr>
          <w:rFonts w:hint="cs"/>
          <w:sz w:val="16"/>
          <w:szCs w:val="18"/>
          <w:rtl/>
        </w:rPr>
        <w:tab/>
      </w:r>
    </w:p>
    <w:p>
      <w:pPr>
        <w:tabs>
          <w:tab w:val="left" w:pos="282"/>
          <w:tab w:val="left" w:pos="849"/>
        </w:tabs>
        <w:ind w:left="849" w:right="0" w:hanging="849"/>
        <w:jc w:val="both"/>
        <w:rPr>
          <w:rFonts w:hint="cs"/>
          <w:rtl/>
        </w:rPr>
      </w:pPr>
      <w:r>
        <w:rPr>
          <w:rFonts w:hint="cs"/>
          <w:rtl/>
        </w:rPr>
        <w:tab/>
        <w:t>(ב)</w:t>
        <w:tab/>
        <w:t>שלושה מועמדים לא היו זכאים למימון ממלכתי בתקופת הבחירות, מאחר שלא זכו במספר הקולות הכשרים המזכים במימון. השניים - בן דוד סדי ושטיין יעקב,</w:t>
      </w:r>
      <w:r>
        <w:rPr>
          <w:rFonts w:hint="cs"/>
          <w:b/>
          <w:bCs/>
          <w:rtl/>
        </w:rPr>
        <w:t xml:space="preserve"> </w:t>
      </w:r>
      <w:r>
        <w:rPr>
          <w:rFonts w:hint="cs"/>
          <w:rtl/>
        </w:rPr>
        <w:t>אשר מסרו דוחות כספיים למשרדי, עמדו בתקרת ההוצאות של מועמד הזכאי לסכום המימון המינימלי, ולפיכך קבעתי כי הוצאות הבחירות שלהם היו בגבולות תקרת ההוצאות המותרת. השלישי, יעקבי יגאל, אשר לא מסר למשרדי דוח כספי, ממילא לא עלתה לגביו שאלה של עמידה בתקרת ההוצאות.</w:t>
      </w:r>
    </w:p>
    <w:p>
      <w:pPr>
        <w:ind w:left="-2" w:right="0"/>
        <w:jc w:val="both"/>
        <w:rPr>
          <w:rFonts w:hint="cs"/>
          <w:sz w:val="26"/>
          <w:rtl/>
        </w:rPr>
      </w:pPr>
    </w:p>
    <w:p>
      <w:pPr>
        <w:tabs>
          <w:tab w:val="left" w:pos="1076"/>
        </w:tabs>
        <w:ind w:left="0" w:right="0" w:hanging="2"/>
        <w:jc w:val="both"/>
        <w:rPr>
          <w:rFonts w:hint="cs"/>
          <w:b/>
          <w:bCs/>
          <w:lang w:eastAsia="en-US"/>
        </w:rPr>
      </w:pPr>
      <w:r>
        <w:rPr>
          <w:rFonts w:hint="cs"/>
          <w:b/>
          <w:bCs/>
          <w:rtl/>
          <w:lang w:eastAsia="en-US"/>
        </w:rPr>
        <w:t>ה</w:t>
      </w:r>
      <w:r>
        <w:rPr>
          <w:b/>
          <w:bCs/>
          <w:rtl/>
          <w:lang w:eastAsia="en-US"/>
        </w:rPr>
        <w:t>כנסות</w:t>
      </w:r>
    </w:p>
    <w:p>
      <w:pPr>
        <w:numPr>
          <w:ilvl w:val="0"/>
          <w:numId w:val="15"/>
        </w:numPr>
        <w:tabs>
          <w:tab w:val="num" w:pos="360"/>
          <w:tab w:val="left" w:pos="849"/>
        </w:tabs>
        <w:spacing w:line="312" w:lineRule="atLeast"/>
        <w:ind w:left="567" w:right="0"/>
        <w:jc w:val="both"/>
        <w:rPr>
          <w:rFonts w:hint="cs"/>
          <w:sz w:val="26"/>
          <w:lang w:eastAsia="en-US"/>
        </w:rPr>
      </w:pPr>
      <w:r>
        <w:rPr>
          <w:rFonts w:hint="cs"/>
          <w:sz w:val="26"/>
          <w:rtl/>
          <w:lang w:eastAsia="en-US"/>
        </w:rPr>
        <w:t xml:space="preserve"> (א)</w:t>
        <w:tab/>
      </w:r>
      <w:r>
        <w:rPr>
          <w:sz w:val="26"/>
          <w:rtl/>
          <w:lang w:eastAsia="en-US"/>
        </w:rPr>
        <w:t xml:space="preserve">החוק אוסר על קבלת תרומות מתאגידים הן בארץ והן בחוץ לארץ ומגביל את </w:t>
      </w:r>
      <w:r>
        <w:rPr>
          <w:rFonts w:hint="cs"/>
          <w:sz w:val="26"/>
          <w:rtl/>
          <w:lang w:eastAsia="en-US"/>
        </w:rPr>
        <w:t xml:space="preserve">סכום </w:t>
      </w:r>
      <w:r>
        <w:rPr>
          <w:sz w:val="26"/>
          <w:rtl/>
          <w:lang w:eastAsia="en-US"/>
        </w:rPr>
        <w:t xml:space="preserve">התרומה המותרת מיחיד. </w:t>
      </w:r>
      <w:r>
        <w:rPr>
          <w:rFonts w:hint="cs"/>
          <w:sz w:val="26"/>
          <w:rtl/>
          <w:lang w:eastAsia="en-US"/>
        </w:rPr>
        <w:t>בין בחירות לבחירות סכום</w:t>
      </w:r>
      <w:r>
        <w:rPr>
          <w:sz w:val="26"/>
          <w:rtl/>
          <w:lang w:eastAsia="en-US"/>
        </w:rPr>
        <w:t xml:space="preserve"> התרומה המרב</w:t>
      </w:r>
      <w:r>
        <w:rPr>
          <w:rFonts w:hint="cs"/>
          <w:sz w:val="26"/>
          <w:rtl/>
          <w:lang w:eastAsia="en-US"/>
        </w:rPr>
        <w:t>י</w:t>
      </w:r>
      <w:r>
        <w:rPr>
          <w:sz w:val="26"/>
          <w:rtl/>
          <w:lang w:eastAsia="en-US"/>
        </w:rPr>
        <w:t xml:space="preserve"> </w:t>
      </w:r>
      <w:r>
        <w:rPr>
          <w:rFonts w:hint="cs"/>
          <w:sz w:val="26"/>
          <w:rtl/>
          <w:lang w:eastAsia="en-US"/>
        </w:rPr>
        <w:t>ש</w:t>
      </w:r>
      <w:r>
        <w:rPr>
          <w:sz w:val="26"/>
          <w:rtl/>
          <w:lang w:eastAsia="en-US"/>
        </w:rPr>
        <w:t>מותר ל</w:t>
      </w:r>
      <w:r>
        <w:rPr>
          <w:rFonts w:hint="cs"/>
          <w:sz w:val="26"/>
          <w:rtl/>
          <w:lang w:eastAsia="en-US"/>
        </w:rPr>
        <w:t>מועמד</w:t>
      </w:r>
      <w:r>
        <w:rPr>
          <w:sz w:val="26"/>
          <w:rtl/>
          <w:lang w:eastAsia="en-US"/>
        </w:rPr>
        <w:t xml:space="preserve"> </w:t>
      </w:r>
      <w:r>
        <w:rPr>
          <w:rFonts w:hint="cs"/>
          <w:sz w:val="26"/>
          <w:rtl/>
          <w:lang w:eastAsia="en-US"/>
        </w:rPr>
        <w:t xml:space="preserve">לקבל </w:t>
      </w:r>
      <w:r>
        <w:rPr>
          <w:sz w:val="26"/>
          <w:rtl/>
          <w:lang w:eastAsia="en-US"/>
        </w:rPr>
        <w:t>מיחיד ו</w:t>
      </w:r>
      <w:r>
        <w:rPr>
          <w:rFonts w:hint="cs"/>
          <w:sz w:val="26"/>
          <w:rtl/>
          <w:lang w:eastAsia="en-US"/>
        </w:rPr>
        <w:t>מ</w:t>
      </w:r>
      <w:r>
        <w:rPr>
          <w:sz w:val="26"/>
          <w:rtl/>
          <w:lang w:eastAsia="en-US"/>
        </w:rPr>
        <w:t>בני ביתו הסמוכים על שולחנו ה</w:t>
      </w:r>
      <w:r>
        <w:rPr>
          <w:rFonts w:hint="cs"/>
          <w:sz w:val="26"/>
          <w:rtl/>
          <w:lang w:eastAsia="en-US"/>
        </w:rPr>
        <w:t>ו</w:t>
      </w:r>
      <w:r>
        <w:rPr>
          <w:sz w:val="26"/>
          <w:rtl/>
          <w:lang w:eastAsia="en-US"/>
        </w:rPr>
        <w:t>א 5,000 ש"ח.</w:t>
      </w:r>
    </w:p>
    <w:p>
      <w:pPr>
        <w:tabs>
          <w:tab w:val="left" w:pos="282"/>
          <w:tab w:val="left" w:pos="849"/>
        </w:tabs>
        <w:ind w:left="849" w:right="0" w:hanging="849"/>
        <w:jc w:val="both"/>
        <w:rPr>
          <w:rFonts w:hint="cs"/>
          <w:sz w:val="26"/>
          <w:rtl/>
          <w:lang w:eastAsia="en-US"/>
        </w:rPr>
      </w:pPr>
    </w:p>
    <w:p>
      <w:pPr>
        <w:tabs>
          <w:tab w:val="left" w:pos="282"/>
          <w:tab w:val="left" w:pos="849"/>
        </w:tabs>
        <w:ind w:left="849" w:right="0" w:hanging="849"/>
        <w:jc w:val="both"/>
        <w:rPr>
          <w:rFonts w:hint="cs"/>
          <w:sz w:val="26"/>
          <w:rtl/>
          <w:lang w:eastAsia="en-US"/>
        </w:rPr>
      </w:pPr>
      <w:r>
        <w:rPr>
          <w:rFonts w:hint="cs"/>
          <w:sz w:val="26"/>
          <w:rtl/>
          <w:lang w:eastAsia="en-US"/>
        </w:rPr>
        <w:tab/>
        <w:t>(ב)</w:t>
      </w:r>
      <w:r>
        <w:rPr>
          <w:rFonts w:hint="cs"/>
          <w:color w:val="0000FF"/>
          <w:sz w:val="26"/>
          <w:rtl/>
          <w:lang w:eastAsia="en-US"/>
        </w:rPr>
        <w:tab/>
      </w:r>
      <w:r>
        <w:rPr>
          <w:rFonts w:hint="cs"/>
          <w:sz w:val="26"/>
          <w:rtl/>
          <w:lang w:eastAsia="en-US"/>
        </w:rPr>
        <w:t xml:space="preserve">שני מועמדים, </w:t>
      </w:r>
      <w:r>
        <w:rPr>
          <w:rFonts w:hint="cs"/>
          <w:rtl/>
        </w:rPr>
        <w:t>בן דוד סדי ושטיין יעקב,</w:t>
      </w:r>
      <w:r>
        <w:rPr>
          <w:rFonts w:hint="cs"/>
          <w:b/>
          <w:bCs/>
          <w:rtl/>
        </w:rPr>
        <w:t xml:space="preserve"> </w:t>
      </w:r>
      <w:r>
        <w:rPr>
          <w:rFonts w:hint="cs"/>
          <w:sz w:val="26"/>
          <w:rtl/>
          <w:lang w:eastAsia="en-US"/>
        </w:rPr>
        <w:t xml:space="preserve">סיימו את תקופת הבחירות בגירעון שהם מימנוהו. לגבי שניהם קבעתי, כי במימון עצמי בסכום גדול מן המותר יש משום תרומה, בניגוד להוראות סעיף 16 לחוק. </w:t>
      </w:r>
    </w:p>
    <w:p>
      <w:pPr>
        <w:ind w:left="-2" w:right="0"/>
        <w:jc w:val="both"/>
        <w:rPr>
          <w:rFonts w:hint="cs"/>
          <w:sz w:val="26"/>
          <w:rtl/>
        </w:rPr>
      </w:pPr>
    </w:p>
    <w:p>
      <w:pPr>
        <w:ind w:left="0" w:right="0" w:hanging="2"/>
        <w:jc w:val="both"/>
        <w:rPr>
          <w:b/>
          <w:bCs/>
          <w:sz w:val="28"/>
          <w:szCs w:val="30"/>
          <w:rtl/>
          <w:lang w:eastAsia="en-US"/>
        </w:rPr>
      </w:pPr>
      <w:r>
        <w:rPr>
          <w:rFonts w:hint="cs"/>
          <w:b/>
          <w:bCs/>
          <w:sz w:val="28"/>
          <w:szCs w:val="30"/>
          <w:rtl/>
          <w:lang w:eastAsia="en-US"/>
        </w:rPr>
        <w:t>תוצאות ביקורת חשבונות המועמדים</w:t>
      </w:r>
    </w:p>
    <w:p>
      <w:pPr>
        <w:ind w:left="0" w:right="0" w:hanging="2"/>
        <w:jc w:val="both"/>
        <w:rPr>
          <w:rFonts w:hint="cs"/>
          <w:b/>
          <w:bCs/>
          <w:sz w:val="28"/>
          <w:szCs w:val="30"/>
          <w:rtl/>
          <w:lang w:eastAsia="en-US"/>
        </w:rPr>
      </w:pPr>
      <w:r>
        <w:rPr>
          <w:b/>
          <w:bCs/>
          <w:sz w:val="28"/>
          <w:szCs w:val="30"/>
          <w:rtl/>
          <w:lang w:eastAsia="en-US"/>
        </w:rPr>
        <w:br w:type="page"/>
      </w:r>
    </w:p>
    <w:p>
      <w:pPr>
        <w:tabs>
          <w:tab w:val="left" w:pos="282"/>
          <w:tab w:val="left" w:pos="849"/>
        </w:tabs>
        <w:ind w:left="849" w:right="0" w:hanging="849"/>
        <w:jc w:val="both"/>
        <w:rPr>
          <w:rFonts w:hint="cs"/>
          <w:sz w:val="26"/>
          <w:rtl/>
          <w:lang w:eastAsia="en-US"/>
        </w:rPr>
      </w:pPr>
      <w:r>
        <w:rPr>
          <w:rFonts w:hint="cs"/>
          <w:sz w:val="26"/>
          <w:rtl/>
          <w:lang w:eastAsia="en-US"/>
        </w:rPr>
        <w:tab/>
      </w:r>
    </w:p>
    <w:p>
      <w:pPr>
        <w:tabs>
          <w:tab w:val="left" w:pos="-2"/>
        </w:tabs>
        <w:ind w:left="282" w:right="0" w:hanging="720"/>
        <w:jc w:val="both"/>
        <w:rPr>
          <w:rFonts w:hint="cs"/>
          <w:b/>
          <w:bCs/>
          <w:rtl/>
        </w:rPr>
      </w:pPr>
      <w:r>
        <w:rPr>
          <w:rFonts w:hint="cs"/>
          <w:rtl/>
        </w:rPr>
        <w:tab/>
      </w:r>
      <w:r>
        <w:rPr>
          <w:rFonts w:hint="cs"/>
          <w:b/>
          <w:bCs/>
          <w:rtl/>
        </w:rPr>
        <w:t xml:space="preserve">אביטן חיים </w:t>
      </w:r>
    </w:p>
    <w:p>
      <w:pPr>
        <w:ind w:left="0" w:right="0"/>
        <w:jc w:val="both"/>
        <w:rPr>
          <w:rFonts w:hint="cs"/>
          <w:rtl/>
        </w:rPr>
      </w:pPr>
      <w:r>
        <w:rPr>
          <w:rFonts w:hint="cs"/>
          <w:sz w:val="26"/>
          <w:rtl/>
        </w:rPr>
        <w:t>מר אביטן נבחר לעמוד בראשות הרשות המקומית וזכאי למימון מאוצר המדינה. על פי הדוח הכספי שלו, הסתכמו הכנסותיו בתקופת הבחירות ב-2,586,248 ש"ח, והוצאותיו בתקופת הבחירות הסתכמו ב- 1,680,663 ש"ח, מתוכם סך של כ-748,400 ש"ח שולם לפעילים.</w:t>
      </w:r>
    </w:p>
    <w:p>
      <w:pPr>
        <w:ind w:left="0" w:right="0"/>
        <w:jc w:val="both"/>
        <w:rPr>
          <w:rFonts w:hint="cs"/>
          <w:sz w:val="26"/>
          <w:rtl/>
        </w:rPr>
      </w:pPr>
      <w:r>
        <w:rPr>
          <w:rFonts w:hint="cs"/>
          <w:sz w:val="26"/>
          <w:rtl/>
        </w:rPr>
        <w:t>הוצאות הבחירות שלו בתקופת הבחירות היו בגבולות שנקבעו בסעיף 15 לחוק.</w:t>
      </w:r>
    </w:p>
    <w:p>
      <w:pPr>
        <w:ind w:left="0" w:right="0"/>
        <w:jc w:val="both"/>
        <w:rPr>
          <w:rFonts w:hint="cs"/>
          <w:sz w:val="26"/>
          <w:rtl/>
        </w:rPr>
      </w:pPr>
    </w:p>
    <w:p>
      <w:pPr>
        <w:ind w:left="0" w:right="0"/>
        <w:jc w:val="both"/>
        <w:rPr>
          <w:rFonts w:hint="cs"/>
          <w:sz w:val="26"/>
          <w:rtl/>
        </w:rPr>
      </w:pPr>
      <w:r>
        <w:rPr>
          <w:rFonts w:hint="cs"/>
          <w:sz w:val="26"/>
          <w:rtl/>
        </w:rPr>
        <w:t>סכום של 63,734 ש"ח שהופרש להוצאות בלתי צפויות, אינו הוצאת בחירות כמשמעותה בחוק. לכן הוצאות הבחירות של המועמד הן 1,616,929 ש"ח.</w:t>
      </w:r>
    </w:p>
    <w:p>
      <w:pPr>
        <w:ind w:left="0" w:right="0"/>
        <w:jc w:val="both"/>
        <w:rPr>
          <w:rFonts w:hint="cs"/>
          <w:sz w:val="26"/>
          <w:rtl/>
        </w:rPr>
      </w:pPr>
    </w:p>
    <w:p>
      <w:pPr>
        <w:ind w:left="0" w:right="0"/>
        <w:jc w:val="both"/>
        <w:rPr>
          <w:rFonts w:hint="cs"/>
          <w:sz w:val="26"/>
          <w:rtl/>
        </w:rPr>
      </w:pPr>
      <w:r>
        <w:rPr>
          <w:rFonts w:hint="cs"/>
          <w:sz w:val="26"/>
          <w:rtl/>
        </w:rPr>
        <w:t>הכנסות המועמד בתקופת הבחירות היו בגבולות שנקבעו בסעיף 16 לחוק לענין קבלת תרומות.</w:t>
      </w:r>
    </w:p>
    <w:p>
      <w:pPr>
        <w:ind w:left="0" w:right="0"/>
        <w:jc w:val="both"/>
        <w:rPr>
          <w:rFonts w:hint="cs"/>
          <w:sz w:val="26"/>
          <w:rtl/>
        </w:rPr>
      </w:pPr>
    </w:p>
    <w:p>
      <w:pPr>
        <w:ind w:left="0" w:right="0"/>
        <w:jc w:val="both"/>
        <w:rPr>
          <w:rFonts w:hint="cs"/>
          <w:sz w:val="26"/>
          <w:rtl/>
        </w:rPr>
      </w:pPr>
      <w:r>
        <w:rPr>
          <w:rFonts w:hint="cs"/>
          <w:sz w:val="26"/>
          <w:rtl/>
        </w:rPr>
        <w:t>לפיכך, ניתן דוח לא חיובי לגבי תוצאות ביקורת חשבונות המועמד בתקופת הבחירות.</w:t>
      </w:r>
    </w:p>
    <w:p>
      <w:pPr>
        <w:ind w:left="0" w:right="0"/>
        <w:jc w:val="both"/>
        <w:rPr>
          <w:rFonts w:hint="cs"/>
          <w:sz w:val="26"/>
          <w:rtl/>
        </w:rPr>
      </w:pPr>
    </w:p>
    <w:p>
      <w:pPr>
        <w:ind w:left="0" w:right="0"/>
        <w:jc w:val="both"/>
        <w:rPr>
          <w:rFonts w:hint="cs"/>
          <w:sz w:val="26"/>
          <w:rtl/>
        </w:rPr>
      </w:pPr>
      <w:r>
        <w:rPr>
          <w:rFonts w:hint="cs"/>
          <w:sz w:val="26"/>
          <w:rtl/>
        </w:rPr>
        <w:t>הוצאות הבחירות של המועמד היו נמוכות מ-85% מהמימון המגיע לו על פי החוק. ולכן אין משמעות להטלת סנקציה עליו.</w:t>
      </w:r>
    </w:p>
    <w:p>
      <w:pPr>
        <w:ind w:left="0" w:right="0"/>
        <w:jc w:val="both"/>
        <w:rPr>
          <w:rFonts w:hint="cs"/>
          <w:sz w:val="26"/>
          <w:rtl/>
        </w:rPr>
      </w:pPr>
    </w:p>
    <w:p>
      <w:pPr>
        <w:pStyle w:val="Heading6"/>
        <w:ind w:left="0" w:right="0"/>
        <w:jc w:val="both"/>
        <w:rPr>
          <w:rFonts w:hint="cs"/>
          <w:sz w:val="26"/>
          <w:rtl/>
        </w:rPr>
      </w:pPr>
      <w:r>
        <w:rPr>
          <w:rFonts w:hint="cs"/>
          <w:sz w:val="26"/>
          <w:rtl/>
        </w:rPr>
        <w:t>בן דוד סדי</w:t>
      </w:r>
    </w:p>
    <w:p>
      <w:pPr>
        <w:ind w:left="0" w:right="0"/>
        <w:jc w:val="both"/>
        <w:rPr>
          <w:rFonts w:hint="cs"/>
          <w:sz w:val="26"/>
          <w:rtl/>
        </w:rPr>
      </w:pPr>
      <w:r>
        <w:rPr>
          <w:rFonts w:hint="cs"/>
          <w:sz w:val="26"/>
          <w:rtl/>
        </w:rPr>
        <w:t>המועמד אינו זכאי למימון מאוצר המדינה. על פי הדוח הכספי שלו, לא היו לו כל הכנסות בתקופת הבחירות והוצאותיו בתקופת הבחירות הסתכמו ב- 203,325 ש"ח.</w:t>
      </w:r>
    </w:p>
    <w:p>
      <w:pPr>
        <w:ind w:left="0" w:right="0"/>
        <w:jc w:val="both"/>
        <w:rPr>
          <w:rFonts w:hint="cs"/>
          <w:sz w:val="26"/>
          <w:rtl/>
        </w:rPr>
      </w:pPr>
    </w:p>
    <w:p>
      <w:pPr>
        <w:ind w:left="0" w:right="0"/>
        <w:jc w:val="both"/>
        <w:rPr>
          <w:rFonts w:hint="cs"/>
          <w:sz w:val="26"/>
          <w:rtl/>
        </w:rPr>
      </w:pPr>
      <w:r>
        <w:rPr>
          <w:rFonts w:hint="cs"/>
          <w:sz w:val="26"/>
          <w:rtl/>
        </w:rPr>
        <w:t xml:space="preserve">המועמד ניהל את חשבונותיו בתקופת הבחירות לפי הנחיות מבקר המדינה. </w:t>
      </w:r>
    </w:p>
    <w:p>
      <w:pPr>
        <w:ind w:left="0" w:right="0"/>
        <w:jc w:val="both"/>
        <w:rPr>
          <w:rFonts w:hint="cs"/>
          <w:sz w:val="26"/>
          <w:rtl/>
        </w:rPr>
      </w:pPr>
    </w:p>
    <w:p>
      <w:pPr>
        <w:ind w:left="0" w:right="0"/>
        <w:jc w:val="both"/>
        <w:rPr>
          <w:rFonts w:hint="cs"/>
          <w:sz w:val="26"/>
          <w:rtl/>
        </w:rPr>
      </w:pPr>
      <w:r>
        <w:rPr>
          <w:rFonts w:hint="cs"/>
          <w:sz w:val="26"/>
          <w:rtl/>
        </w:rPr>
        <w:t>הוצאות הבחירות שלו בתקופת הבחירות היו בגבולות שנקבעו בסעיף 15 לחוק.</w:t>
      </w:r>
    </w:p>
    <w:p>
      <w:pPr>
        <w:ind w:left="0" w:right="0"/>
        <w:jc w:val="both"/>
        <w:rPr>
          <w:rFonts w:hint="cs"/>
          <w:sz w:val="26"/>
          <w:rtl/>
        </w:rPr>
      </w:pPr>
    </w:p>
    <w:p>
      <w:pPr>
        <w:ind w:left="0" w:right="0"/>
        <w:jc w:val="both"/>
        <w:rPr>
          <w:rFonts w:hint="cs"/>
          <w:sz w:val="26"/>
          <w:rtl/>
        </w:rPr>
      </w:pPr>
      <w:r>
        <w:rPr>
          <w:rFonts w:hint="cs"/>
          <w:sz w:val="26"/>
          <w:rtl/>
        </w:rPr>
        <w:t>גירעון המועמד בתקופת הבחירות היה 203,325 ש"ח והוא מומן על-ידי המועמד.</w:t>
      </w:r>
      <w:r>
        <w:rPr>
          <w:rFonts w:hint="cs"/>
          <w:sz w:val="26"/>
          <w:rtl/>
          <w:lang w:eastAsia="en-US"/>
        </w:rPr>
        <w:t xml:space="preserve"> </w:t>
      </w:r>
      <w:r>
        <w:rPr>
          <w:rFonts w:hint="cs"/>
          <w:sz w:val="26"/>
          <w:rtl/>
        </w:rPr>
        <w:t xml:space="preserve">לפיכך, הכנסותיו חרגו מהגבולות שנקבעו בסעיף 16 לחוק לעניין קבלת תרומות. </w:t>
      </w:r>
    </w:p>
    <w:p>
      <w:pPr>
        <w:ind w:left="0" w:right="0"/>
        <w:jc w:val="both"/>
        <w:rPr>
          <w:rFonts w:hint="cs"/>
          <w:sz w:val="26"/>
          <w:rtl/>
        </w:rPr>
      </w:pPr>
    </w:p>
    <w:p>
      <w:pPr>
        <w:ind w:left="0" w:right="0"/>
        <w:jc w:val="both"/>
        <w:rPr>
          <w:rFonts w:hint="cs"/>
          <w:sz w:val="26"/>
          <w:rtl/>
        </w:rPr>
      </w:pPr>
      <w:r>
        <w:rPr>
          <w:rFonts w:hint="cs"/>
          <w:sz w:val="26"/>
          <w:rtl/>
        </w:rPr>
        <w:t>לפיכך ניתן דוח לא חיובי לגבי תוצאות ביקורת חשבונות המועמד בתקופת הבחירות.</w:t>
      </w:r>
    </w:p>
    <w:p>
      <w:pPr>
        <w:ind w:left="0" w:right="0"/>
        <w:jc w:val="both"/>
        <w:rPr>
          <w:rFonts w:hint="cs"/>
          <w:sz w:val="26"/>
          <w:rtl/>
        </w:rPr>
      </w:pPr>
    </w:p>
    <w:p>
      <w:pPr>
        <w:ind w:left="0" w:right="0"/>
        <w:jc w:val="both"/>
        <w:rPr>
          <w:rFonts w:hint="cs"/>
          <w:sz w:val="26"/>
          <w:rtl/>
        </w:rPr>
      </w:pPr>
      <w:r>
        <w:rPr>
          <w:rFonts w:hint="cs"/>
          <w:sz w:val="26"/>
          <w:rtl/>
        </w:rPr>
        <w:t>החוק אינו קובע סנקציה כספית בגין דוח לא חיובי כאשר המועמד אינו זכאי למימון ממלכתי.</w:t>
      </w:r>
    </w:p>
    <w:p>
      <w:pPr>
        <w:ind w:left="0" w:right="0"/>
        <w:jc w:val="both"/>
        <w:rPr>
          <w:rFonts w:hint="cs"/>
          <w:sz w:val="26"/>
          <w:rtl/>
        </w:rPr>
      </w:pPr>
    </w:p>
    <w:p>
      <w:pPr>
        <w:pStyle w:val="Heading6"/>
        <w:spacing w:line="312" w:lineRule="auto"/>
        <w:ind w:left="0" w:right="0"/>
        <w:jc w:val="both"/>
        <w:rPr>
          <w:rFonts w:hint="cs"/>
          <w:rtl/>
        </w:rPr>
      </w:pPr>
      <w:r>
        <w:rPr>
          <w:rFonts w:hint="cs"/>
          <w:rtl/>
        </w:rPr>
        <w:t>יעקבי יגאל</w:t>
      </w:r>
    </w:p>
    <w:p>
      <w:pPr>
        <w:ind w:left="0" w:right="0"/>
        <w:jc w:val="both"/>
        <w:rPr>
          <w:rFonts w:hint="cs"/>
          <w:rtl/>
        </w:rPr>
      </w:pPr>
      <w:r>
        <w:rPr>
          <w:rFonts w:hint="cs"/>
          <w:rtl/>
        </w:rPr>
        <w:t>המועמד, אשר אינו זכאי למימון מאוצר המדינה, לא מסר דוח כספי למבקר המדינה חרף פניות חוזרות ונשנות. בהיעדר הדוח הכספי, הדוח לגביו אינו חיובי.</w:t>
      </w:r>
    </w:p>
    <w:p>
      <w:pPr>
        <w:ind w:left="0" w:right="0"/>
        <w:jc w:val="both"/>
        <w:rPr>
          <w:rFonts w:hint="cs"/>
          <w:rtl/>
        </w:rPr>
      </w:pPr>
    </w:p>
    <w:p>
      <w:pPr>
        <w:ind w:left="360" w:right="0"/>
        <w:jc w:val="both"/>
        <w:rPr>
          <w:rtl/>
        </w:rPr>
      </w:pPr>
      <w:r>
        <w:rPr>
          <w:rFonts w:hint="cs"/>
          <w:rtl/>
        </w:rPr>
        <w:t>החוק אינו קובע סנקציה כספית בגין דוח לא חיובי כאשר המועמד אינו זכאי למימון ממלכתי.</w:t>
      </w:r>
    </w:p>
    <w:p>
      <w:pPr>
        <w:ind w:left="360" w:right="0"/>
        <w:jc w:val="both"/>
        <w:rPr>
          <w:rFonts w:hint="cs"/>
          <w:rtl/>
        </w:rPr>
      </w:pPr>
      <w:r>
        <w:rPr>
          <w:rtl/>
        </w:rPr>
        <w:br w:type="page"/>
      </w:r>
    </w:p>
    <w:p>
      <w:pPr>
        <w:ind w:left="360" w:right="0"/>
        <w:jc w:val="both"/>
        <w:rPr>
          <w:rFonts w:hint="cs"/>
          <w:rtl/>
        </w:rPr>
      </w:pPr>
    </w:p>
    <w:p>
      <w:pPr>
        <w:ind w:left="360" w:right="0"/>
        <w:jc w:val="both"/>
        <w:rPr>
          <w:rFonts w:hint="cs"/>
          <w:rtl/>
        </w:rPr>
      </w:pPr>
    </w:p>
    <w:p>
      <w:pPr>
        <w:ind w:left="360" w:right="0"/>
        <w:jc w:val="both"/>
        <w:rPr>
          <w:rFonts w:hint="cs"/>
          <w:rtl/>
        </w:rPr>
      </w:pPr>
    </w:p>
    <w:p>
      <w:pPr>
        <w:ind w:left="360" w:right="0"/>
        <w:jc w:val="both"/>
        <w:rPr>
          <w:rFonts w:hint="cs"/>
          <w:rtl/>
        </w:rPr>
      </w:pPr>
    </w:p>
    <w:p>
      <w:pPr>
        <w:pStyle w:val="Heading6"/>
        <w:spacing w:line="312" w:lineRule="auto"/>
        <w:ind w:left="0" w:right="0"/>
        <w:jc w:val="both"/>
        <w:rPr>
          <w:rFonts w:hint="cs"/>
          <w:rtl/>
        </w:rPr>
      </w:pPr>
      <w:r>
        <w:rPr>
          <w:rFonts w:hint="cs"/>
          <w:rtl/>
        </w:rPr>
        <w:t>שטיין יעקב</w:t>
      </w:r>
    </w:p>
    <w:p>
      <w:pPr>
        <w:ind w:left="0" w:right="0"/>
        <w:jc w:val="both"/>
        <w:rPr>
          <w:rFonts w:hint="cs"/>
          <w:rtl/>
        </w:rPr>
      </w:pPr>
      <w:r>
        <w:rPr>
          <w:rFonts w:hint="cs"/>
          <w:rtl/>
        </w:rPr>
        <w:t>המועמד אינו זכאי למימון מאוצר המדינה. על פי הדוח הכספי שלו, לא היו לו כל הכנסות בתקופת הבחירות והוצאותיו בתקופת הבחירות הסתכמו ב- 49,280 ש"ח.</w:t>
      </w:r>
    </w:p>
    <w:p>
      <w:pPr>
        <w:ind w:left="0" w:right="0"/>
        <w:jc w:val="both"/>
        <w:rPr>
          <w:rFonts w:hint="cs"/>
          <w:rtl/>
        </w:rPr>
      </w:pPr>
    </w:p>
    <w:p>
      <w:pPr>
        <w:ind w:left="0" w:right="0"/>
        <w:jc w:val="both"/>
        <w:rPr>
          <w:rFonts w:hint="cs"/>
          <w:rtl/>
        </w:rPr>
      </w:pPr>
      <w:r>
        <w:rPr>
          <w:rFonts w:ascii="Arial" w:hAnsi="Arial" w:hint="cs"/>
          <w:rtl/>
          <w:lang w:eastAsia="en-US"/>
        </w:rPr>
        <w:t>המועמד ניהל את חשבונותיו בתקופת הבחירות שלא בהתאמה מלאה להנחיות מבקר המדינה. הדבר התבטא בעיקר בכך שהמועמד לא פתח חשבון בנק נפרד לניהול חשבונותיו ושלחלק מהוצאותיו</w:t>
      </w:r>
      <w:r>
        <w:rPr>
          <w:rFonts w:hint="cs"/>
          <w:rtl/>
        </w:rPr>
        <w:t xml:space="preserve"> חסרו אסמכתאות.</w:t>
      </w:r>
    </w:p>
    <w:p>
      <w:pPr>
        <w:ind w:left="0" w:right="0"/>
        <w:jc w:val="both"/>
        <w:rPr>
          <w:rFonts w:hint="cs"/>
          <w:rtl/>
        </w:rPr>
      </w:pPr>
    </w:p>
    <w:p>
      <w:pPr>
        <w:ind w:left="0" w:right="0"/>
        <w:jc w:val="both"/>
        <w:rPr>
          <w:rFonts w:hint="cs"/>
          <w:rtl/>
        </w:rPr>
      </w:pPr>
      <w:r>
        <w:rPr>
          <w:rFonts w:hint="cs"/>
          <w:rtl/>
        </w:rPr>
        <w:t>הוצאות הבחירות של המועמד היו בגבולות שנקבעו בסעיף 15 לחוק.</w:t>
      </w:r>
    </w:p>
    <w:p>
      <w:pPr>
        <w:ind w:left="0" w:right="0"/>
        <w:jc w:val="both"/>
        <w:rPr>
          <w:rFonts w:hint="cs"/>
          <w:rtl/>
          <w:lang w:eastAsia="en-US"/>
        </w:rPr>
      </w:pPr>
    </w:p>
    <w:p>
      <w:pPr>
        <w:ind w:left="0" w:right="0"/>
        <w:jc w:val="both"/>
        <w:rPr>
          <w:rFonts w:hint="cs"/>
          <w:rtl/>
        </w:rPr>
      </w:pPr>
      <w:r>
        <w:rPr>
          <w:rFonts w:ascii="Arial" w:hAnsi="Arial" w:hint="cs"/>
          <w:rtl/>
          <w:lang w:eastAsia="en-US"/>
        </w:rPr>
        <w:t xml:space="preserve">גירעון המועמד בתקופת הבחירות היה </w:t>
      </w:r>
      <w:r>
        <w:rPr>
          <w:rFonts w:hint="cs"/>
          <w:rtl/>
        </w:rPr>
        <w:t>49,28</w:t>
      </w:r>
      <w:r>
        <w:rPr>
          <w:rFonts w:hint="cs"/>
          <w:rtl/>
        </w:rPr>
        <w:t xml:space="preserve">0 </w:t>
      </w:r>
      <w:r>
        <w:rPr>
          <w:rFonts w:ascii="Arial" w:hAnsi="Arial" w:hint="cs"/>
          <w:rtl/>
          <w:lang w:eastAsia="en-US"/>
        </w:rPr>
        <w:t xml:space="preserve">ש"ח </w:t>
      </w:r>
      <w:r>
        <w:rPr>
          <w:rFonts w:hint="cs"/>
          <w:sz w:val="26"/>
          <w:rtl/>
        </w:rPr>
        <w:t>והוא מומן על-ידי המועמד.</w:t>
      </w:r>
      <w:r>
        <w:rPr>
          <w:rFonts w:hint="cs"/>
          <w:sz w:val="26"/>
          <w:rtl/>
          <w:lang w:eastAsia="en-US"/>
        </w:rPr>
        <w:t xml:space="preserve"> </w:t>
      </w:r>
      <w:r>
        <w:rPr>
          <w:rFonts w:hint="cs"/>
          <w:sz w:val="26"/>
          <w:rtl/>
        </w:rPr>
        <w:t xml:space="preserve">לפיכך, </w:t>
      </w:r>
      <w:r>
        <w:rPr>
          <w:rFonts w:hint="cs"/>
          <w:rtl/>
        </w:rPr>
        <w:t xml:space="preserve">הכנסותיו חרגו מהגבולות שנקבעו בסעיף 16 לחוק לעניין קבלת תרומות. </w:t>
      </w:r>
    </w:p>
    <w:p>
      <w:pPr>
        <w:tabs>
          <w:tab w:val="left" w:pos="282"/>
        </w:tabs>
        <w:ind w:left="282" w:right="0" w:hanging="720"/>
        <w:jc w:val="both"/>
        <w:rPr>
          <w:rFonts w:hint="cs"/>
          <w:rtl/>
        </w:rPr>
      </w:pPr>
    </w:p>
    <w:p>
      <w:pPr>
        <w:ind w:left="0" w:right="0"/>
        <w:jc w:val="both"/>
        <w:rPr>
          <w:rFonts w:hint="cs"/>
          <w:rtl/>
        </w:rPr>
      </w:pPr>
      <w:r>
        <w:rPr>
          <w:rFonts w:hint="cs"/>
          <w:rtl/>
        </w:rPr>
        <w:t>לפיכך ניתן דוח לא חיובי לגבי תוצאות ביקורת חשבונות המועמד בתקופת הבחירות.</w:t>
      </w:r>
    </w:p>
    <w:p>
      <w:pPr>
        <w:ind w:left="0" w:right="0"/>
        <w:jc w:val="both"/>
        <w:rPr>
          <w:rFonts w:hint="cs"/>
          <w:rtl/>
        </w:rPr>
      </w:pPr>
    </w:p>
    <w:p>
      <w:pPr>
        <w:ind w:left="0" w:right="0"/>
        <w:jc w:val="both"/>
        <w:rPr>
          <w:rFonts w:hint="cs"/>
          <w:rtl/>
        </w:rPr>
      </w:pPr>
      <w:r>
        <w:rPr>
          <w:rFonts w:hint="cs"/>
          <w:rtl/>
        </w:rPr>
        <w:t>החוק אינו קובע סנקציה כספית בגין דוח לא חיובי כאשר המועמד אינו זכאי למימון ממלכתי.</w:t>
      </w:r>
    </w:p>
    <w:p>
      <w:pPr>
        <w:tabs>
          <w:tab w:val="left" w:pos="282"/>
          <w:tab w:val="left" w:pos="849"/>
        </w:tabs>
        <w:ind w:left="849" w:right="0" w:hanging="849"/>
        <w:jc w:val="both"/>
        <w:rPr>
          <w:rFonts w:hint="cs"/>
          <w:sz w:val="26"/>
          <w:rtl/>
          <w:lang w:eastAsia="en-US"/>
        </w:rPr>
      </w:pPr>
    </w:p>
    <w:p>
      <w:pPr>
        <w:ind w:left="0" w:right="0" w:hanging="720"/>
        <w:jc w:val="both"/>
        <w:rPr>
          <w:rFonts w:hint="cs"/>
          <w:rtl/>
        </w:rPr>
      </w:pPr>
    </w:p>
    <w:p>
      <w:pPr>
        <w:pStyle w:val="Heading2"/>
        <w:tabs>
          <w:tab w:val="left" w:pos="6235"/>
        </w:tabs>
        <w:ind w:left="0" w:right="0" w:hanging="720"/>
        <w:jc w:val="both"/>
        <w:rPr>
          <w:rFonts w:hint="cs"/>
          <w:sz w:val="20"/>
          <w:rtl/>
          <w:lang w:eastAsia="en-US"/>
        </w:rPr>
      </w:pPr>
    </w:p>
    <w:p>
      <w:pPr>
        <w:pStyle w:val="Heading2"/>
        <w:tabs>
          <w:tab w:val="left" w:pos="6235"/>
        </w:tabs>
        <w:ind w:left="0" w:right="0" w:hanging="720"/>
        <w:jc w:val="both"/>
        <w:rPr>
          <w:rFonts w:hint="cs"/>
          <w:sz w:val="20"/>
          <w:rtl/>
          <w:lang w:eastAsia="en-US"/>
        </w:rPr>
      </w:pPr>
    </w:p>
    <w:p>
      <w:pPr>
        <w:pStyle w:val="Heading2"/>
        <w:tabs>
          <w:tab w:val="left" w:pos="6235"/>
        </w:tabs>
        <w:ind w:left="0" w:right="0" w:hanging="720"/>
        <w:jc w:val="both"/>
        <w:rPr>
          <w:rFonts w:hint="cs"/>
          <w:sz w:val="20"/>
          <w:rtl/>
          <w:lang w:eastAsia="en-US"/>
        </w:rPr>
      </w:pPr>
      <w:r>
        <w:rPr>
          <w:rFonts w:hint="cs"/>
          <w:sz w:val="20"/>
          <w:rtl/>
          <w:lang w:eastAsia="en-US"/>
        </w:rPr>
        <w:tab/>
        <w:tab/>
        <w:t>מיכה לינדנשטראוס</w:t>
      </w:r>
    </w:p>
    <w:p>
      <w:pPr>
        <w:tabs>
          <w:tab w:val="left" w:pos="6235"/>
        </w:tabs>
        <w:ind w:left="0" w:right="0" w:hanging="720"/>
        <w:jc w:val="both"/>
        <w:rPr>
          <w:rFonts w:hint="cs"/>
          <w:sz w:val="26"/>
          <w:rtl/>
          <w:lang w:eastAsia="en-US"/>
        </w:rPr>
      </w:pPr>
      <w:r>
        <w:rPr>
          <w:noProof/>
          <w:rtl/>
          <w:lang w:val="he-IL"/>
        </w:rPr>
        <w:pict>
          <v:shape id="_x0000_s1027" type="#_x0000_t75" style="width:108pt;height:67.45pt;margin-top:1.6pt;margin-left:0;mso-wrap-edited:f;position:absolute;z-index:-251657216" wrapcoords="-150 0 -150 21360 21600 21360 21600 0 -150 0" stroked="f">
            <v:imagedata r:id="rId8" o:title="C:\WINDOWS\Desktop\צילום של מיכה לינדנשטראוס\חתימה 1\חתימה_TIFF.tif"/>
          </v:shape>
        </w:pict>
      </w:r>
      <w:r>
        <w:rPr>
          <w:rFonts w:hint="cs"/>
          <w:rtl/>
          <w:lang w:eastAsia="en-US"/>
        </w:rPr>
        <w:t xml:space="preserve"> </w:t>
        <w:tab/>
        <w:tab/>
        <w:t xml:space="preserve">    </w:t>
      </w:r>
      <w:r>
        <w:rPr>
          <w:rFonts w:hint="cs"/>
          <w:sz w:val="26"/>
          <w:rtl/>
          <w:lang w:eastAsia="en-US"/>
        </w:rPr>
        <w:t>מבקר המדינה</w:t>
      </w:r>
    </w:p>
    <w:p>
      <w:pPr>
        <w:tabs>
          <w:tab w:val="left" w:pos="6235"/>
        </w:tabs>
        <w:ind w:left="0" w:right="0" w:hanging="720"/>
        <w:jc w:val="both"/>
        <w:rPr>
          <w:rFonts w:hint="cs"/>
          <w:sz w:val="26"/>
          <w:rtl/>
          <w:lang w:eastAsia="en-US"/>
        </w:rPr>
      </w:pPr>
    </w:p>
    <w:p>
      <w:pPr>
        <w:tabs>
          <w:tab w:val="left" w:pos="6235"/>
        </w:tabs>
        <w:ind w:left="0" w:right="0" w:hanging="2"/>
        <w:jc w:val="both"/>
        <w:rPr>
          <w:rFonts w:hint="cs"/>
          <w:sz w:val="26"/>
          <w:rtl/>
          <w:lang w:eastAsia="en-US"/>
        </w:rPr>
      </w:pPr>
    </w:p>
    <w:p>
      <w:pPr>
        <w:tabs>
          <w:tab w:val="left" w:pos="6235"/>
        </w:tabs>
        <w:ind w:left="0" w:right="0" w:hanging="2"/>
        <w:jc w:val="both"/>
        <w:rPr>
          <w:rFonts w:hint="cs"/>
          <w:sz w:val="26"/>
          <w:rtl/>
          <w:lang w:eastAsia="en-US"/>
        </w:rPr>
      </w:pPr>
    </w:p>
    <w:p>
      <w:pPr>
        <w:tabs>
          <w:tab w:val="left" w:pos="6235"/>
        </w:tabs>
        <w:ind w:left="0" w:right="0" w:hanging="2"/>
        <w:jc w:val="both"/>
        <w:rPr>
          <w:rFonts w:hint="cs"/>
          <w:sz w:val="26"/>
          <w:rtl/>
          <w:lang w:eastAsia="en-US"/>
        </w:rPr>
      </w:pPr>
    </w:p>
    <w:p>
      <w:pPr>
        <w:tabs>
          <w:tab w:val="left" w:pos="6235"/>
        </w:tabs>
        <w:ind w:left="0" w:right="0" w:hanging="2"/>
        <w:jc w:val="both"/>
        <w:rPr>
          <w:rFonts w:hint="cs"/>
          <w:sz w:val="26"/>
          <w:rtl/>
          <w:lang w:eastAsia="en-US"/>
        </w:rPr>
      </w:pPr>
      <w:r>
        <w:rPr>
          <w:rFonts w:hint="cs"/>
          <w:sz w:val="26"/>
          <w:rtl/>
          <w:lang w:eastAsia="en-US"/>
        </w:rPr>
        <w:t>4 בינואר 2006</w:t>
      </w:r>
    </w:p>
    <w:p>
      <w:pPr>
        <w:ind w:left="360" w:right="0"/>
        <w:jc w:val="both"/>
        <w:rPr>
          <w:sz w:val="26"/>
          <w:rtl/>
          <w:lang w:eastAsia="en-US"/>
        </w:rPr>
      </w:pPr>
      <w:r>
        <w:rPr>
          <w:rFonts w:hint="cs"/>
          <w:sz w:val="26"/>
          <w:rtl/>
          <w:lang w:eastAsia="en-US"/>
        </w:rPr>
        <w:t>ד' בטבת התשס"ו</w:t>
      </w:r>
    </w:p>
    <w:p>
      <w:pPr>
        <w:ind w:left="360" w:right="0"/>
        <w:jc w:val="both"/>
        <w:rPr>
          <w:rFonts w:hint="cs"/>
          <w:sz w:val="26"/>
          <w:rtl/>
          <w:lang w:eastAsia="en-US"/>
        </w:rPr>
      </w:pPr>
      <w:r>
        <w:rPr>
          <w:sz w:val="26"/>
          <w:rtl/>
          <w:lang w:eastAsia="en-US"/>
        </w:rPr>
        <w:br w:type="page"/>
      </w:r>
    </w:p>
    <w:p>
      <w:pPr>
        <w:ind w:left="360" w:right="0"/>
        <w:jc w:val="both"/>
        <w:rPr>
          <w:rFonts w:hint="cs"/>
          <w:sz w:val="26"/>
          <w:rtl/>
          <w:lang w:eastAsia="en-US"/>
        </w:rPr>
      </w:pPr>
    </w:p>
    <w:p>
      <w:pPr>
        <w:ind w:left="360" w:right="0"/>
        <w:jc w:val="both"/>
        <w:rPr>
          <w:rFonts w:hint="cs"/>
          <w:sz w:val="26"/>
          <w:rtl/>
          <w:lang w:eastAsia="en-US"/>
        </w:rPr>
      </w:pPr>
    </w:p>
    <w:p>
      <w:pPr>
        <w:ind w:left="360" w:right="0"/>
        <w:jc w:val="both"/>
        <w:rPr>
          <w:rFonts w:hint="cs"/>
          <w:sz w:val="26"/>
          <w:rtl/>
          <w:lang w:eastAsia="en-US"/>
        </w:rPr>
      </w:pPr>
    </w:p>
    <w:p>
      <w:pPr>
        <w:ind w:left="360" w:right="0"/>
        <w:jc w:val="both"/>
        <w:rPr>
          <w:rFonts w:hint="cs"/>
          <w:sz w:val="26"/>
          <w:rtl/>
          <w:lang w:eastAsia="en-US"/>
        </w:rPr>
      </w:pPr>
    </w:p>
    <w:p>
      <w:pPr>
        <w:ind w:left="360" w:right="0"/>
        <w:jc w:val="both"/>
        <w:rPr>
          <w:rFonts w:hint="cs"/>
          <w:sz w:val="26"/>
          <w:rtl/>
          <w:lang w:eastAsia="en-US"/>
        </w:rPr>
      </w:pPr>
    </w:p>
    <w:p>
      <w:pPr>
        <w:ind w:left="360" w:right="0"/>
        <w:jc w:val="both"/>
        <w:rPr>
          <w:rFonts w:hint="cs"/>
          <w:sz w:val="26"/>
          <w:rtl/>
          <w:lang w:eastAsia="en-US"/>
        </w:rPr>
      </w:pPr>
    </w:p>
    <w:p>
      <w:pPr>
        <w:ind w:left="360" w:right="0"/>
        <w:jc w:val="both"/>
        <w:rPr>
          <w:rFonts w:hint="cs"/>
          <w:sz w:val="26"/>
          <w:rtl/>
          <w:lang w:eastAsia="en-US"/>
        </w:rPr>
      </w:pPr>
    </w:p>
    <w:p>
      <w:pPr>
        <w:tabs>
          <w:tab w:val="left" w:pos="6179"/>
        </w:tabs>
        <w:ind w:left="0" w:right="0"/>
        <w:jc w:val="center"/>
        <w:rPr>
          <w:b/>
          <w:bCs/>
          <w:rtl/>
          <w:lang w:eastAsia="en-US"/>
        </w:rPr>
      </w:pPr>
      <w:r>
        <w:rPr>
          <w:rFonts w:hint="cs"/>
          <w:b/>
          <w:bCs/>
          <w:rtl/>
          <w:lang w:eastAsia="en-US"/>
        </w:rPr>
        <w:t>חוק הרשויות המקומיות (מימון בחירות), התשנ"ג-1993;</w:t>
      </w:r>
    </w:p>
    <w:p>
      <w:pPr>
        <w:tabs>
          <w:tab w:val="left" w:pos="6179"/>
        </w:tabs>
        <w:ind w:left="0" w:right="0"/>
        <w:jc w:val="center"/>
        <w:rPr>
          <w:rFonts w:hint="cs"/>
          <w:b/>
          <w:bCs/>
          <w:rtl/>
          <w:lang w:eastAsia="en-US"/>
        </w:rPr>
      </w:pPr>
      <w:r>
        <w:rPr>
          <w:rFonts w:hint="cs"/>
          <w:b/>
          <w:bCs/>
          <w:rtl/>
          <w:lang w:eastAsia="en-US"/>
        </w:rPr>
        <w:t>הכנסות והוצאות המועמדים שהשתתפו בבחירות</w:t>
      </w:r>
    </w:p>
    <w:p>
      <w:pPr>
        <w:tabs>
          <w:tab w:val="left" w:pos="6179"/>
        </w:tabs>
        <w:ind w:left="0" w:right="0"/>
        <w:jc w:val="center"/>
        <w:rPr>
          <w:rFonts w:hint="cs"/>
          <w:b/>
          <w:bCs/>
          <w:rtl/>
          <w:lang w:eastAsia="en-US"/>
        </w:rPr>
      </w:pPr>
      <w:r>
        <w:rPr>
          <w:rFonts w:hint="cs"/>
          <w:b/>
          <w:bCs/>
          <w:rtl/>
          <w:lang w:eastAsia="en-US"/>
        </w:rPr>
        <w:t>המיוחדות לראש הרשות המקומית חדרה</w:t>
      </w:r>
    </w:p>
    <w:p>
      <w:pPr>
        <w:tabs>
          <w:tab w:val="left" w:pos="6179"/>
        </w:tabs>
        <w:ind w:left="0" w:right="0"/>
        <w:jc w:val="center"/>
        <w:rPr>
          <w:rFonts w:hint="cs"/>
          <w:b/>
          <w:bCs/>
          <w:rtl/>
          <w:lang w:eastAsia="en-US"/>
        </w:rPr>
      </w:pPr>
      <w:r>
        <w:rPr>
          <w:rFonts w:hint="cs"/>
          <w:b/>
          <w:bCs/>
          <w:rtl/>
          <w:lang w:eastAsia="en-US"/>
        </w:rPr>
        <w:t>במאי 2005 (בש"ח)</w:t>
      </w:r>
    </w:p>
    <w:p>
      <w:pPr>
        <w:tabs>
          <w:tab w:val="left" w:pos="6179"/>
        </w:tabs>
        <w:ind w:left="0" w:right="0"/>
        <w:jc w:val="both"/>
        <w:rPr>
          <w:rFonts w:hint="cs"/>
          <w:b/>
          <w:bCs/>
          <w:rtl/>
          <w:lang w:eastAsia="en-US"/>
        </w:rPr>
      </w:pPr>
      <w:r>
        <w:rPr>
          <w:b/>
          <w:bCs/>
          <w:rtl/>
          <w:lang w:eastAsia="en-US"/>
        </w:rPr>
        <w:pict>
          <v:line id="_x0000_s1028" style="flip:x;position:absolute;z-index:251660288" from="90pt,5.65pt" to="315pt,5.65pt"/>
        </w:pict>
      </w:r>
    </w:p>
    <w:p>
      <w:pPr>
        <w:tabs>
          <w:tab w:val="left" w:pos="6179"/>
        </w:tabs>
        <w:ind w:left="0" w:right="0"/>
        <w:jc w:val="both"/>
        <w:rPr>
          <w:rFonts w:hint="cs"/>
          <w:b/>
          <w:bCs/>
          <w:rtl/>
          <w:lang w:eastAsia="en-US"/>
        </w:rPr>
      </w:pPr>
    </w:p>
    <w:p>
      <w:pPr>
        <w:tabs>
          <w:tab w:val="left" w:pos="6179"/>
        </w:tabs>
        <w:ind w:left="0" w:right="0"/>
        <w:jc w:val="both"/>
        <w:rPr>
          <w:rFonts w:hint="cs"/>
          <w:b/>
          <w:bCs/>
          <w:rtl/>
          <w:lang w:eastAsia="en-US"/>
        </w:rPr>
      </w:pPr>
    </w:p>
    <w:p>
      <w:pPr>
        <w:tabs>
          <w:tab w:val="left" w:pos="6179"/>
        </w:tabs>
        <w:ind w:left="0" w:right="0"/>
        <w:jc w:val="both"/>
        <w:rPr>
          <w:rFonts w:hint="cs"/>
          <w:b/>
          <w:bCs/>
          <w:rtl/>
          <w:lang w:eastAsia="en-US"/>
        </w:rPr>
      </w:pPr>
    </w:p>
    <w:p>
      <w:pPr>
        <w:tabs>
          <w:tab w:val="left" w:pos="6179"/>
        </w:tabs>
        <w:ind w:left="0" w:right="0"/>
        <w:jc w:val="both"/>
        <w:rPr>
          <w:rtl/>
          <w:lang w:eastAsia="en-US"/>
        </w:rPr>
      </w:pPr>
    </w:p>
    <w:tbl>
      <w:tblPr>
        <w:tblW w:w="8097" w:type="dxa"/>
        <w:jc w:val="center"/>
        <w:tblInd w:w="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
      <w:tblGrid>
        <w:gridCol w:w="1465"/>
        <w:gridCol w:w="1080"/>
        <w:gridCol w:w="1187"/>
        <w:gridCol w:w="1187"/>
        <w:gridCol w:w="1183"/>
        <w:gridCol w:w="1261"/>
        <w:gridCol w:w="734"/>
      </w:tblGrid>
      <w:tr>
        <w:tblPrEx>
          <w:tblW w:w="8097" w:type="dxa"/>
          <w:jc w:val="center"/>
          <w:tblInd w:w="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cantSplit/>
          <w:tblHeader/>
          <w:jc w:val="center"/>
        </w:trPr>
        <w:tc>
          <w:tcPr>
            <w:tcW w:w="1499" w:type="dxa"/>
            <w:tcBorders>
              <w:top w:val="single" w:sz="4" w:space="0" w:color="auto"/>
              <w:bottom w:val="nil"/>
            </w:tcBorders>
          </w:tcPr>
          <w:p>
            <w:pPr>
              <w:tabs>
                <w:tab w:val="left" w:pos="6179"/>
              </w:tabs>
              <w:ind w:left="0" w:right="0"/>
              <w:jc w:val="both"/>
              <w:rPr>
                <w:rFonts w:hint="cs"/>
                <w:b/>
                <w:bCs/>
                <w:rtl/>
                <w:lang w:eastAsia="en-US"/>
              </w:rPr>
            </w:pPr>
            <w:r>
              <w:rPr>
                <w:rFonts w:hint="cs"/>
                <w:b/>
                <w:bCs/>
                <w:rtl/>
                <w:lang w:eastAsia="en-US"/>
              </w:rPr>
              <w:t xml:space="preserve">       דוח</w:t>
            </w:r>
          </w:p>
          <w:p>
            <w:pPr>
              <w:tabs>
                <w:tab w:val="left" w:pos="6179"/>
              </w:tabs>
              <w:ind w:left="0" w:right="0"/>
              <w:jc w:val="both"/>
              <w:rPr>
                <w:rFonts w:hint="cs"/>
                <w:b/>
                <w:bCs/>
                <w:rtl/>
                <w:lang w:eastAsia="en-US"/>
              </w:rPr>
            </w:pPr>
            <w:r>
              <w:rPr>
                <w:rFonts w:hint="cs"/>
                <w:b/>
                <w:bCs/>
                <w:rtl/>
                <w:lang w:eastAsia="en-US"/>
              </w:rPr>
              <w:t xml:space="preserve"> חיובי/לא חיובי</w:t>
            </w:r>
          </w:p>
        </w:tc>
        <w:tc>
          <w:tcPr>
            <w:tcW w:w="1025" w:type="dxa"/>
            <w:tcBorders>
              <w:top w:val="single" w:sz="4" w:space="0" w:color="auto"/>
              <w:bottom w:val="nil"/>
            </w:tcBorders>
          </w:tcPr>
          <w:p>
            <w:pPr>
              <w:tabs>
                <w:tab w:val="left" w:pos="6179"/>
              </w:tabs>
              <w:ind w:left="0" w:right="0"/>
              <w:jc w:val="both"/>
              <w:rPr>
                <w:rFonts w:hint="cs"/>
                <w:b/>
                <w:bCs/>
                <w:rtl/>
                <w:lang w:eastAsia="en-US"/>
              </w:rPr>
            </w:pPr>
            <w:r>
              <w:rPr>
                <w:rFonts w:hint="cs"/>
                <w:b/>
                <w:bCs/>
                <w:rtl/>
                <w:lang w:eastAsia="en-US"/>
              </w:rPr>
              <w:t>תקרת ההוצאות</w:t>
            </w:r>
          </w:p>
        </w:tc>
        <w:tc>
          <w:tcPr>
            <w:tcW w:w="1194" w:type="dxa"/>
            <w:tcBorders>
              <w:top w:val="single" w:sz="4" w:space="0" w:color="auto"/>
              <w:bottom w:val="nil"/>
            </w:tcBorders>
          </w:tcPr>
          <w:p>
            <w:pPr>
              <w:tabs>
                <w:tab w:val="left" w:pos="6179"/>
              </w:tabs>
              <w:ind w:left="0" w:right="0"/>
              <w:jc w:val="both"/>
              <w:rPr>
                <w:rFonts w:hint="cs"/>
                <w:b/>
                <w:bCs/>
                <w:rtl/>
                <w:lang w:eastAsia="en-US"/>
              </w:rPr>
            </w:pPr>
            <w:r>
              <w:rPr>
                <w:rFonts w:hint="cs"/>
                <w:b/>
                <w:bCs/>
                <w:rtl/>
                <w:lang w:eastAsia="en-US"/>
              </w:rPr>
              <w:t>הוצאות לפי הדוח הכספי של המועמד</w:t>
            </w:r>
          </w:p>
        </w:tc>
        <w:tc>
          <w:tcPr>
            <w:tcW w:w="1194" w:type="dxa"/>
            <w:tcBorders>
              <w:top w:val="single" w:sz="4" w:space="0" w:color="auto"/>
              <w:bottom w:val="single" w:sz="4" w:space="0" w:color="auto"/>
            </w:tcBorders>
          </w:tcPr>
          <w:p>
            <w:pPr>
              <w:tabs>
                <w:tab w:val="left" w:pos="6179"/>
              </w:tabs>
              <w:ind w:left="0" w:right="0"/>
              <w:jc w:val="both"/>
              <w:rPr>
                <w:rFonts w:hint="cs"/>
                <w:b/>
                <w:bCs/>
                <w:rtl/>
                <w:lang w:eastAsia="en-US"/>
              </w:rPr>
            </w:pPr>
            <w:r>
              <w:rPr>
                <w:rFonts w:hint="cs"/>
                <w:b/>
                <w:bCs/>
                <w:rtl/>
                <w:lang w:eastAsia="en-US"/>
              </w:rPr>
              <w:t>הכנסות לפי הדוח הכספי של המועמד</w:t>
            </w:r>
          </w:p>
        </w:tc>
        <w:tc>
          <w:tcPr>
            <w:tcW w:w="1190" w:type="dxa"/>
            <w:tcBorders>
              <w:top w:val="single" w:sz="4" w:space="0" w:color="auto"/>
              <w:bottom w:val="single" w:sz="4" w:space="0" w:color="auto"/>
            </w:tcBorders>
          </w:tcPr>
          <w:p>
            <w:pPr>
              <w:tabs>
                <w:tab w:val="left" w:pos="6179"/>
              </w:tabs>
              <w:ind w:left="0" w:right="0"/>
              <w:jc w:val="both"/>
              <w:rPr>
                <w:rFonts w:hint="cs"/>
                <w:b/>
                <w:bCs/>
                <w:rtl/>
                <w:lang w:eastAsia="en-US"/>
              </w:rPr>
            </w:pPr>
            <w:r>
              <w:rPr>
                <w:rFonts w:hint="cs"/>
                <w:b/>
                <w:bCs/>
                <w:rtl/>
                <w:lang w:eastAsia="en-US"/>
              </w:rPr>
              <w:t>מימון מאוצר המדינה</w:t>
            </w:r>
          </w:p>
          <w:p>
            <w:pPr>
              <w:tabs>
                <w:tab w:val="left" w:pos="6179"/>
              </w:tabs>
              <w:ind w:left="0" w:right="0"/>
              <w:jc w:val="both"/>
              <w:rPr>
                <w:b/>
                <w:bCs/>
                <w:rtl/>
                <w:lang w:eastAsia="en-US"/>
              </w:rPr>
            </w:pPr>
            <w:r>
              <w:rPr>
                <w:rFonts w:hint="cs"/>
                <w:b/>
                <w:bCs/>
                <w:rtl/>
                <w:lang w:eastAsia="en-US"/>
              </w:rPr>
              <w:t>100%</w:t>
            </w:r>
          </w:p>
        </w:tc>
        <w:tc>
          <w:tcPr>
            <w:tcW w:w="1286" w:type="dxa"/>
            <w:tcBorders>
              <w:top w:val="single" w:sz="4" w:space="0" w:color="auto"/>
              <w:bottom w:val="nil"/>
            </w:tcBorders>
          </w:tcPr>
          <w:p>
            <w:pPr>
              <w:tabs>
                <w:tab w:val="left" w:pos="6179"/>
              </w:tabs>
              <w:ind w:left="0" w:right="0"/>
              <w:jc w:val="both"/>
              <w:rPr>
                <w:rFonts w:hint="cs"/>
                <w:b/>
                <w:bCs/>
                <w:rtl/>
                <w:lang w:eastAsia="en-US"/>
              </w:rPr>
            </w:pPr>
            <w:r>
              <w:rPr>
                <w:rFonts w:hint="cs"/>
                <w:b/>
                <w:bCs/>
                <w:rtl/>
                <w:lang w:eastAsia="en-US"/>
              </w:rPr>
              <w:t>שם המועמד</w:t>
            </w:r>
          </w:p>
        </w:tc>
        <w:tc>
          <w:tcPr>
            <w:tcW w:w="709" w:type="dxa"/>
            <w:tcBorders>
              <w:top w:val="single" w:sz="4" w:space="0" w:color="auto"/>
              <w:bottom w:val="nil"/>
            </w:tcBorders>
          </w:tcPr>
          <w:p>
            <w:pPr>
              <w:tabs>
                <w:tab w:val="left" w:pos="6179"/>
              </w:tabs>
              <w:ind w:left="0" w:right="0"/>
              <w:jc w:val="both"/>
              <w:rPr>
                <w:rFonts w:hint="cs"/>
                <w:b/>
                <w:bCs/>
                <w:rtl/>
                <w:lang w:eastAsia="en-US"/>
              </w:rPr>
            </w:pPr>
            <w:r>
              <w:rPr>
                <w:rFonts w:hint="cs"/>
                <w:b/>
                <w:bCs/>
                <w:rtl/>
                <w:lang w:eastAsia="en-US"/>
              </w:rPr>
              <w:t>מס'</w:t>
            </w:r>
          </w:p>
          <w:p>
            <w:pPr>
              <w:tabs>
                <w:tab w:val="left" w:pos="6179"/>
              </w:tabs>
              <w:ind w:left="0" w:right="0"/>
              <w:jc w:val="both"/>
              <w:rPr>
                <w:rFonts w:hint="cs"/>
                <w:b/>
                <w:bCs/>
                <w:lang w:eastAsia="en-US"/>
              </w:rPr>
            </w:pPr>
            <w:r>
              <w:rPr>
                <w:rFonts w:hint="cs"/>
                <w:b/>
                <w:bCs/>
                <w:rtl/>
                <w:lang w:eastAsia="en-US"/>
              </w:rPr>
              <w:t>סיד'</w:t>
            </w:r>
          </w:p>
        </w:tc>
      </w:tr>
      <w:tr>
        <w:tblPrEx>
          <w:tblW w:w="8097" w:type="dxa"/>
          <w:jc w:val="center"/>
          <w:tblInd w:w="2196" w:type="dxa"/>
          <w:tblCellMar>
            <w:left w:w="108" w:type="dxa"/>
            <w:right w:w="108" w:type="dxa"/>
          </w:tblCellMar>
          <w:tblLook w:val="0000"/>
        </w:tblPrEx>
        <w:trPr>
          <w:cantSplit/>
          <w:trHeight w:val="297"/>
          <w:jc w:val="center"/>
        </w:trPr>
        <w:tc>
          <w:tcPr>
            <w:tcW w:w="1499" w:type="dxa"/>
            <w:tcBorders>
              <w:top w:val="double" w:sz="4" w:space="0" w:color="auto"/>
            </w:tcBorders>
            <w:vAlign w:val="center"/>
          </w:tcPr>
          <w:p>
            <w:pPr>
              <w:pStyle w:val="FootnoteText"/>
              <w:tabs>
                <w:tab w:val="left" w:pos="6179"/>
              </w:tabs>
              <w:ind w:left="567" w:right="0"/>
              <w:jc w:val="both"/>
              <w:rPr>
                <w:rFonts w:hint="cs"/>
                <w:lang w:eastAsia="en-US"/>
              </w:rPr>
            </w:pPr>
            <w:r>
              <w:rPr>
                <w:rFonts w:hint="cs"/>
                <w:rtl/>
                <w:lang w:eastAsia="en-US"/>
              </w:rPr>
              <w:t>לא חיובי</w:t>
            </w:r>
          </w:p>
        </w:tc>
        <w:tc>
          <w:tcPr>
            <w:tcW w:w="1025" w:type="dxa"/>
            <w:tcBorders>
              <w:top w:val="double" w:sz="4" w:space="0" w:color="auto"/>
            </w:tcBorders>
            <w:vAlign w:val="center"/>
          </w:tcPr>
          <w:p>
            <w:pPr>
              <w:tabs>
                <w:tab w:val="left" w:pos="6179"/>
              </w:tabs>
              <w:ind w:left="0" w:right="0"/>
              <w:jc w:val="both"/>
              <w:rPr>
                <w:rFonts w:hint="cs"/>
                <w:lang w:eastAsia="en-US"/>
              </w:rPr>
            </w:pPr>
            <w:r>
              <w:rPr>
                <w:rFonts w:hint="cs"/>
                <w:rtl/>
                <w:lang w:eastAsia="en-US"/>
              </w:rPr>
              <w:t>5,172,496</w:t>
            </w:r>
          </w:p>
        </w:tc>
        <w:tc>
          <w:tcPr>
            <w:tcW w:w="1194" w:type="dxa"/>
            <w:tcBorders>
              <w:top w:val="double" w:sz="4" w:space="0" w:color="auto"/>
            </w:tcBorders>
            <w:vAlign w:val="center"/>
          </w:tcPr>
          <w:p>
            <w:pPr>
              <w:tabs>
                <w:tab w:val="left" w:pos="6179"/>
              </w:tabs>
              <w:ind w:left="0" w:right="0"/>
              <w:jc w:val="both"/>
              <w:rPr>
                <w:rFonts w:hint="cs"/>
                <w:lang w:eastAsia="en-US"/>
              </w:rPr>
            </w:pPr>
            <w:r>
              <w:rPr>
                <w:rFonts w:hint="cs"/>
                <w:rtl/>
                <w:lang w:eastAsia="en-US"/>
              </w:rPr>
              <w:t>1,680,663</w:t>
            </w:r>
            <w:r>
              <w:rPr>
                <w:rStyle w:val="FootnoteReference"/>
                <w:rtl/>
                <w:lang w:eastAsia="en-US"/>
              </w:rPr>
              <w:footnoteReference w:id="5"/>
            </w:r>
          </w:p>
        </w:tc>
        <w:tc>
          <w:tcPr>
            <w:tcW w:w="1194" w:type="dxa"/>
            <w:tcBorders>
              <w:top w:val="double" w:sz="4" w:space="0" w:color="auto"/>
            </w:tcBorders>
            <w:vAlign w:val="center"/>
          </w:tcPr>
          <w:p>
            <w:pPr>
              <w:tabs>
                <w:tab w:val="left" w:pos="6179"/>
              </w:tabs>
              <w:ind w:left="0" w:right="0"/>
              <w:jc w:val="both"/>
              <w:rPr>
                <w:rFonts w:hint="cs"/>
                <w:lang w:eastAsia="en-US"/>
              </w:rPr>
            </w:pPr>
            <w:r>
              <w:rPr>
                <w:rFonts w:hint="cs"/>
                <w:rtl/>
                <w:lang w:eastAsia="en-US"/>
              </w:rPr>
              <w:t>2,586,248</w:t>
            </w:r>
          </w:p>
        </w:tc>
        <w:tc>
          <w:tcPr>
            <w:tcW w:w="1190" w:type="dxa"/>
            <w:tcBorders>
              <w:top w:val="double" w:sz="4" w:space="0" w:color="auto"/>
            </w:tcBorders>
            <w:vAlign w:val="center"/>
          </w:tcPr>
          <w:p>
            <w:pPr>
              <w:tabs>
                <w:tab w:val="left" w:pos="6179"/>
              </w:tabs>
              <w:ind w:left="0" w:right="0"/>
              <w:jc w:val="both"/>
              <w:rPr>
                <w:rFonts w:hint="cs"/>
                <w:lang w:eastAsia="en-US"/>
              </w:rPr>
            </w:pPr>
            <w:r>
              <w:rPr>
                <w:rFonts w:hint="cs"/>
                <w:rtl/>
                <w:lang w:eastAsia="en-US"/>
              </w:rPr>
              <w:t>2,586,248</w:t>
            </w:r>
          </w:p>
        </w:tc>
        <w:tc>
          <w:tcPr>
            <w:tcW w:w="1286" w:type="dxa"/>
            <w:tcBorders>
              <w:top w:val="double" w:sz="4" w:space="0" w:color="auto"/>
              <w:bottom w:val="single" w:sz="4" w:space="0" w:color="auto"/>
            </w:tcBorders>
            <w:vAlign w:val="center"/>
          </w:tcPr>
          <w:p>
            <w:pPr>
              <w:pStyle w:val="FootnoteText"/>
              <w:tabs>
                <w:tab w:val="left" w:pos="6179"/>
              </w:tabs>
              <w:ind w:left="567" w:right="0"/>
              <w:jc w:val="both"/>
              <w:rPr>
                <w:rFonts w:hint="cs"/>
                <w:lang w:eastAsia="en-US"/>
              </w:rPr>
            </w:pPr>
            <w:r>
              <w:rPr>
                <w:rFonts w:hint="cs"/>
                <w:rtl/>
                <w:lang w:eastAsia="en-US"/>
              </w:rPr>
              <w:t>אביטן חיים</w:t>
            </w:r>
          </w:p>
        </w:tc>
        <w:tc>
          <w:tcPr>
            <w:tcW w:w="709" w:type="dxa"/>
            <w:tcBorders>
              <w:top w:val="double" w:sz="4" w:space="0" w:color="auto"/>
              <w:bottom w:val="single" w:sz="4" w:space="0" w:color="auto"/>
            </w:tcBorders>
            <w:vAlign w:val="center"/>
          </w:tcPr>
          <w:p>
            <w:pPr>
              <w:pStyle w:val="FootnoteText"/>
              <w:tabs>
                <w:tab w:val="left" w:pos="6179"/>
              </w:tabs>
              <w:ind w:left="567" w:right="0"/>
              <w:jc w:val="both"/>
              <w:rPr>
                <w:rFonts w:hint="cs"/>
                <w:rtl/>
                <w:lang w:eastAsia="en-US"/>
              </w:rPr>
            </w:pPr>
            <w:r>
              <w:rPr>
                <w:rFonts w:hint="cs"/>
                <w:rtl/>
                <w:lang w:eastAsia="en-US"/>
              </w:rPr>
              <w:t>1</w:t>
            </w:r>
          </w:p>
          <w:p>
            <w:pPr>
              <w:pStyle w:val="FootnoteText"/>
              <w:tabs>
                <w:tab w:val="left" w:pos="6179"/>
              </w:tabs>
              <w:ind w:left="567" w:right="0"/>
              <w:jc w:val="both"/>
              <w:rPr>
                <w:rFonts w:hint="cs"/>
                <w:lang w:eastAsia="en-US"/>
              </w:rPr>
            </w:pPr>
          </w:p>
        </w:tc>
      </w:tr>
      <w:tr>
        <w:tblPrEx>
          <w:tblW w:w="8097" w:type="dxa"/>
          <w:jc w:val="center"/>
          <w:tblInd w:w="2196" w:type="dxa"/>
          <w:tblCellMar>
            <w:left w:w="108" w:type="dxa"/>
            <w:right w:w="108" w:type="dxa"/>
          </w:tblCellMar>
          <w:tblLook w:val="0000"/>
        </w:tblPrEx>
        <w:trPr>
          <w:cantSplit/>
          <w:trHeight w:val="323"/>
          <w:jc w:val="center"/>
        </w:trPr>
        <w:tc>
          <w:tcPr>
            <w:tcW w:w="1499" w:type="dxa"/>
            <w:vAlign w:val="center"/>
          </w:tcPr>
          <w:p>
            <w:pPr>
              <w:tabs>
                <w:tab w:val="left" w:pos="6179"/>
              </w:tabs>
              <w:ind w:left="0" w:right="0"/>
              <w:jc w:val="both"/>
              <w:rPr>
                <w:rFonts w:hint="cs"/>
                <w:lang w:eastAsia="en-US"/>
              </w:rPr>
            </w:pPr>
            <w:r>
              <w:rPr>
                <w:rFonts w:hint="cs"/>
                <w:rtl/>
                <w:lang w:eastAsia="en-US"/>
              </w:rPr>
              <w:t>לא חיובי</w:t>
            </w:r>
          </w:p>
        </w:tc>
        <w:tc>
          <w:tcPr>
            <w:tcW w:w="1025" w:type="dxa"/>
            <w:vAlign w:val="center"/>
          </w:tcPr>
          <w:p>
            <w:pPr>
              <w:ind w:left="0" w:right="0"/>
              <w:jc w:val="both"/>
              <w:rPr>
                <w:rFonts w:hint="cs"/>
                <w:lang w:eastAsia="en-US"/>
              </w:rPr>
            </w:pPr>
            <w:r>
              <w:rPr>
                <w:rFonts w:hint="cs"/>
                <w:rtl/>
                <w:lang w:eastAsia="en-US"/>
              </w:rPr>
              <w:t>1,228,038</w:t>
            </w:r>
          </w:p>
        </w:tc>
        <w:tc>
          <w:tcPr>
            <w:tcW w:w="1194" w:type="dxa"/>
            <w:vAlign w:val="center"/>
          </w:tcPr>
          <w:p>
            <w:pPr>
              <w:ind w:left="0" w:right="0"/>
              <w:jc w:val="both"/>
              <w:rPr>
                <w:rFonts w:hint="cs"/>
                <w:lang w:eastAsia="en-US"/>
              </w:rPr>
            </w:pPr>
            <w:r>
              <w:rPr>
                <w:rFonts w:hint="cs"/>
                <w:rtl/>
                <w:lang w:eastAsia="en-US"/>
              </w:rPr>
              <w:t>203,325</w:t>
            </w:r>
          </w:p>
        </w:tc>
        <w:tc>
          <w:tcPr>
            <w:tcW w:w="1194" w:type="dxa"/>
            <w:vAlign w:val="center"/>
          </w:tcPr>
          <w:p>
            <w:pPr>
              <w:ind w:left="0" w:right="0"/>
              <w:jc w:val="both"/>
              <w:rPr>
                <w:rFonts w:hint="cs"/>
                <w:rtl/>
                <w:lang w:eastAsia="en-US"/>
              </w:rPr>
            </w:pPr>
            <w:r>
              <w:rPr>
                <w:rFonts w:hint="cs"/>
                <w:rtl/>
                <w:lang w:eastAsia="en-US"/>
              </w:rPr>
              <w:t>0</w:t>
            </w:r>
          </w:p>
        </w:tc>
        <w:tc>
          <w:tcPr>
            <w:tcW w:w="1190" w:type="dxa"/>
            <w:vAlign w:val="center"/>
          </w:tcPr>
          <w:p>
            <w:pPr>
              <w:ind w:left="0" w:right="0"/>
              <w:jc w:val="both"/>
              <w:rPr>
                <w:rFonts w:hint="cs"/>
                <w:lang w:eastAsia="en-US"/>
              </w:rPr>
            </w:pPr>
            <w:r>
              <w:rPr>
                <w:rFonts w:hint="cs"/>
                <w:rtl/>
                <w:lang w:eastAsia="en-US"/>
              </w:rPr>
              <w:t>0</w:t>
            </w:r>
          </w:p>
        </w:tc>
        <w:tc>
          <w:tcPr>
            <w:tcW w:w="1286" w:type="dxa"/>
            <w:vAlign w:val="center"/>
          </w:tcPr>
          <w:p>
            <w:pPr>
              <w:ind w:left="0" w:right="0"/>
              <w:jc w:val="both"/>
              <w:rPr>
                <w:rFonts w:hint="cs"/>
                <w:lang w:eastAsia="en-US"/>
              </w:rPr>
            </w:pPr>
            <w:r>
              <w:rPr>
                <w:rFonts w:hint="cs"/>
                <w:rtl/>
                <w:lang w:eastAsia="en-US"/>
              </w:rPr>
              <w:t>בן דוד סדי</w:t>
            </w:r>
          </w:p>
        </w:tc>
        <w:tc>
          <w:tcPr>
            <w:tcW w:w="709" w:type="dxa"/>
            <w:vAlign w:val="center"/>
          </w:tcPr>
          <w:p>
            <w:pPr>
              <w:ind w:left="0" w:right="0"/>
              <w:jc w:val="both"/>
              <w:rPr>
                <w:rFonts w:hint="cs"/>
                <w:rtl/>
                <w:lang w:eastAsia="en-US"/>
              </w:rPr>
            </w:pPr>
            <w:r>
              <w:rPr>
                <w:rFonts w:hint="cs"/>
                <w:rtl/>
                <w:lang w:eastAsia="en-US"/>
              </w:rPr>
              <w:t>2</w:t>
            </w:r>
          </w:p>
          <w:p>
            <w:pPr>
              <w:ind w:left="0" w:right="0"/>
              <w:jc w:val="both"/>
              <w:rPr>
                <w:lang w:eastAsia="en-US"/>
              </w:rPr>
            </w:pPr>
          </w:p>
        </w:tc>
      </w:tr>
      <w:tr>
        <w:tblPrEx>
          <w:tblW w:w="8097" w:type="dxa"/>
          <w:jc w:val="center"/>
          <w:tblInd w:w="2196" w:type="dxa"/>
          <w:tblCellMar>
            <w:left w:w="108" w:type="dxa"/>
            <w:right w:w="108" w:type="dxa"/>
          </w:tblCellMar>
          <w:tblLook w:val="0000"/>
        </w:tblPrEx>
        <w:trPr>
          <w:cantSplit/>
          <w:trHeight w:val="323"/>
          <w:jc w:val="center"/>
        </w:trPr>
        <w:tc>
          <w:tcPr>
            <w:tcW w:w="1499" w:type="dxa"/>
            <w:vAlign w:val="center"/>
          </w:tcPr>
          <w:p>
            <w:pPr>
              <w:tabs>
                <w:tab w:val="left" w:pos="6179"/>
              </w:tabs>
              <w:ind w:left="0" w:right="0"/>
              <w:jc w:val="both"/>
              <w:rPr>
                <w:rFonts w:hint="cs"/>
                <w:lang w:eastAsia="en-US"/>
              </w:rPr>
            </w:pPr>
            <w:r>
              <w:rPr>
                <w:rFonts w:hint="cs"/>
                <w:rtl/>
                <w:lang w:eastAsia="en-US"/>
              </w:rPr>
              <w:t>לא חיובי</w:t>
            </w:r>
          </w:p>
        </w:tc>
        <w:tc>
          <w:tcPr>
            <w:tcW w:w="1025" w:type="dxa"/>
            <w:vAlign w:val="center"/>
          </w:tcPr>
          <w:p>
            <w:pPr>
              <w:ind w:left="0" w:right="0"/>
              <w:jc w:val="both"/>
              <w:rPr>
                <w:rFonts w:hint="cs"/>
                <w:lang w:eastAsia="en-US"/>
              </w:rPr>
            </w:pPr>
            <w:r>
              <w:rPr>
                <w:rFonts w:hint="cs"/>
                <w:rtl/>
                <w:lang w:eastAsia="en-US"/>
              </w:rPr>
              <w:t>1,228,038</w:t>
            </w:r>
          </w:p>
        </w:tc>
        <w:tc>
          <w:tcPr>
            <w:tcW w:w="1194" w:type="dxa"/>
            <w:vAlign w:val="center"/>
          </w:tcPr>
          <w:p>
            <w:pPr>
              <w:ind w:left="0" w:right="0"/>
              <w:jc w:val="both"/>
              <w:rPr>
                <w:rFonts w:hint="cs"/>
                <w:lang w:eastAsia="en-US"/>
              </w:rPr>
            </w:pPr>
            <w:r>
              <w:rPr>
                <w:rFonts w:hint="cs"/>
                <w:rtl/>
                <w:lang w:eastAsia="en-US"/>
              </w:rPr>
              <w:t>-</w:t>
            </w:r>
          </w:p>
        </w:tc>
        <w:tc>
          <w:tcPr>
            <w:tcW w:w="1194" w:type="dxa"/>
            <w:vAlign w:val="center"/>
          </w:tcPr>
          <w:p>
            <w:pPr>
              <w:ind w:left="0" w:right="0"/>
              <w:jc w:val="both"/>
              <w:rPr>
                <w:rFonts w:hint="cs"/>
                <w:rtl/>
                <w:lang w:eastAsia="en-US"/>
              </w:rPr>
            </w:pPr>
            <w:r>
              <w:rPr>
                <w:rFonts w:hint="cs"/>
                <w:rtl/>
                <w:lang w:eastAsia="en-US"/>
              </w:rPr>
              <w:t>-</w:t>
            </w:r>
          </w:p>
        </w:tc>
        <w:tc>
          <w:tcPr>
            <w:tcW w:w="1190" w:type="dxa"/>
            <w:vAlign w:val="center"/>
          </w:tcPr>
          <w:p>
            <w:pPr>
              <w:ind w:left="0" w:right="0"/>
              <w:jc w:val="both"/>
              <w:rPr>
                <w:rFonts w:hint="cs"/>
                <w:lang w:eastAsia="en-US"/>
              </w:rPr>
            </w:pPr>
            <w:r>
              <w:rPr>
                <w:rFonts w:hint="cs"/>
                <w:rtl/>
                <w:lang w:eastAsia="en-US"/>
              </w:rPr>
              <w:t>0</w:t>
            </w:r>
          </w:p>
        </w:tc>
        <w:tc>
          <w:tcPr>
            <w:tcW w:w="1286" w:type="dxa"/>
            <w:vAlign w:val="center"/>
          </w:tcPr>
          <w:p>
            <w:pPr>
              <w:ind w:left="0" w:right="0"/>
              <w:jc w:val="both"/>
              <w:rPr>
                <w:rFonts w:hint="cs"/>
                <w:lang w:eastAsia="en-US"/>
              </w:rPr>
            </w:pPr>
            <w:r>
              <w:rPr>
                <w:rFonts w:hint="cs"/>
                <w:rtl/>
                <w:lang w:eastAsia="en-US"/>
              </w:rPr>
              <w:t>יעקבי יגאל</w:t>
            </w:r>
          </w:p>
        </w:tc>
        <w:tc>
          <w:tcPr>
            <w:tcW w:w="709" w:type="dxa"/>
            <w:vAlign w:val="center"/>
          </w:tcPr>
          <w:p>
            <w:pPr>
              <w:ind w:left="0" w:right="0"/>
              <w:jc w:val="both"/>
              <w:rPr>
                <w:rFonts w:hint="cs"/>
                <w:rtl/>
                <w:lang w:eastAsia="en-US"/>
              </w:rPr>
            </w:pPr>
            <w:r>
              <w:rPr>
                <w:rFonts w:hint="cs"/>
                <w:rtl/>
                <w:lang w:eastAsia="en-US"/>
              </w:rPr>
              <w:t>3</w:t>
            </w:r>
          </w:p>
          <w:p>
            <w:pPr>
              <w:ind w:left="0" w:right="0"/>
              <w:jc w:val="both"/>
              <w:rPr>
                <w:rFonts w:hint="cs"/>
                <w:lang w:eastAsia="en-US"/>
              </w:rPr>
            </w:pPr>
          </w:p>
        </w:tc>
      </w:tr>
      <w:tr>
        <w:tblPrEx>
          <w:tblW w:w="8097" w:type="dxa"/>
          <w:jc w:val="center"/>
          <w:tblInd w:w="2196" w:type="dxa"/>
          <w:tblCellMar>
            <w:left w:w="108" w:type="dxa"/>
            <w:right w:w="108" w:type="dxa"/>
          </w:tblCellMar>
          <w:tblLook w:val="0000"/>
        </w:tblPrEx>
        <w:trPr>
          <w:cantSplit/>
          <w:trHeight w:val="323"/>
          <w:jc w:val="center"/>
        </w:trPr>
        <w:tc>
          <w:tcPr>
            <w:tcW w:w="1499" w:type="dxa"/>
            <w:tcBorders>
              <w:bottom w:val="double" w:sz="4" w:space="0" w:color="auto"/>
            </w:tcBorders>
            <w:vAlign w:val="center"/>
          </w:tcPr>
          <w:p>
            <w:pPr>
              <w:tabs>
                <w:tab w:val="left" w:pos="6179"/>
              </w:tabs>
              <w:ind w:left="0" w:right="0"/>
              <w:jc w:val="both"/>
              <w:rPr>
                <w:rFonts w:hint="cs"/>
                <w:lang w:eastAsia="en-US"/>
              </w:rPr>
            </w:pPr>
            <w:r>
              <w:rPr>
                <w:rFonts w:hint="cs"/>
                <w:rtl/>
                <w:lang w:eastAsia="en-US"/>
              </w:rPr>
              <w:t>לא חיובי</w:t>
            </w:r>
          </w:p>
        </w:tc>
        <w:tc>
          <w:tcPr>
            <w:tcW w:w="1025" w:type="dxa"/>
            <w:tcBorders>
              <w:bottom w:val="double" w:sz="4" w:space="0" w:color="auto"/>
            </w:tcBorders>
            <w:vAlign w:val="center"/>
          </w:tcPr>
          <w:p>
            <w:pPr>
              <w:ind w:left="0" w:right="0"/>
              <w:jc w:val="both"/>
              <w:rPr>
                <w:rFonts w:hint="cs"/>
                <w:lang w:eastAsia="en-US"/>
              </w:rPr>
            </w:pPr>
            <w:r>
              <w:rPr>
                <w:rFonts w:hint="cs"/>
                <w:rtl/>
                <w:lang w:eastAsia="en-US"/>
              </w:rPr>
              <w:t>1,228,038</w:t>
            </w:r>
          </w:p>
        </w:tc>
        <w:tc>
          <w:tcPr>
            <w:tcW w:w="1194" w:type="dxa"/>
            <w:tcBorders>
              <w:bottom w:val="double" w:sz="4" w:space="0" w:color="auto"/>
            </w:tcBorders>
            <w:vAlign w:val="center"/>
          </w:tcPr>
          <w:p>
            <w:pPr>
              <w:ind w:left="0" w:right="0"/>
              <w:jc w:val="both"/>
              <w:rPr>
                <w:rFonts w:hint="cs"/>
                <w:lang w:eastAsia="en-US"/>
              </w:rPr>
            </w:pPr>
            <w:r>
              <w:rPr>
                <w:rFonts w:hint="cs"/>
                <w:rtl/>
                <w:lang w:eastAsia="en-US"/>
              </w:rPr>
              <w:t>49,280</w:t>
            </w:r>
          </w:p>
        </w:tc>
        <w:tc>
          <w:tcPr>
            <w:tcW w:w="1194" w:type="dxa"/>
            <w:tcBorders>
              <w:bottom w:val="double" w:sz="4" w:space="0" w:color="auto"/>
            </w:tcBorders>
            <w:vAlign w:val="center"/>
          </w:tcPr>
          <w:p>
            <w:pPr>
              <w:ind w:left="0" w:right="0"/>
              <w:jc w:val="both"/>
              <w:rPr>
                <w:rFonts w:hint="cs"/>
                <w:rtl/>
                <w:lang w:eastAsia="en-US"/>
              </w:rPr>
            </w:pPr>
            <w:r>
              <w:rPr>
                <w:rFonts w:hint="cs"/>
                <w:rtl/>
                <w:lang w:eastAsia="en-US"/>
              </w:rPr>
              <w:t>0</w:t>
            </w:r>
          </w:p>
        </w:tc>
        <w:tc>
          <w:tcPr>
            <w:tcW w:w="1190" w:type="dxa"/>
            <w:tcBorders>
              <w:bottom w:val="double" w:sz="4" w:space="0" w:color="auto"/>
            </w:tcBorders>
            <w:vAlign w:val="center"/>
          </w:tcPr>
          <w:p>
            <w:pPr>
              <w:ind w:left="0" w:right="0"/>
              <w:jc w:val="both"/>
              <w:rPr>
                <w:rFonts w:hint="cs"/>
                <w:lang w:eastAsia="en-US"/>
              </w:rPr>
            </w:pPr>
            <w:r>
              <w:rPr>
                <w:rFonts w:hint="cs"/>
                <w:rtl/>
                <w:lang w:eastAsia="en-US"/>
              </w:rPr>
              <w:t>0</w:t>
            </w:r>
          </w:p>
        </w:tc>
        <w:tc>
          <w:tcPr>
            <w:tcW w:w="1286" w:type="dxa"/>
            <w:tcBorders>
              <w:bottom w:val="double" w:sz="4" w:space="0" w:color="auto"/>
            </w:tcBorders>
            <w:vAlign w:val="center"/>
          </w:tcPr>
          <w:p>
            <w:pPr>
              <w:ind w:left="0" w:right="0"/>
              <w:jc w:val="both"/>
              <w:rPr>
                <w:rFonts w:hint="cs"/>
                <w:lang w:eastAsia="en-US"/>
              </w:rPr>
            </w:pPr>
            <w:r>
              <w:rPr>
                <w:rFonts w:hint="cs"/>
                <w:rtl/>
                <w:lang w:eastAsia="en-US"/>
              </w:rPr>
              <w:t>שטיין יעקב</w:t>
            </w:r>
          </w:p>
        </w:tc>
        <w:tc>
          <w:tcPr>
            <w:tcW w:w="709" w:type="dxa"/>
            <w:tcBorders>
              <w:bottom w:val="double" w:sz="4" w:space="0" w:color="auto"/>
            </w:tcBorders>
            <w:vAlign w:val="center"/>
          </w:tcPr>
          <w:p>
            <w:pPr>
              <w:tabs>
                <w:tab w:val="left" w:pos="6179"/>
              </w:tabs>
              <w:ind w:left="0" w:right="0"/>
              <w:jc w:val="both"/>
              <w:rPr>
                <w:rFonts w:hint="cs"/>
                <w:rtl/>
                <w:lang w:eastAsia="en-US"/>
              </w:rPr>
            </w:pPr>
            <w:r>
              <w:rPr>
                <w:rFonts w:hint="cs"/>
                <w:rtl/>
                <w:lang w:eastAsia="en-US"/>
              </w:rPr>
              <w:t>4</w:t>
            </w:r>
          </w:p>
          <w:p>
            <w:pPr>
              <w:tabs>
                <w:tab w:val="left" w:pos="6179"/>
              </w:tabs>
              <w:ind w:left="0" w:right="0"/>
              <w:jc w:val="both"/>
              <w:rPr>
                <w:rFonts w:hint="cs"/>
                <w:lang w:eastAsia="en-US"/>
              </w:rPr>
            </w:pPr>
          </w:p>
        </w:tc>
      </w:tr>
      <w:tr>
        <w:tblPrEx>
          <w:tblW w:w="8097" w:type="dxa"/>
          <w:jc w:val="center"/>
          <w:tblInd w:w="2196" w:type="dxa"/>
          <w:tblCellMar>
            <w:left w:w="108" w:type="dxa"/>
            <w:right w:w="108" w:type="dxa"/>
          </w:tblCellMar>
          <w:tblLook w:val="0000"/>
        </w:tblPrEx>
        <w:trPr>
          <w:cantSplit/>
          <w:trHeight w:val="323"/>
          <w:jc w:val="center"/>
        </w:trPr>
        <w:tc>
          <w:tcPr>
            <w:tcW w:w="1499" w:type="dxa"/>
            <w:tcBorders>
              <w:top w:val="double" w:sz="4" w:space="0" w:color="auto"/>
              <w:left w:val="double" w:sz="4" w:space="0" w:color="auto"/>
              <w:bottom w:val="double" w:sz="4" w:space="0" w:color="auto"/>
            </w:tcBorders>
            <w:vAlign w:val="center"/>
          </w:tcPr>
          <w:p>
            <w:pPr>
              <w:ind w:left="0" w:right="0"/>
              <w:jc w:val="both"/>
              <w:rPr>
                <w:rFonts w:hint="cs"/>
                <w:rtl/>
                <w:lang w:eastAsia="en-US"/>
              </w:rPr>
            </w:pPr>
          </w:p>
        </w:tc>
        <w:tc>
          <w:tcPr>
            <w:tcW w:w="1025" w:type="dxa"/>
            <w:tcBorders>
              <w:top w:val="double" w:sz="4" w:space="0" w:color="auto"/>
              <w:bottom w:val="double" w:sz="4" w:space="0" w:color="auto"/>
            </w:tcBorders>
            <w:vAlign w:val="center"/>
          </w:tcPr>
          <w:p>
            <w:pPr>
              <w:ind w:left="0" w:right="0"/>
              <w:jc w:val="both"/>
              <w:rPr>
                <w:rFonts w:hint="cs"/>
                <w:rtl/>
                <w:lang w:eastAsia="en-US"/>
              </w:rPr>
            </w:pPr>
          </w:p>
        </w:tc>
        <w:tc>
          <w:tcPr>
            <w:tcW w:w="1194" w:type="dxa"/>
            <w:tcBorders>
              <w:top w:val="double" w:sz="4" w:space="0" w:color="auto"/>
              <w:bottom w:val="double" w:sz="4" w:space="0" w:color="auto"/>
            </w:tcBorders>
            <w:vAlign w:val="center"/>
          </w:tcPr>
          <w:p>
            <w:pPr>
              <w:tabs>
                <w:tab w:val="left" w:pos="6179"/>
              </w:tabs>
              <w:ind w:left="0" w:right="0"/>
              <w:jc w:val="both"/>
              <w:rPr>
                <w:rFonts w:hint="cs"/>
                <w:b/>
                <w:bCs/>
                <w:lang w:eastAsia="en-US"/>
              </w:rPr>
            </w:pPr>
            <w:r>
              <w:rPr>
                <w:rFonts w:hint="cs"/>
                <w:b/>
                <w:bCs/>
                <w:rtl/>
                <w:lang w:eastAsia="en-US"/>
              </w:rPr>
              <w:t>1,933,268</w:t>
            </w:r>
          </w:p>
        </w:tc>
        <w:tc>
          <w:tcPr>
            <w:tcW w:w="1194" w:type="dxa"/>
            <w:tcBorders>
              <w:top w:val="double" w:sz="4" w:space="0" w:color="auto"/>
              <w:bottom w:val="double" w:sz="4" w:space="0" w:color="auto"/>
            </w:tcBorders>
            <w:vAlign w:val="center"/>
          </w:tcPr>
          <w:p>
            <w:pPr>
              <w:tabs>
                <w:tab w:val="left" w:pos="6179"/>
              </w:tabs>
              <w:ind w:left="0" w:right="0"/>
              <w:jc w:val="both"/>
              <w:rPr>
                <w:rFonts w:hint="cs"/>
                <w:b/>
                <w:bCs/>
                <w:rtl/>
                <w:lang w:eastAsia="en-US"/>
              </w:rPr>
            </w:pPr>
            <w:r>
              <w:rPr>
                <w:rFonts w:hint="cs"/>
                <w:b/>
                <w:bCs/>
                <w:rtl/>
                <w:lang w:eastAsia="en-US"/>
              </w:rPr>
              <w:t>2,586,248</w:t>
            </w:r>
          </w:p>
        </w:tc>
        <w:tc>
          <w:tcPr>
            <w:tcW w:w="1190" w:type="dxa"/>
            <w:tcBorders>
              <w:top w:val="double" w:sz="4" w:space="0" w:color="auto"/>
              <w:bottom w:val="double" w:sz="4" w:space="0" w:color="auto"/>
            </w:tcBorders>
            <w:vAlign w:val="center"/>
          </w:tcPr>
          <w:p>
            <w:pPr>
              <w:tabs>
                <w:tab w:val="left" w:pos="6179"/>
              </w:tabs>
              <w:ind w:left="0" w:right="0"/>
              <w:jc w:val="both"/>
              <w:rPr>
                <w:rFonts w:hint="cs"/>
                <w:b/>
                <w:bCs/>
                <w:rtl/>
                <w:lang w:eastAsia="en-US"/>
              </w:rPr>
            </w:pPr>
            <w:r>
              <w:rPr>
                <w:rFonts w:hint="cs"/>
                <w:b/>
                <w:bCs/>
                <w:rtl/>
                <w:lang w:eastAsia="en-US"/>
              </w:rPr>
              <w:t>2,586,248</w:t>
            </w:r>
          </w:p>
        </w:tc>
        <w:tc>
          <w:tcPr>
            <w:tcW w:w="1286" w:type="dxa"/>
            <w:tcBorders>
              <w:top w:val="double" w:sz="4" w:space="0" w:color="auto"/>
              <w:bottom w:val="double" w:sz="4" w:space="0" w:color="auto"/>
            </w:tcBorders>
            <w:vAlign w:val="center"/>
          </w:tcPr>
          <w:p>
            <w:pPr>
              <w:tabs>
                <w:tab w:val="left" w:pos="6179"/>
              </w:tabs>
              <w:ind w:left="0" w:right="0"/>
              <w:jc w:val="both"/>
              <w:rPr>
                <w:rFonts w:hint="cs"/>
                <w:b/>
                <w:bCs/>
                <w:rtl/>
                <w:lang w:eastAsia="en-US"/>
              </w:rPr>
            </w:pPr>
          </w:p>
        </w:tc>
        <w:tc>
          <w:tcPr>
            <w:tcW w:w="709" w:type="dxa"/>
            <w:tcBorders>
              <w:top w:val="double" w:sz="4" w:space="0" w:color="auto"/>
              <w:bottom w:val="double" w:sz="4" w:space="0" w:color="auto"/>
              <w:right w:val="double" w:sz="4" w:space="0" w:color="auto"/>
            </w:tcBorders>
            <w:vAlign w:val="center"/>
          </w:tcPr>
          <w:p>
            <w:pPr>
              <w:tabs>
                <w:tab w:val="left" w:pos="6179"/>
              </w:tabs>
              <w:ind w:left="0" w:right="0"/>
              <w:jc w:val="both"/>
              <w:rPr>
                <w:rFonts w:hint="cs"/>
                <w:b/>
                <w:bCs/>
                <w:rtl/>
                <w:lang w:eastAsia="en-US"/>
              </w:rPr>
            </w:pPr>
            <w:r>
              <w:rPr>
                <w:rFonts w:hint="cs"/>
                <w:b/>
                <w:bCs/>
                <w:rtl/>
                <w:lang w:eastAsia="en-US"/>
              </w:rPr>
              <w:t>סה"כ</w:t>
            </w:r>
          </w:p>
          <w:p>
            <w:pPr>
              <w:tabs>
                <w:tab w:val="left" w:pos="6179"/>
              </w:tabs>
              <w:ind w:left="0" w:right="0"/>
              <w:jc w:val="both"/>
              <w:rPr>
                <w:rFonts w:hint="cs"/>
                <w:b/>
                <w:bCs/>
                <w:rtl/>
                <w:lang w:eastAsia="en-US"/>
              </w:rPr>
            </w:pPr>
          </w:p>
        </w:tc>
      </w:tr>
    </w:tbl>
    <w:p>
      <w:pPr>
        <w:tabs>
          <w:tab w:val="left" w:pos="6235"/>
        </w:tabs>
        <w:ind w:left="0" w:right="0" w:hanging="2"/>
        <w:jc w:val="both"/>
        <w:rPr>
          <w:rFonts w:hint="cs"/>
          <w:rtl/>
          <w:lang w:eastAsia="en-US"/>
        </w:rPr>
      </w:pPr>
    </w:p>
    <w:p>
      <w:pPr>
        <w:tabs>
          <w:tab w:val="left" w:pos="6235"/>
        </w:tabs>
        <w:ind w:left="0" w:right="0" w:hanging="2"/>
        <w:jc w:val="both"/>
        <w:rPr>
          <w:rFonts w:hint="cs"/>
          <w:rtl/>
          <w:lang w:eastAsia="en-US"/>
        </w:rPr>
      </w:pPr>
    </w:p>
    <w:p>
      <w:pPr>
        <w:tabs>
          <w:tab w:val="left" w:pos="6235"/>
        </w:tabs>
        <w:ind w:left="0" w:right="0" w:hanging="2"/>
        <w:jc w:val="both"/>
        <w:rPr>
          <w:rFonts w:hint="cs"/>
          <w:b/>
          <w:bCs/>
          <w:sz w:val="26"/>
          <w:u w:val="single"/>
          <w:rtl/>
          <w:lang w:eastAsia="en-US"/>
        </w:rPr>
      </w:pPr>
    </w:p>
    <w:p>
      <w:pPr>
        <w:ind w:left="360" w:right="0"/>
        <w:jc w:val="both"/>
        <w:rPr>
          <w:rtl/>
        </w:rPr>
      </w:pPr>
    </w:p>
    <w:sectPr>
      <w:headerReference w:type="default" r:id="rId9"/>
      <w:footerReference w:type="default" r:id="rId10"/>
      <w:headerReference w:type="first" r:id="rId11"/>
      <w:footerReference w:type="first" r:id="rId12"/>
      <w:pgSz w:w="11906" w:h="16838" w:code="9"/>
      <w:pgMar w:top="1372" w:right="1985" w:bottom="1274" w:left="1701" w:header="709" w:footer="709" w:gutter="0"/>
      <w:cols w:space="720"/>
      <w:titlePg/>
      <w:bidi/>
      <w:rtlGutter/>
      <w:docGrid w:linePitch="1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 w:name="Miriam">
    <w:panose1 w:val="00000000000000000000"/>
    <w:charset w:val="B1"/>
    <w:family w:val="auto"/>
    <w:pitch w:val="variable"/>
    <w:sig w:usb0="00001801" w:usb1="00000000" w:usb2="00000000" w:usb3="00000000" w:csb0="00000020" w:csb1="00000000"/>
  </w:font>
  <w:font w:name="Narkisim">
    <w:panose1 w:val="00000000000000000000"/>
    <w:charset w:val="B1"/>
    <w:family w:val="auto"/>
    <w:pitch w:val="variable"/>
    <w:sig w:usb0="00001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Fonts w:hint="cs"/>
        <w:rtl/>
      </w:rPr>
    </w:pPr>
  </w:p>
  <w:p>
    <w:pPr>
      <w:pStyle w:val="Footer"/>
      <w:ind w:left="0" w:right="0"/>
      <w:jc w:val="both"/>
      <w:rPr>
        <w:rFonts w:hint="cs"/>
        <w:rtl/>
      </w:rPr>
    </w:pPr>
    <w:r>
      <w:rPr>
        <w:noProof/>
        <w:rtl/>
        <w:lang w:val="he-IL"/>
      </w:rPr>
      <w:pict>
        <v:shapetype id="_x0000_t202" coordsize="21600,21600" o:spt="202" path="m,l,21600r21600,l21600,xe">
          <v:stroke joinstyle="miter"/>
          <v:path gradientshapeok="t" o:connecttype="rect"/>
        </v:shapetype>
        <v:shape id="Warning2" o:spid="_x0000_s2050" type="#_x0000_t202" style="width:348.1pt;height:32.05pt;margin-top:6.8pt;margin-left:123.4pt;mso-position-horizontal-relative:page;position:absolute;visibility:hidden;z-index:251658240" filled="t" stroked="t" strokecolor="blue">
          <v:textbox inset=",5.95pt,,4.82pt">
            <w:txbxContent>
              <w:p>
                <w:pPr>
                  <w:spacing w:line="288" w:lineRule="auto"/>
                  <w:ind w:left="0" w:right="0"/>
                  <w:jc w:val="center"/>
                  <w:rPr>
                    <w:rFonts w:cs="Narkisim"/>
                    <w:color w:val="0000FF"/>
                    <w:szCs w:val="18"/>
                    <w:rtl/>
                  </w:rPr>
                </w:pPr>
                <w:r>
                  <w:rPr>
                    <w:rFonts w:cs="Narkisim"/>
                    <w:color w:val="0000FF"/>
                    <w:szCs w:val="18"/>
                    <w:rtl/>
                  </w:rPr>
                  <w:t>מסמך זה מכיל ממצאי ביקורת של מבקר המדינה</w:t>
                </w:r>
                <w:r>
                  <w:rPr>
                    <w:rFonts w:cs="Narkisim" w:hint="cs"/>
                    <w:color w:val="0000FF"/>
                    <w:szCs w:val="18"/>
                    <w:rtl/>
                  </w:rPr>
                  <w:t>.</w:t>
                </w:r>
                <w:r>
                  <w:rPr>
                    <w:rFonts w:cs="Narkisim"/>
                    <w:color w:val="0000FF"/>
                    <w:szCs w:val="18"/>
                    <w:rtl/>
                  </w:rPr>
                  <w:t xml:space="preserve"> פרסומם ללא</w:t>
                </w:r>
                <w:r>
                  <w:rPr>
                    <w:rFonts w:cs="Narkisim" w:hint="cs"/>
                    <w:color w:val="0000FF"/>
                    <w:szCs w:val="18"/>
                    <w:rtl/>
                  </w:rPr>
                  <w:t xml:space="preserve"> נטילת</w:t>
                </w:r>
                <w:r>
                  <w:rPr>
                    <w:rFonts w:cs="Narkisim"/>
                    <w:color w:val="0000FF"/>
                    <w:szCs w:val="18"/>
                    <w:rtl/>
                  </w:rPr>
                  <w:t xml:space="preserve"> רשות מטעם המבקר</w:t>
                </w:r>
              </w:p>
              <w:p>
                <w:pPr>
                  <w:spacing w:line="288" w:lineRule="auto"/>
                  <w:ind w:left="0" w:right="0"/>
                  <w:jc w:val="center"/>
                  <w:rPr>
                    <w:rFonts w:cs="Narkisim"/>
                    <w:color w:val="0000FF"/>
                    <w:szCs w:val="18"/>
                    <w:rtl/>
                  </w:rPr>
                </w:pPr>
                <w:r>
                  <w:rPr>
                    <w:rFonts w:cs="Narkisim"/>
                    <w:color w:val="0000FF"/>
                    <w:szCs w:val="18"/>
                    <w:rtl/>
                  </w:rPr>
                  <w:t>אסור על פי סעיף 28(א)(3) לחוק מבקר המדינה, התשי"ח-1958</w:t>
                </w:r>
                <w:r>
                  <w:rPr>
                    <w:rFonts w:cs="Narkisim" w:hint="cs"/>
                    <w:color w:val="0000FF"/>
                    <w:szCs w:val="18"/>
                    <w:rtl/>
                  </w:rPr>
                  <w:t xml:space="preserve"> </w:t>
                </w:r>
                <w:r>
                  <w:rPr>
                    <w:rFonts w:cs="Narkisim"/>
                    <w:color w:val="0000FF"/>
                    <w:szCs w:val="18"/>
                    <w:rtl/>
                  </w:rPr>
                  <w:t>[נוסח</w:t>
                </w:r>
                <w:r>
                  <w:rPr>
                    <w:rFonts w:cs="Narkisim" w:hint="cs"/>
                    <w:color w:val="0000FF"/>
                    <w:szCs w:val="18"/>
                    <w:rtl/>
                  </w:rPr>
                  <w:t xml:space="preserve"> </w:t>
                </w:r>
                <w:r>
                  <w:rPr>
                    <w:rFonts w:cs="Narkisim"/>
                    <w:color w:val="0000FF"/>
                    <w:szCs w:val="18"/>
                    <w:rtl/>
                  </w:rPr>
                  <w:t>משולב</w:t>
                </w:r>
                <w:r>
                  <w:rPr>
                    <w:rFonts w:cs="Narkisim" w:hint="cs"/>
                    <w:color w:val="0000FF"/>
                    <w:szCs w:val="18"/>
                    <w:rtl/>
                  </w:rPr>
                  <w:t>]</w:t>
                </w:r>
                <w:r>
                  <w:rPr>
                    <w:rFonts w:cs="Narkisim"/>
                    <w:color w:val="0000FF"/>
                    <w:szCs w:val="18"/>
                    <w:rtl/>
                  </w:rPr>
                  <w:t>.</w:t>
                </w:r>
              </w:p>
            </w:txbxContent>
          </v:textbox>
        </v:shape>
      </w:pict>
    </w:r>
  </w:p>
  <w:p>
    <w:pPr>
      <w:pStyle w:val="Footer"/>
      <w:ind w:left="0" w:right="0"/>
      <w:jc w:val="both"/>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tl/>
      </w:rPr>
    </w:pPr>
  </w:p>
  <w:p>
    <w:pPr>
      <w:pStyle w:val="Footer"/>
      <w:ind w:left="0" w:right="0"/>
      <w:jc w:val="both"/>
      <w:rPr>
        <w:rFonts w:hint="cs"/>
        <w:rtl/>
      </w:rPr>
    </w:pPr>
    <w:r>
      <w:rPr>
        <w:noProof/>
        <w:rtl/>
        <w:lang w:val="he-IL"/>
      </w:rPr>
      <w:pict>
        <v:shapetype id="_x0000_t202" coordsize="21600,21600" o:spt="202" path="m,l,21600r21600,l21600,xe">
          <v:stroke joinstyle="miter"/>
          <v:path gradientshapeok="t" o:connecttype="rect"/>
        </v:shapetype>
        <v:shape id="Warning1" o:spid="_x0000_s2052" type="#_x0000_t202" style="width:348.1pt;height:32.1pt;margin-top:8.8pt;margin-left:122.1pt;mso-position-horizontal-relative:page;position:absolute;visibility:hidden;z-index:251661312" stroked="t" strokecolor="blue">
          <v:textbox inset=",5.95pt,,4.82pt">
            <w:txbxContent>
              <w:p>
                <w:pPr>
                  <w:spacing w:line="288" w:lineRule="auto"/>
                  <w:ind w:left="0" w:right="0" w:firstLine="80"/>
                  <w:jc w:val="center"/>
                  <w:rPr>
                    <w:rFonts w:cs="Narkisim"/>
                    <w:color w:val="0000FF"/>
                    <w:szCs w:val="18"/>
                    <w:rtl/>
                  </w:rPr>
                </w:pPr>
                <w:r>
                  <w:rPr>
                    <w:rFonts w:cs="Narkisim"/>
                    <w:color w:val="0000FF"/>
                    <w:szCs w:val="18"/>
                    <w:rtl/>
                  </w:rPr>
                  <w:t>מסמך זה מכיל ממצאי ביקורת של מבקר המדינה</w:t>
                </w:r>
                <w:r>
                  <w:rPr>
                    <w:rFonts w:cs="Narkisim" w:hint="cs"/>
                    <w:color w:val="0000FF"/>
                    <w:szCs w:val="18"/>
                    <w:rtl/>
                  </w:rPr>
                  <w:t>.</w:t>
                </w:r>
                <w:r>
                  <w:rPr>
                    <w:rFonts w:cs="Narkisim"/>
                    <w:color w:val="0000FF"/>
                    <w:szCs w:val="18"/>
                    <w:rtl/>
                  </w:rPr>
                  <w:t xml:space="preserve"> פרסומם ללא</w:t>
                </w:r>
                <w:r>
                  <w:rPr>
                    <w:rFonts w:cs="Narkisim" w:hint="cs"/>
                    <w:color w:val="0000FF"/>
                    <w:szCs w:val="18"/>
                    <w:rtl/>
                  </w:rPr>
                  <w:t xml:space="preserve"> נטילת</w:t>
                </w:r>
                <w:r>
                  <w:rPr>
                    <w:rFonts w:cs="Narkisim"/>
                    <w:color w:val="0000FF"/>
                    <w:szCs w:val="18"/>
                    <w:rtl/>
                  </w:rPr>
                  <w:t xml:space="preserve"> רשות מטעם המבקר</w:t>
                </w:r>
              </w:p>
              <w:p>
                <w:pPr>
                  <w:spacing w:line="288" w:lineRule="auto"/>
                  <w:ind w:left="0" w:right="0" w:firstLine="34"/>
                  <w:jc w:val="center"/>
                  <w:rPr>
                    <w:rFonts w:cs="Narkisim"/>
                    <w:color w:val="0000FF"/>
                    <w:szCs w:val="18"/>
                    <w:rtl/>
                  </w:rPr>
                </w:pPr>
                <w:r>
                  <w:rPr>
                    <w:rFonts w:cs="Narkisim"/>
                    <w:color w:val="0000FF"/>
                    <w:szCs w:val="18"/>
                    <w:rtl/>
                  </w:rPr>
                  <w:t>אסור על פי סעיף 28(א)(3) לחוק מבקר המדינה, התשי"ח-1958</w:t>
                </w:r>
                <w:r>
                  <w:rPr>
                    <w:rFonts w:cs="Narkisim" w:hint="cs"/>
                    <w:color w:val="0000FF"/>
                    <w:szCs w:val="18"/>
                    <w:rtl/>
                  </w:rPr>
                  <w:t xml:space="preserve"> </w:t>
                </w:r>
                <w:r>
                  <w:rPr>
                    <w:rFonts w:cs="Narkisim"/>
                    <w:color w:val="0000FF"/>
                    <w:szCs w:val="18"/>
                    <w:rtl/>
                  </w:rPr>
                  <w:t>[נוסח</w:t>
                </w:r>
                <w:r>
                  <w:rPr>
                    <w:rFonts w:cs="Narkisim" w:hint="cs"/>
                    <w:color w:val="0000FF"/>
                    <w:szCs w:val="18"/>
                    <w:rtl/>
                  </w:rPr>
                  <w:t xml:space="preserve"> </w:t>
                </w:r>
                <w:r>
                  <w:rPr>
                    <w:rFonts w:cs="Narkisim"/>
                    <w:color w:val="0000FF"/>
                    <w:szCs w:val="18"/>
                    <w:rtl/>
                  </w:rPr>
                  <w:t>משולב</w:t>
                </w:r>
                <w:r>
                  <w:rPr>
                    <w:rFonts w:cs="Narkisim" w:hint="cs"/>
                    <w:color w:val="0000FF"/>
                    <w:szCs w:val="18"/>
                    <w:rtl/>
                  </w:rPr>
                  <w:t>]</w:t>
                </w:r>
                <w:r>
                  <w:rPr>
                    <w:rFonts w:cs="Narkisim"/>
                    <w:color w:val="0000FF"/>
                    <w:szCs w:val="18"/>
                    <w:rtl/>
                  </w:rPr>
                  <w:t>.</w:t>
                </w:r>
              </w:p>
            </w:txbxContent>
          </v:textbox>
        </v:shape>
      </w:pict>
    </w:r>
  </w:p>
  <w:p>
    <w:pPr>
      <w:pStyle w:val="Footer"/>
      <w:ind w:left="0" w:right="0"/>
      <w:jc w:val="both"/>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ind w:left="0" w:right="0"/>
        <w:jc w:val="both"/>
        <w:rPr>
          <w:rFonts w:hint="cs"/>
          <w:sz w:val="16"/>
          <w:szCs w:val="16"/>
          <w:rtl/>
        </w:rPr>
      </w:pPr>
      <w:r>
        <w:rPr>
          <w:rFonts w:hint="cs"/>
          <w:sz w:val="16"/>
          <w:szCs w:val="16"/>
          <w:rtl/>
        </w:rPr>
        <w:t>__________________</w:t>
      </w:r>
    </w:p>
    <w:p>
      <w:pPr>
        <w:spacing w:line="240" w:lineRule="auto"/>
        <w:ind w:left="0" w:right="0"/>
        <w:jc w:val="both"/>
        <w:rPr>
          <w:rFonts w:hint="cs"/>
          <w:sz w:val="16"/>
          <w:szCs w:val="16"/>
        </w:rPr>
      </w:pPr>
    </w:p>
  </w:footnote>
  <w:footnote w:type="continuationSeparator" w:id="1">
    <w:p>
      <w:pPr>
        <w:ind w:left="0" w:right="0"/>
        <w:jc w:val="both"/>
      </w:pPr>
      <w:r>
        <w:t>_______________</w:t>
      </w:r>
    </w:p>
  </w:footnote>
  <w:footnote w:id="2">
    <w:p>
      <w:pPr>
        <w:pStyle w:val="FootnoteText"/>
        <w:ind w:left="720" w:right="0" w:hanging="720"/>
        <w:jc w:val="both"/>
        <w:rPr>
          <w:rFonts w:hint="cs"/>
          <w:rtl/>
        </w:rPr>
      </w:pPr>
      <w:r>
        <w:rPr>
          <w:rStyle w:val="FootnoteReference"/>
        </w:rPr>
        <w:footnoteRef/>
      </w:r>
      <w:r>
        <w:t xml:space="preserve"> </w:t>
      </w:r>
      <w:r>
        <w:rPr>
          <w:rFonts w:hint="cs"/>
          <w:rtl/>
        </w:rPr>
        <w:tab/>
        <w:t xml:space="preserve">הנתונים המובאים בדוח זה לגבי ההוצאות וההכנסות של המועמדים לקוחים מהדוחות הכספיים שמסרו. יצוין כי נתונים אלו אינם משקפים בהכרח את כל ההכנסות וההוצאות של המועמדים בתקופת הבחירות. לדוגמה, חלק מהמועמדים מציינים בסעיף ההכנסות רק את סכומי המימון שקיבלו בפועל, דהיינו 85% מהמימון המגיע להם, ואילו מועמדים אחרים מציגים בסעיף ההכנסות את כל המימון המגיע להם. </w:t>
      </w:r>
    </w:p>
    <w:p>
      <w:pPr>
        <w:pStyle w:val="FootnoteText"/>
        <w:ind w:left="567" w:right="0"/>
        <w:jc w:val="both"/>
        <w:rPr>
          <w:rFonts w:hint="cs"/>
          <w:rtl/>
        </w:rPr>
      </w:pPr>
    </w:p>
  </w:footnote>
  <w:footnote w:id="3">
    <w:p>
      <w:pPr>
        <w:pStyle w:val="FootnoteText"/>
        <w:ind w:left="720" w:right="0" w:hanging="720"/>
        <w:jc w:val="both"/>
        <w:rPr>
          <w:rtl/>
        </w:rPr>
      </w:pPr>
      <w:r>
        <w:rPr>
          <w:rStyle w:val="FootnoteReference"/>
        </w:rPr>
        <w:footnoteRef/>
      </w:r>
      <w:r>
        <w:t xml:space="preserve"> </w:t>
      </w:r>
      <w:r>
        <w:rPr>
          <w:rFonts w:hint="cs"/>
          <w:rtl/>
        </w:rPr>
        <w:tab/>
        <w:t xml:space="preserve">דוחות מבקר המדינה על תוצאות ביקורת חשבונות המועמדים שהשתתפו בבחירות לראשי מועצות אזוריות שהתקיימו בתאריכים אלה: </w:t>
      </w:r>
      <w:r>
        <w:rPr>
          <w:rFonts w:hint="cs"/>
          <w:b/>
          <w:bCs/>
          <w:rtl/>
        </w:rPr>
        <w:t>מאי 1999</w:t>
      </w:r>
      <w:r>
        <w:rPr>
          <w:rFonts w:hint="cs"/>
          <w:rtl/>
        </w:rPr>
        <w:t xml:space="preserve"> (פורסם בשנת 2000) עמ' 4-1, </w:t>
      </w:r>
      <w:r>
        <w:rPr>
          <w:rFonts w:hint="cs"/>
          <w:b/>
          <w:bCs/>
          <w:rtl/>
        </w:rPr>
        <w:t>דצמבר 2001</w:t>
      </w:r>
      <w:r>
        <w:rPr>
          <w:rFonts w:hint="cs"/>
          <w:rtl/>
        </w:rPr>
        <w:t xml:space="preserve"> (פורסם בשנת 2002) עמ' 3 ו-4, </w:t>
      </w:r>
      <w:r>
        <w:rPr>
          <w:rFonts w:hint="cs"/>
          <w:b/>
          <w:bCs/>
          <w:rtl/>
        </w:rPr>
        <w:t>מאי 2002</w:t>
      </w:r>
      <w:r>
        <w:rPr>
          <w:rFonts w:hint="cs"/>
          <w:rtl/>
        </w:rPr>
        <w:t xml:space="preserve"> (פורסם בשנת 2003) עמ' 3 ו</w:t>
      </w:r>
      <w:r>
        <w:rPr>
          <w:rFonts w:hint="cs"/>
          <w:b/>
          <w:bCs/>
          <w:rtl/>
        </w:rPr>
        <w:t xml:space="preserve">נובמבר 2002 </w:t>
      </w:r>
      <w:r>
        <w:rPr>
          <w:rFonts w:hint="cs"/>
          <w:rtl/>
        </w:rPr>
        <w:t>(פורסם בשנת 2003) עמ' 5.</w:t>
      </w:r>
    </w:p>
  </w:footnote>
  <w:footnote w:id="4">
    <w:p>
      <w:pPr>
        <w:pStyle w:val="FootnoteText"/>
        <w:ind w:left="720" w:right="0" w:hanging="720"/>
        <w:jc w:val="both"/>
        <w:rPr>
          <w:rFonts w:hint="cs"/>
          <w:rtl/>
        </w:rPr>
      </w:pPr>
      <w:r>
        <w:rPr>
          <w:rStyle w:val="FootnoteReference"/>
        </w:rPr>
        <w:footnoteRef/>
      </w:r>
      <w:r>
        <w:t xml:space="preserve"> </w:t>
      </w:r>
      <w:r>
        <w:rPr>
          <w:rFonts w:hint="cs"/>
          <w:rtl/>
        </w:rPr>
        <w:tab/>
        <w:t xml:space="preserve">פורסם בשנת 2004 כחלק בדוח על </w:t>
      </w:r>
      <w:r>
        <w:rPr>
          <w:rFonts w:hint="cs"/>
          <w:b/>
          <w:bCs/>
          <w:rtl/>
        </w:rPr>
        <w:t>תוצאות ביקורת חשבונות הסיעות, הרשימות והמועמדים שהשתתפו בבחירות לרשויות המקומיות באוקטובר 2003</w:t>
      </w:r>
      <w:r>
        <w:rPr>
          <w:rFonts w:hint="cs"/>
          <w:rtl/>
        </w:rPr>
        <w:t>, עמ' 343.</w:t>
      </w:r>
    </w:p>
    <w:p>
      <w:pPr>
        <w:pStyle w:val="FootnoteText"/>
        <w:ind w:left="720" w:right="0" w:hanging="720"/>
        <w:jc w:val="both"/>
        <w:rPr>
          <w:rFonts w:hint="cs"/>
          <w:rtl/>
        </w:rPr>
      </w:pPr>
    </w:p>
  </w:footnote>
  <w:footnote w:id="5">
    <w:p>
      <w:pPr>
        <w:pStyle w:val="FootnoteText"/>
        <w:ind w:left="567" w:right="0"/>
        <w:jc w:val="both"/>
        <w:rPr>
          <w:rFonts w:hint="cs"/>
          <w:rtl/>
        </w:rPr>
      </w:pPr>
      <w:r>
        <w:rPr>
          <w:rStyle w:val="FootnoteReference"/>
        </w:rPr>
        <w:footnoteRef/>
      </w:r>
      <w:r>
        <w:t xml:space="preserve"> </w:t>
      </w:r>
      <w:r>
        <w:rPr>
          <w:rFonts w:hint="cs"/>
          <w:rtl/>
        </w:rPr>
        <w:tab/>
        <w:t>הוצאות המועמד לאחר ניכוי סכום של 63,734 ש"ח הן 1,616,929 ש"ח בלבד.</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Style w:val="PageNumber"/>
        <w:rFonts w:hint="cs"/>
        <w:rtl/>
      </w:rPr>
    </w:pPr>
    <w:r>
      <w:rPr>
        <w:noProof/>
        <w:rtl/>
        <w:lang w:val="he-IL"/>
      </w:rPr>
      <w:pict>
        <v:shapetype id="_x0000_t202" coordsize="21600,21600" o:spt="202" path="m,l,21600r21600,l21600,xe">
          <v:stroke joinstyle="miter"/>
          <v:path gradientshapeok="t" o:connecttype="rect"/>
        </v:shapetype>
        <v:shape id="HeadTwo" o:spid="_x0000_s2049" type="#_x0000_t202" style="width:145.75pt;height:19pt;margin-top:9.25pt;margin-left:300.9pt;position:absolute;visibility:hidden;z-index:251660288" stroked="f">
          <v:textbox>
            <w:txbxContent>
              <w:p>
                <w:pPr>
                  <w:ind w:left="0" w:right="0"/>
                  <w:jc w:val="both"/>
                  <w:rPr>
                    <w:rtl/>
                  </w:rPr>
                </w:pPr>
                <w:r>
                  <w:rPr>
                    <w:rFonts w:cs="Miriam" w:hint="cs"/>
                    <w:color w:val="0000FF"/>
                    <w:sz w:val="27"/>
                    <w:szCs w:val="27"/>
                    <w:rtl/>
                  </w:rPr>
                  <w:t>משרד מבקר המדינה</w:t>
                </w:r>
              </w:p>
            </w:txbxContent>
          </v:textbox>
        </v:shape>
      </w:pict>
    </w:r>
    <w:r>
      <w:rPr>
        <w:rFonts w:hint="cs"/>
        <w:rtl/>
      </w:rPr>
      <w:t xml:space="preserve">  </w:t>
      <w:tab/>
    </w:r>
    <w:r>
      <w:rPr>
        <w:rFonts w:hint="cs"/>
        <w:sz w:val="21"/>
        <w:szCs w:val="21"/>
        <w:rtl/>
      </w:rPr>
      <w:t xml:space="preserve">- </w:t>
    </w:r>
    <w:r>
      <w:rPr>
        <w:rStyle w:val="PageNumber"/>
        <w:szCs w:val="21"/>
      </w:rPr>
      <w:fldChar w:fldCharType="begin"/>
    </w:r>
    <w:r>
      <w:rPr>
        <w:rStyle w:val="PageNumber"/>
        <w:szCs w:val="21"/>
      </w:rPr>
      <w:instrText xml:space="preserve"> PAGE </w:instrText>
    </w:r>
    <w:r>
      <w:rPr>
        <w:rStyle w:val="PageNumber"/>
        <w:szCs w:val="21"/>
      </w:rPr>
      <w:fldChar w:fldCharType="separate"/>
    </w:r>
    <w:r>
      <w:rPr>
        <w:rStyle w:val="PageNumber"/>
        <w:szCs w:val="21"/>
      </w:rPr>
      <w:t>6</w:t>
    </w:r>
    <w:r>
      <w:rPr>
        <w:rStyle w:val="PageNumber"/>
        <w:szCs w:val="21"/>
      </w:rPr>
      <w:fldChar w:fldCharType="end"/>
    </w:r>
    <w:r>
      <w:rPr>
        <w:rStyle w:val="PageNumber"/>
        <w:rFonts w:hint="cs"/>
        <w:rtl/>
      </w:rPr>
      <w:t xml:space="preserve"> </w:t>
    </w:r>
    <w:r>
      <w:rPr>
        <w:rStyle w:val="PageNumber"/>
        <w:rFonts w:hint="cs"/>
        <w:sz w:val="21"/>
        <w:szCs w:val="21"/>
        <w:rtl/>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Fonts w:cs="Miriam" w:hint="cs"/>
        <w:color w:val="0000FF"/>
        <w:rtl/>
      </w:rPr>
    </w:pPr>
    <w:r>
      <w:rPr>
        <w:noProof/>
        <w:rtl/>
        <w:lang w:val="he-IL"/>
      </w:rPr>
      <w:pict>
        <v:shapetype id="_x0000_t202" coordsize="21600,21600" o:spt="202" path="m,l,21600r21600,l21600,xe">
          <v:stroke joinstyle="miter"/>
          <v:path gradientshapeok="t" o:connecttype="rect"/>
        </v:shapetype>
        <v:shape id="HeadOne" o:spid="_x0000_s2051" type="#_x0000_t202" style="width:118pt;height:19.5pt;margin-top:9.25pt;margin-left:329.85pt;position:absolute;visibility:hidden;z-index:251659264" stroked="f">
          <v:textbox>
            <w:txbxContent>
              <w:p>
                <w:pPr>
                  <w:ind w:left="0" w:right="0"/>
                  <w:jc w:val="both"/>
                  <w:rPr>
                    <w:rtl/>
                  </w:rPr>
                </w:pPr>
                <w:r>
                  <w:rPr>
                    <w:rFonts w:cs="Miriam" w:hint="cs"/>
                    <w:color w:val="0000FF"/>
                    <w:sz w:val="27"/>
                    <w:szCs w:val="27"/>
                    <w:rtl/>
                  </w:rPr>
                  <w:t>משרד מבקר המדינה</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1AAF5CA5"/>
    <w:multiLevelType w:val="multilevel"/>
    <w:tmpl w:val="74C2A7DE"/>
    <w:lvl w:ilvl="0">
      <w:start w:val="8"/>
      <w:numFmt w:val="decimal"/>
      <w:lvlText w:val="%1."/>
      <w:lvlJc w:val="left"/>
      <w:pPr>
        <w:tabs>
          <w:tab w:val="num" w:pos="567"/>
        </w:tabs>
        <w:ind w:left="567" w:hanging="567"/>
      </w:pPr>
      <w:rPr>
        <w:rFonts w:cs="David" w:hint="cs"/>
        <w:bCs w:val="0"/>
        <w:iCs w:val="0"/>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nsid w:val="3443390D"/>
    <w:multiLevelType w:val="singleLevel"/>
    <w:tmpl w:val="A07AD338"/>
    <w:lvl w:ilvl="0">
      <w:start w:val="1"/>
      <w:numFmt w:val="upperRoman"/>
      <w:lvlText w:val="%1."/>
      <w:lvlJc w:val="center"/>
      <w:pPr>
        <w:tabs>
          <w:tab w:val="num" w:pos="648"/>
        </w:tabs>
        <w:ind w:right="648" w:hanging="360"/>
      </w:pPr>
    </w:lvl>
  </w:abstractNum>
  <w:abstractNum w:abstractNumId="3">
    <w:nsid w:val="3A075CF4"/>
    <w:multiLevelType w:val="hybridMultilevel"/>
    <w:tmpl w:val="6DFCCBA8"/>
    <w:lvl w:ilvl="0">
      <w:start w:val="2"/>
      <w:numFmt w:val="hebrew1"/>
      <w:lvlText w:val="(%1)"/>
      <w:lvlJc w:val="left"/>
      <w:pPr>
        <w:tabs>
          <w:tab w:val="num" w:pos="930"/>
        </w:tabs>
        <w:ind w:left="930" w:hanging="57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BF1556C"/>
    <w:multiLevelType w:val="hybridMultilevel"/>
    <w:tmpl w:val="8CF63788"/>
    <w:lvl w:ilvl="0">
      <w:start w:val="5"/>
      <w:numFmt w:val="decimal"/>
      <w:lvlText w:val="%1."/>
      <w:lvlJc w:val="left"/>
      <w:pPr>
        <w:tabs>
          <w:tab w:val="num" w:pos="720"/>
        </w:tabs>
        <w:ind w:left="720" w:hanging="360"/>
      </w:pPr>
      <w:rPr>
        <w:rFonts w:hint="cs"/>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6">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2814989"/>
    <w:multiLevelType w:val="singleLevel"/>
    <w:tmpl w:val="6B88B9FA"/>
    <w:lvl w:ilvl="0">
      <w:start w:val="1"/>
      <w:numFmt w:val="hebrew1"/>
      <w:pStyle w:val="Heading9"/>
      <w:lvlText w:val="%1."/>
      <w:lvlJc w:val="left"/>
      <w:pPr>
        <w:tabs>
          <w:tab w:val="num" w:pos="1107"/>
        </w:tabs>
        <w:ind w:left="1107" w:hanging="456"/>
      </w:pPr>
      <w:rPr>
        <w:rFonts w:hint="default"/>
      </w:rPr>
    </w:lvl>
  </w:abstractNum>
  <w:abstractNum w:abstractNumId="8">
    <w:nsid w:val="6A1C7FB5"/>
    <w:multiLevelType w:val="singleLevel"/>
    <w:tmpl w:val="CB646ABA"/>
    <w:lvl w:ilvl="0">
      <w:start w:val="1"/>
      <w:numFmt w:val="hebrew1"/>
      <w:lvlText w:val="%1."/>
      <w:lvlJc w:val="center"/>
      <w:pPr>
        <w:tabs>
          <w:tab w:val="num" w:pos="797"/>
        </w:tabs>
        <w:ind w:left="797" w:hanging="360"/>
      </w:pPr>
    </w:lvl>
  </w:abstractNum>
  <w:abstractNum w:abstractNumId="9">
    <w:nsid w:val="70287ABE"/>
    <w:multiLevelType w:val="hybridMultilevel"/>
    <w:tmpl w:val="D974F8E0"/>
    <w:lvl w:ilvl="0">
      <w:start w:val="3"/>
      <w:numFmt w:val="hebrew1"/>
      <w:lvlText w:val="(%1)"/>
      <w:lvlJc w:val="left"/>
      <w:pPr>
        <w:tabs>
          <w:tab w:val="num" w:pos="853"/>
        </w:tabs>
        <w:ind w:left="853" w:hanging="570"/>
      </w:pPr>
      <w:rPr>
        <w:rFonts w:hint="cs"/>
      </w:rPr>
    </w:lvl>
    <w:lvl w:ilvl="1" w:tentative="1">
      <w:start w:val="1"/>
      <w:numFmt w:val="lowerLetter"/>
      <w:lvlText w:val="%2."/>
      <w:lvlJc w:val="left"/>
      <w:pPr>
        <w:tabs>
          <w:tab w:val="num" w:pos="1363"/>
        </w:tabs>
        <w:ind w:left="1363" w:hanging="360"/>
      </w:pPr>
    </w:lvl>
    <w:lvl w:ilvl="2" w:tentative="1">
      <w:start w:val="1"/>
      <w:numFmt w:val="lowerRoman"/>
      <w:lvlText w:val="%3."/>
      <w:lvlJc w:val="right"/>
      <w:pPr>
        <w:tabs>
          <w:tab w:val="num" w:pos="2083"/>
        </w:tabs>
        <w:ind w:left="2083" w:hanging="180"/>
      </w:pPr>
    </w:lvl>
    <w:lvl w:ilvl="3" w:tentative="1">
      <w:start w:val="1"/>
      <w:numFmt w:val="decimal"/>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Roman"/>
      <w:lvlText w:val="%6."/>
      <w:lvlJc w:val="right"/>
      <w:pPr>
        <w:tabs>
          <w:tab w:val="num" w:pos="4243"/>
        </w:tabs>
        <w:ind w:left="4243" w:hanging="180"/>
      </w:pPr>
    </w:lvl>
    <w:lvl w:ilvl="6" w:tentative="1">
      <w:start w:val="1"/>
      <w:numFmt w:val="decimal"/>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Roman"/>
      <w:lvlText w:val="%9."/>
      <w:lvlJc w:val="right"/>
      <w:pPr>
        <w:tabs>
          <w:tab w:val="num" w:pos="6403"/>
        </w:tabs>
        <w:ind w:left="6403" w:hanging="180"/>
      </w:pPr>
    </w:lvl>
  </w:abstractNum>
  <w:num w:numId="1">
    <w:abstractNumId w:val="5"/>
  </w:num>
  <w:num w:numId="2">
    <w:abstractNumId w:val="5"/>
  </w:num>
  <w:num w:numId="3">
    <w:abstractNumId w:val="5"/>
  </w:num>
  <w:num w:numId="4">
    <w:abstractNumId w:val="2"/>
  </w:num>
  <w:num w:numId="5">
    <w:abstractNumId w:val="8"/>
  </w:num>
  <w:num w:numId="6">
    <w:abstractNumId w:val="8"/>
  </w:num>
  <w:num w:numId="7">
    <w:abstractNumId w:val="5"/>
  </w:num>
  <w:num w:numId="8">
    <w:abstractNumId w:val="5"/>
  </w:num>
  <w:num w:numId="9">
    <w:abstractNumId w:val="8"/>
  </w:num>
  <w:num w:numId="10">
    <w:abstractNumId w:val="5"/>
  </w:num>
  <w:num w:numId="11">
    <w:abstractNumId w:val="8"/>
  </w:num>
  <w:num w:numId="12">
    <w:abstractNumId w:val="6"/>
  </w:num>
  <w:num w:numId="13">
    <w:abstractNumId w:val="0"/>
  </w:num>
  <w:num w:numId="14">
    <w:abstractNumId w:val="7"/>
  </w:num>
  <w:num w:numId="15">
    <w:abstractNumId w:val="1"/>
  </w:num>
  <w:num w:numId="16">
    <w:abstractNumId w:val="4"/>
  </w:num>
  <w:num w:numId="17">
    <w:abstractNumId w:val="9"/>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grammar="clean"/>
  <w:doNotTrackMoves/>
  <w:defaultTabStop w:val="567"/>
  <w:drawingGridHorizontalSpacing w:val="72"/>
  <w:drawingGridVerticalSpacing w:val="98"/>
  <w:displayHorizontalDrawingGridEvery w:val="2"/>
  <w:displayVerticalDrawingGridEvery w:val="2"/>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iriam"/>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bidi/>
      <w:spacing w:line="312" w:lineRule="auto"/>
      <w:ind w:left="0" w:right="0"/>
      <w:jc w:val="both"/>
    </w:pPr>
    <w:rPr>
      <w:rFonts w:cs="David"/>
      <w:sz w:val="24"/>
      <w:szCs w:val="24"/>
      <w:lang w:val="en-US" w:eastAsia="he-IL" w:bidi="he-IL"/>
    </w:rPr>
  </w:style>
  <w:style w:type="paragraph" w:styleId="Heading1">
    <w:name w:val="heading 1"/>
    <w:basedOn w:val="Normal"/>
    <w:next w:val="Normal"/>
    <w:uiPriority w:val="9"/>
    <w:qFormat/>
    <w:pPr>
      <w:keepNext/>
      <w:spacing w:before="240" w:after="60"/>
      <w:ind w:left="0" w:right="0"/>
      <w:jc w:val="center"/>
      <w:outlineLvl w:val="0"/>
    </w:pPr>
    <w:rPr>
      <w:rFonts w:cs="Times New Roman"/>
      <w:b/>
      <w:bCs/>
      <w:kern w:val="32"/>
      <w:sz w:val="32"/>
      <w:szCs w:val="32"/>
      <w:u w:val="single"/>
    </w:rPr>
  </w:style>
  <w:style w:type="paragraph" w:styleId="Heading2">
    <w:name w:val="heading 2"/>
    <w:basedOn w:val="Normal"/>
    <w:next w:val="Normal"/>
    <w:uiPriority w:val="9"/>
    <w:qFormat/>
    <w:pPr>
      <w:keepNext/>
      <w:spacing w:before="240" w:after="60"/>
      <w:ind w:left="0" w:right="0"/>
      <w:jc w:val="both"/>
      <w:outlineLvl w:val="1"/>
    </w:pPr>
    <w:rPr>
      <w:rFonts w:ascii="Arial" w:hAnsi="Arial" w:cs="Arial"/>
      <w:b/>
      <w:bCs/>
      <w:i/>
      <w:iCs/>
      <w:sz w:val="28"/>
      <w:szCs w:val="28"/>
    </w:rPr>
  </w:style>
  <w:style w:type="paragraph" w:styleId="Heading6">
    <w:name w:val="heading 6"/>
    <w:basedOn w:val="Normal"/>
    <w:next w:val="Normal"/>
    <w:uiPriority w:val="9"/>
    <w:qFormat/>
    <w:pPr>
      <w:keepNext/>
      <w:widowControl/>
      <w:spacing w:line="240" w:lineRule="auto"/>
      <w:ind w:left="0" w:right="0"/>
      <w:jc w:val="both"/>
      <w:outlineLvl w:val="5"/>
    </w:pPr>
    <w:rPr>
      <w:b/>
      <w:bCs/>
    </w:rPr>
  </w:style>
  <w:style w:type="paragraph" w:styleId="Heading9">
    <w:name w:val="heading 9"/>
    <w:basedOn w:val="Normal"/>
    <w:next w:val="Normal"/>
    <w:uiPriority w:val="9"/>
    <w:qFormat/>
    <w:pPr>
      <w:keepNext/>
      <w:widowControl/>
      <w:numPr>
        <w:ilvl w:val="0"/>
        <w:numId w:val="14"/>
      </w:numPr>
      <w:spacing w:line="240" w:lineRule="auto"/>
      <w:ind w:left="1107" w:right="0"/>
      <w:jc w:val="both"/>
      <w:outlineLvl w:val="8"/>
    </w:pPr>
    <w:rPr>
      <w:sz w:val="26"/>
      <w:u w:val="single"/>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uiPriority w:val="10"/>
    <w:qFormat/>
    <w:pPr>
      <w:ind w:left="0" w:right="0"/>
      <w:jc w:val="center"/>
    </w:pPr>
    <w:rPr>
      <w:b/>
      <w:bCs/>
      <w:u w:val="single"/>
    </w:rPr>
  </w:style>
  <w:style w:type="paragraph" w:customStyle="1" w:styleId="1">
    <w:name w:val="כותרת 1"/>
    <w:basedOn w:val="Normal"/>
    <w:next w:val="Normal"/>
    <w:pPr>
      <w:spacing w:before="240" w:after="480" w:line="288" w:lineRule="auto"/>
      <w:ind w:left="0" w:right="0"/>
      <w:jc w:val="center"/>
    </w:pPr>
    <w:rPr>
      <w:b/>
      <w:bCs/>
      <w:sz w:val="32"/>
      <w:szCs w:val="36"/>
      <w:u w:val="single"/>
    </w:rPr>
  </w:style>
  <w:style w:type="paragraph" w:customStyle="1" w:styleId="2">
    <w:name w:val="כותרת 2"/>
    <w:basedOn w:val="Normal"/>
    <w:next w:val="Normal"/>
    <w:pPr>
      <w:spacing w:before="100" w:beforeAutospacing="1" w:after="240" w:line="264" w:lineRule="auto"/>
      <w:ind w:left="0" w:right="0"/>
      <w:jc w:val="center"/>
    </w:pPr>
    <w:rPr>
      <w:b/>
      <w:bCs/>
      <w:sz w:val="28"/>
      <w:szCs w:val="32"/>
    </w:rPr>
  </w:style>
  <w:style w:type="paragraph" w:customStyle="1" w:styleId="3">
    <w:name w:val="כותרת 3"/>
    <w:basedOn w:val="Normal"/>
    <w:next w:val="Normal"/>
    <w:pPr>
      <w:spacing w:before="100" w:beforeAutospacing="1" w:line="288" w:lineRule="auto"/>
      <w:ind w:left="0" w:right="0"/>
      <w:jc w:val="left"/>
    </w:pPr>
    <w:rPr>
      <w:b/>
      <w:bCs/>
      <w:sz w:val="24"/>
      <w:szCs w:val="28"/>
      <w:u w:val="single"/>
    </w:rPr>
  </w:style>
  <w:style w:type="paragraph" w:customStyle="1" w:styleId="4">
    <w:name w:val="כותרת 4"/>
    <w:basedOn w:val="Normal"/>
    <w:next w:val="Normal"/>
    <w:pPr>
      <w:spacing w:before="100" w:beforeAutospacing="1" w:line="264" w:lineRule="auto"/>
      <w:ind w:left="0" w:right="0"/>
      <w:jc w:val="left"/>
    </w:pPr>
    <w:rPr>
      <w:b/>
      <w:bCs/>
      <w:sz w:val="22"/>
      <w:szCs w:val="26"/>
    </w:rPr>
  </w:style>
  <w:style w:type="paragraph" w:customStyle="1" w:styleId="a">
    <w:name w:val="נבנצלים"/>
    <w:basedOn w:val="Normal"/>
    <w:next w:val="Normal"/>
    <w:pPr>
      <w:ind w:left="-567" w:right="0"/>
      <w:jc w:val="both"/>
    </w:pPr>
    <w:rPr>
      <w:szCs w:val="20"/>
    </w:rPr>
  </w:style>
  <w:style w:type="paragraph" w:styleId="BodyText">
    <w:name w:val="Body Text"/>
    <w:basedOn w:val="Normal"/>
    <w:pPr>
      <w:ind w:left="0" w:right="0"/>
      <w:jc w:val="both"/>
    </w:pPr>
  </w:style>
  <w:style w:type="paragraph" w:styleId="BodyText2">
    <w:name w:val="Body Text 2"/>
    <w:basedOn w:val="Normal"/>
    <w:pPr>
      <w:ind w:left="0" w:right="0"/>
      <w:jc w:val="left"/>
    </w:pPr>
  </w:style>
  <w:style w:type="paragraph" w:styleId="Header">
    <w:name w:val="header"/>
    <w:basedOn w:val="Normal"/>
    <w:pPr>
      <w:tabs>
        <w:tab w:val="center" w:pos="4153"/>
        <w:tab w:val="right" w:pos="8306"/>
      </w:tabs>
      <w:ind w:left="0" w:right="0"/>
      <w:jc w:val="both"/>
    </w:pPr>
  </w:style>
  <w:style w:type="paragraph" w:styleId="Footer">
    <w:name w:val="footer"/>
    <w:basedOn w:val="Normal"/>
    <w:pPr>
      <w:tabs>
        <w:tab w:val="center" w:pos="4153"/>
        <w:tab w:val="right" w:pos="8306"/>
      </w:tabs>
      <w:ind w:left="0" w:right="0"/>
      <w:jc w:val="both"/>
    </w:pPr>
  </w:style>
  <w:style w:type="character" w:styleId="PageNumber">
    <w:name w:val="page number"/>
    <w:basedOn w:val="DefaultParagraphFont"/>
  </w:style>
  <w:style w:type="paragraph" w:styleId="FootnoteText">
    <w:name w:val="footnote text"/>
    <w:basedOn w:val="Normal"/>
    <w:pPr>
      <w:ind w:left="567" w:right="0" w:hanging="567"/>
      <w:jc w:val="both"/>
    </w:pPr>
    <w:rPr>
      <w:szCs w:val="20"/>
    </w:rPr>
  </w:style>
  <w:style w:type="character" w:styleId="FootnoteReference">
    <w:name w:val="footnote reference"/>
    <w:basedOn w:val="DefaultParagraphFont"/>
    <w:rPr>
      <w:vertAlign w:val="superscript"/>
    </w:rPr>
  </w:style>
  <w:style w:type="paragraph" w:styleId="EndnoteText">
    <w:name w:val="endnote text"/>
    <w:basedOn w:val="Normal"/>
    <w:pPr>
      <w:ind w:left="0" w:right="0"/>
      <w:jc w:val="both"/>
    </w:pPr>
    <w:rPr>
      <w:szCs w:val="20"/>
    </w:rPr>
  </w:style>
  <w:style w:type="character" w:styleId="EndnoteReference">
    <w:name w:val="endnote reference"/>
    <w:basedOn w:val="DefaultParagraphFont"/>
    <w:rPr>
      <w:vertAlign w:val="superscript"/>
    </w:rPr>
  </w:style>
  <w:style w:type="paragraph" w:styleId="BodyText3">
    <w:name w:val="Body Text 3"/>
    <w:basedOn w:val="Normal"/>
    <w:pPr>
      <w:widowControl w:val="0"/>
      <w:ind w:left="0" w:right="0"/>
      <w:jc w:val="both"/>
    </w:pPr>
  </w:style>
  <w:style w:type="character" w:customStyle="1" w:styleId="5">
    <w:name w:val="כותרת 5"/>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
    <w:name w:val="כותרת 6"/>
    <w:basedOn w:val="DefaultParagraphFont"/>
    <w:rPr>
      <w:rFonts w:ascii="Times New Roman" w:hAnsi="Times New Roman" w:cs="David"/>
      <w:color w:val="auto"/>
      <w:spacing w:val="40"/>
      <w:w w:val="100"/>
      <w:position w:val="0"/>
      <w:sz w:val="20"/>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footer" Target="footer2.xml"/><Relationship Id="rId7" Type="http://schemas.openxmlformats.org/officeDocument/2006/relationships/oleObject" Target="embeddings/oleObject1.bin"/><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header" Target="header2.xml"/><Relationship Id="rId6" Type="http://schemas.openxmlformats.org/officeDocument/2006/relationships/image" Target="media/image2.wmf"/><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header" Target="header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E2D79E-81C0-442C-8F03-DC54A4C2BDF5}"/>
</file>

<file path=customXml/itemProps2.xml><?xml version="1.0" encoding="utf-8"?>
<ds:datastoreItem xmlns:ds="http://schemas.openxmlformats.org/officeDocument/2006/customXml" ds:itemID="{C9786B6F-22FC-4AFA-A4EC-7C3A88C774FD}"/>
</file>

<file path=customXml/itemProps3.xml><?xml version="1.0" encoding="utf-8"?>
<ds:datastoreItem xmlns:ds="http://schemas.openxmlformats.org/officeDocument/2006/customXml" ds:itemID="{65E67502-33DE-4BE8-AE70-639A255016A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