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widowControl/>
        <w:tabs>
          <w:tab w:val="left" w:pos="340"/>
        </w:tabs>
        <w:spacing w:after="120" w:line="264" w:lineRule="exact"/>
        <w:ind w:left="4196" w:right="0"/>
        <w:jc w:val="both"/>
        <w:rPr>
          <w:rFonts w:ascii="FrankRuehl" w:hAnsi="FrankRuehl"/>
          <w:b/>
          <w:bCs/>
          <w:sz w:val="32"/>
          <w:szCs w:val="32"/>
          <w:rtl/>
        </w:rPr>
      </w:pPr>
      <w:r>
        <w:rPr>
          <w:rFonts w:ascii="FrankRuehl" w:hAnsi="FrankRuehl"/>
          <w:b/>
          <w:bCs/>
          <w:sz w:val="32"/>
          <w:szCs w:val="32"/>
          <w:rtl/>
        </w:rPr>
        <w:t xml:space="preserve">דוח שנתי </w:t>
      </w:r>
      <w:r>
        <w:rPr>
          <w:rFonts w:ascii="FrankRuehl" w:hAnsi="FrankRuehl" w:hint="cs"/>
          <w:b/>
          <w:bCs/>
          <w:sz w:val="32"/>
          <w:szCs w:val="32"/>
          <w:rtl/>
        </w:rPr>
        <w:t>34</w:t>
      </w:r>
      <w:r>
        <w:rPr>
          <w:rFonts w:ascii="FrankRuehl" w:hAnsi="FrankRuehl"/>
          <w:b/>
          <w:bCs/>
          <w:sz w:val="32"/>
          <w:szCs w:val="32"/>
          <w:rtl/>
        </w:rPr>
        <w:t xml:space="preserve"> של</w:t>
      </w:r>
    </w:p>
    <w:p>
      <w:pPr>
        <w:widowControl/>
        <w:tabs>
          <w:tab w:val="left" w:pos="340"/>
        </w:tabs>
        <w:spacing w:after="120" w:line="264" w:lineRule="exact"/>
        <w:ind w:left="4196" w:right="0"/>
        <w:jc w:val="both"/>
        <w:rPr>
          <w:rFonts w:ascii="FrankRuehl" w:hAnsi="FrankRuehl" w:hint="cs"/>
          <w:b/>
          <w:bCs/>
          <w:sz w:val="32"/>
          <w:szCs w:val="32"/>
          <w:rtl/>
        </w:rPr>
      </w:pPr>
      <w:r>
        <w:rPr>
          <w:rFonts w:ascii="FrankRuehl" w:hAnsi="FrankRuehl"/>
          <w:b/>
          <w:bCs/>
          <w:sz w:val="32"/>
          <w:szCs w:val="32"/>
          <w:rtl/>
        </w:rPr>
        <w:t>נציב תלונות הציבור</w:t>
      </w:r>
    </w:p>
    <w:p>
      <w:pPr>
        <w:widowControl/>
        <w:tabs>
          <w:tab w:val="left" w:pos="340"/>
        </w:tabs>
        <w:spacing w:after="120" w:line="264" w:lineRule="exact"/>
        <w:ind w:left="4196" w:right="0"/>
        <w:jc w:val="both"/>
        <w:rPr>
          <w:rFonts w:ascii="FrankRuehl" w:hAnsi="FrankRuehl"/>
          <w:b/>
          <w:bCs/>
          <w:sz w:val="32"/>
          <w:szCs w:val="32"/>
        </w:rPr>
      </w:pPr>
      <w:r>
        <w:rPr>
          <w:rFonts w:ascii="FrankRuehl" w:hAnsi="FrankRuehl"/>
          <w:b/>
          <w:bCs/>
          <w:sz w:val="32"/>
          <w:szCs w:val="32"/>
          <w:rtl/>
        </w:rPr>
        <w:br w:type="page"/>
      </w:r>
    </w:p>
    <w:p>
      <w:pPr>
        <w:widowControl/>
        <w:ind w:left="0" w:right="0"/>
        <w:jc w:val="center"/>
      </w:pPr>
      <w:r>
        <w:rPr>
          <w:rFonts w:ascii="FrankRuehl" w:hAnsi="FrankRuehl"/>
          <w:b/>
          <w:bCs/>
          <w:sz w:val="32"/>
          <w:szCs w:val="32"/>
          <w:rtl/>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pt;height:53.95pt" o:allowoverlap="f" stroked="f">
            <v:imagedata r:id="rId4" o:title="israel_n"/>
          </v:shape>
        </w:pict>
      </w:r>
    </w:p>
    <w:p>
      <w:pPr>
        <w:widowControl/>
        <w:ind w:left="0" w:right="0"/>
        <w:jc w:val="center"/>
        <w:rPr>
          <w:rFonts w:hint="cs"/>
          <w:sz w:val="40"/>
          <w:szCs w:val="40"/>
          <w:rtl/>
        </w:rPr>
      </w:pPr>
      <w:r>
        <w:rPr>
          <w:rFonts w:hint="cs"/>
          <w:sz w:val="40"/>
          <w:szCs w:val="40"/>
          <w:rtl/>
        </w:rPr>
        <w:t>נציב תלונות הציבור</w:t>
      </w:r>
    </w:p>
    <w:p>
      <w:pPr>
        <w:widowControl/>
        <w:ind w:left="0" w:right="0"/>
        <w:jc w:val="center"/>
        <w:rPr>
          <w:sz w:val="60"/>
          <w:szCs w:val="60"/>
        </w:rPr>
      </w:pPr>
    </w:p>
    <w:p>
      <w:pPr>
        <w:widowControl/>
        <w:ind w:left="0" w:right="0"/>
        <w:jc w:val="center"/>
        <w:rPr>
          <w:rFonts w:hint="cs"/>
          <w:rtl/>
        </w:rPr>
      </w:pPr>
    </w:p>
    <w:p>
      <w:pPr>
        <w:widowControl/>
        <w:ind w:left="0" w:right="0"/>
        <w:jc w:val="center"/>
        <w:rPr>
          <w:rFonts w:hint="cs"/>
          <w:rtl/>
        </w:rPr>
      </w:pPr>
    </w:p>
    <w:p>
      <w:pPr>
        <w:widowControl/>
        <w:ind w:left="0" w:right="0"/>
        <w:jc w:val="center"/>
        <w:rPr>
          <w:rFonts w:hint="cs"/>
        </w:rPr>
      </w:pPr>
    </w:p>
    <w:p>
      <w:pPr>
        <w:pStyle w:val="Heading7"/>
        <w:widowControl/>
        <w:bidi/>
        <w:ind w:left="0" w:right="0"/>
        <w:jc w:val="center"/>
        <w:rPr>
          <w:rFonts w:hint="cs"/>
          <w:b/>
          <w:bCs/>
          <w:sz w:val="90"/>
          <w:szCs w:val="90"/>
          <w:rtl/>
        </w:rPr>
      </w:pPr>
      <w:r>
        <w:rPr>
          <w:rFonts w:hint="cs"/>
          <w:b/>
          <w:bCs/>
          <w:sz w:val="90"/>
          <w:szCs w:val="90"/>
          <w:rtl/>
        </w:rPr>
        <w:t>דוח שנתי 34</w:t>
      </w:r>
    </w:p>
    <w:p>
      <w:pPr>
        <w:pStyle w:val="Heading5"/>
        <w:widowControl/>
        <w:bidi/>
        <w:spacing w:before="0"/>
        <w:ind w:left="0" w:right="0"/>
        <w:jc w:val="center"/>
        <w:rPr>
          <w:rFonts w:hint="cs"/>
          <w:rtl/>
        </w:rPr>
      </w:pPr>
      <w:r>
        <w:rPr>
          <w:rFonts w:hint="cs"/>
          <w:rtl/>
        </w:rPr>
        <w:t>לשנת 2007</w:t>
      </w:r>
    </w:p>
    <w:p>
      <w:pPr>
        <w:widowControl/>
        <w:ind w:left="0" w:right="0"/>
        <w:jc w:val="center"/>
        <w:rPr>
          <w:rFonts w:hint="cs"/>
        </w:rPr>
      </w:pPr>
    </w:p>
    <w:p>
      <w:pPr>
        <w:widowControl/>
        <w:ind w:left="0" w:right="0"/>
        <w:jc w:val="center"/>
        <w:rPr>
          <w:rFonts w:hint="cs"/>
          <w:rtl/>
        </w:rPr>
      </w:pPr>
    </w:p>
    <w:p>
      <w:pPr>
        <w:widowControl/>
        <w:ind w:left="0" w:right="0"/>
        <w:jc w:val="center"/>
        <w:rPr>
          <w:rFonts w:hint="cs"/>
          <w:rtl/>
        </w:rPr>
      </w:pPr>
    </w:p>
    <w:p>
      <w:pPr>
        <w:widowControl/>
        <w:ind w:left="0" w:right="0"/>
        <w:jc w:val="center"/>
        <w:rPr>
          <w:rtl/>
        </w:rPr>
      </w:pPr>
    </w:p>
    <w:p>
      <w:pPr>
        <w:widowControl/>
        <w:ind w:left="0" w:right="0"/>
        <w:jc w:val="center"/>
        <w:rPr>
          <w:rtl/>
        </w:rPr>
      </w:pPr>
    </w:p>
    <w:p>
      <w:pPr>
        <w:widowControl/>
        <w:ind w:left="0" w:right="0"/>
        <w:jc w:val="center"/>
        <w:rPr>
          <w:rFonts w:hint="cs"/>
          <w:rtl/>
        </w:rPr>
      </w:pPr>
    </w:p>
    <w:p>
      <w:pPr>
        <w:widowControl/>
        <w:ind w:left="0" w:right="0"/>
        <w:jc w:val="center"/>
        <w:rPr>
          <w:rFonts w:hint="cs"/>
          <w:rtl/>
        </w:rPr>
      </w:pPr>
    </w:p>
    <w:p>
      <w:pPr>
        <w:widowControl/>
        <w:ind w:left="0" w:right="0"/>
        <w:jc w:val="center"/>
        <w:rPr>
          <w:rFonts w:hint="cs"/>
          <w:rtl/>
        </w:rPr>
      </w:pPr>
    </w:p>
    <w:p>
      <w:pPr>
        <w:widowControl/>
        <w:spacing w:before="240"/>
        <w:ind w:left="0" w:right="0"/>
        <w:jc w:val="center"/>
        <w:rPr>
          <w:rFonts w:hint="cs"/>
          <w:rtl/>
        </w:rPr>
      </w:pPr>
    </w:p>
    <w:p>
      <w:pPr>
        <w:spacing w:after="120" w:line="240" w:lineRule="atLeast"/>
        <w:ind w:left="0" w:right="0"/>
        <w:jc w:val="center"/>
        <w:rPr>
          <w:rFonts w:hint="cs"/>
          <w:rtl/>
        </w:rPr>
      </w:pPr>
      <w:r>
        <w:rPr>
          <w:rtl/>
          <w:lang w:eastAsia="en-US"/>
        </w:rPr>
        <w:pict>
          <v:shape id="_x0000_i1026" type="#_x0000_t75" style="width:55.86pt;height:34.98pt" stroked="f">
            <v:imagedata r:id="rId5" o:title="LOGO MEVAKER"/>
          </v:shape>
        </w:pict>
      </w:r>
    </w:p>
    <w:p>
      <w:pPr>
        <w:pStyle w:val="Caption"/>
        <w:spacing w:line="240" w:lineRule="atLeast"/>
        <w:ind w:left="0" w:right="0"/>
        <w:jc w:val="center"/>
        <w:rPr>
          <w:rtl/>
        </w:rPr>
      </w:pPr>
      <w:r>
        <w:rPr>
          <w:rFonts w:hint="cs"/>
          <w:rtl/>
        </w:rPr>
        <w:t>ירושלים, התשס"ח-2008</w:t>
      </w:r>
    </w:p>
    <w:p>
      <w:pPr>
        <w:widowControl/>
        <w:ind w:left="0" w:right="0"/>
        <w:jc w:val="center"/>
        <w:rPr>
          <w:sz w:val="44"/>
          <w:szCs w:val="44"/>
        </w:rPr>
      </w:pPr>
      <w:r>
        <w:rPr>
          <w:sz w:val="44"/>
          <w:szCs w:val="44"/>
          <w:rtl/>
        </w:rPr>
        <w:br w:type="page"/>
      </w: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rPr>
          <w:sz w:val="22"/>
        </w:rPr>
      </w:pPr>
    </w:p>
    <w:p>
      <w:pPr>
        <w:widowControl/>
        <w:ind w:left="0" w:right="0"/>
        <w:jc w:val="center"/>
        <w:rPr>
          <w:sz w:val="22"/>
        </w:rPr>
      </w:pPr>
    </w:p>
    <w:p>
      <w:pPr>
        <w:widowControl/>
        <w:ind w:left="0" w:right="0"/>
        <w:jc w:val="center"/>
        <w:rPr>
          <w:sz w:val="22"/>
        </w:rPr>
      </w:pPr>
    </w:p>
    <w:p>
      <w:pPr>
        <w:widowControl/>
        <w:ind w:left="0" w:right="0"/>
        <w:jc w:val="center"/>
        <w:rPr>
          <w:sz w:val="22"/>
        </w:rPr>
      </w:pPr>
    </w:p>
    <w:p>
      <w:pPr>
        <w:widowControl/>
        <w:ind w:left="0" w:right="0"/>
        <w:jc w:val="center"/>
        <w:rPr>
          <w:sz w:val="22"/>
        </w:rPr>
      </w:pPr>
    </w:p>
    <w:p>
      <w:pPr>
        <w:widowControl/>
        <w:ind w:left="0" w:right="0"/>
        <w:jc w:val="center"/>
        <w:rPr>
          <w:rFonts w:cs="FrankRuehl"/>
          <w:sz w:val="22"/>
        </w:rPr>
      </w:pPr>
      <w:r>
        <w:rPr>
          <w:rFonts w:cs="FrankRuehl" w:hint="cs"/>
          <w:sz w:val="22"/>
          <w:rtl/>
        </w:rPr>
        <w:t>מס' קטלוגי 832-2008</w:t>
      </w:r>
    </w:p>
    <w:p>
      <w:pPr>
        <w:widowControl/>
        <w:ind w:left="0" w:right="0"/>
        <w:jc w:val="center"/>
        <w:rPr>
          <w:rFonts w:ascii="FrankRuehl" w:hAnsi="FrankRuehl" w:cs="FrankRuehl"/>
          <w:sz w:val="18"/>
          <w:szCs w:val="18"/>
        </w:rPr>
      </w:pPr>
      <w:r>
        <w:rPr>
          <w:rFonts w:cs="FrankRuehl"/>
          <w:sz w:val="22"/>
        </w:rPr>
        <w:t>ISSN 0579-2770</w:t>
      </w:r>
    </w:p>
    <w:p>
      <w:pPr>
        <w:widowControl/>
        <w:ind w:left="0" w:right="0"/>
        <w:jc w:val="center"/>
        <w:rPr>
          <w:rFonts w:cs="FrankRuehl"/>
          <w:sz w:val="22"/>
        </w:rPr>
      </w:pPr>
    </w:p>
    <w:p>
      <w:pPr>
        <w:widowControl/>
        <w:ind w:left="0" w:right="0"/>
        <w:jc w:val="center"/>
        <w:rPr>
          <w:rFonts w:cs="FrankRuehl" w:hint="cs"/>
          <w:sz w:val="22"/>
          <w:rtl/>
        </w:rPr>
      </w:pPr>
      <w:r>
        <w:rPr>
          <w:rFonts w:cs="FrankRuehl" w:hint="cs"/>
          <w:sz w:val="22"/>
          <w:rtl/>
        </w:rPr>
        <w:t xml:space="preserve">ניתן להוריד גרסה אלקטרונית של דוח זה מאתר האינטרנט של </w:t>
      </w:r>
      <w:r>
        <w:rPr>
          <w:rFonts w:cs="FrankRuehl"/>
          <w:sz w:val="22"/>
        </w:rPr>
        <w:br/>
      </w:r>
      <w:r>
        <w:rPr>
          <w:rFonts w:cs="FrankRuehl" w:hint="cs"/>
          <w:sz w:val="22"/>
          <w:rtl/>
        </w:rPr>
        <w:t>משרד מבקר המדינה בכתובת:</w:t>
      </w:r>
    </w:p>
    <w:p>
      <w:pPr>
        <w:widowControl/>
        <w:ind w:left="0" w:right="0"/>
        <w:jc w:val="center"/>
        <w:rPr>
          <w:rFonts w:cs="FrankRuehl" w:hint="cs"/>
          <w:sz w:val="22"/>
          <w:rtl/>
        </w:rPr>
      </w:pPr>
      <w:r>
        <w:rPr>
          <w:rFonts w:cs="FrankRuehl"/>
          <w:sz w:val="22"/>
        </w:rPr>
        <w:fldChar w:fldCharType="begin"/>
      </w:r>
      <w:r>
        <w:rPr>
          <w:rFonts w:cs="FrankRuehl"/>
          <w:sz w:val="22"/>
        </w:rPr>
        <w:instrText xml:space="preserve"> HYPERLINK "http://www.mevaker.gov.il" </w:instrText>
      </w:r>
      <w:r>
        <w:rPr>
          <w:rFonts w:cs="FrankRuehl"/>
          <w:sz w:val="22"/>
        </w:rPr>
        <w:fldChar w:fldCharType="separate"/>
      </w:r>
      <w:r>
        <w:rPr>
          <w:rStyle w:val="Hyperlink"/>
          <w:rFonts w:cs="FrankRuehl"/>
          <w:color w:val="auto"/>
          <w:sz w:val="22"/>
          <w:u w:val="none"/>
        </w:rPr>
        <w:t>www.mevaker.</w:t>
      </w:r>
      <w:bookmarkStart w:id="0" w:name="_Hlt61081784"/>
      <w:bookmarkStart w:id="1" w:name="_Hlt61081785"/>
      <w:r>
        <w:rPr>
          <w:rStyle w:val="Hyperlink"/>
          <w:rFonts w:cs="FrankRuehl"/>
          <w:color w:val="auto"/>
          <w:sz w:val="22"/>
          <w:u w:val="none"/>
        </w:rPr>
        <w:t>g</w:t>
      </w:r>
      <w:bookmarkEnd w:id="0"/>
      <w:bookmarkEnd w:id="1"/>
      <w:r>
        <w:rPr>
          <w:rStyle w:val="Hyperlink"/>
          <w:rFonts w:cs="FrankRuehl"/>
          <w:color w:val="auto"/>
          <w:sz w:val="22"/>
          <w:u w:val="none"/>
        </w:rPr>
        <w:t>ov.i</w:t>
      </w:r>
      <w:bookmarkStart w:id="2" w:name="_Hlt59958213"/>
      <w:bookmarkStart w:id="3" w:name="_Hlt59958214"/>
      <w:r>
        <w:rPr>
          <w:rStyle w:val="Hyperlink"/>
          <w:rFonts w:cs="FrankRuehl"/>
          <w:color w:val="auto"/>
          <w:sz w:val="22"/>
          <w:u w:val="none"/>
        </w:rPr>
        <w:t>l</w:t>
      </w:r>
      <w:bookmarkEnd w:id="2"/>
      <w:bookmarkEnd w:id="3"/>
      <w:r>
        <w:rPr>
          <w:rFonts w:cs="FrankRuehl"/>
          <w:sz w:val="22"/>
        </w:rPr>
        <w:fldChar w:fldCharType="end"/>
      </w:r>
      <w:r>
        <w:rPr>
          <w:rFonts w:cs="FrankRuehl" w:hint="cs"/>
          <w:sz w:val="22"/>
          <w:rtl/>
        </w:rPr>
        <w:t xml:space="preserve"> </w:t>
      </w:r>
    </w:p>
    <w:p>
      <w:pPr>
        <w:widowControl/>
        <w:ind w:left="0" w:right="0"/>
        <w:jc w:val="center"/>
        <w:rPr>
          <w:rFonts w:cs="FrankRuehl" w:hint="cs"/>
          <w:sz w:val="22"/>
        </w:rPr>
        <w:sectPr>
          <w:headerReference w:type="even" r:id="rId6"/>
          <w:headerReference w:type="default" r:id="rId7"/>
          <w:headerReference w:type="first" r:id="rId8"/>
          <w:pgSz w:w="11906" w:h="16838" w:code="9"/>
          <w:pgMar w:top="2098" w:right="2608" w:bottom="3969" w:left="2608" w:header="1531" w:footer="3402" w:gutter="0"/>
          <w:pgNumType w:start="1"/>
          <w:cols w:space="720"/>
          <w:titlePg/>
          <w:bidi/>
          <w:rtlGutter/>
        </w:sectPr>
      </w:pPr>
    </w:p>
    <w:p>
      <w:pPr>
        <w:widowControl/>
        <w:spacing w:after="120" w:line="260" w:lineRule="exact"/>
        <w:ind w:left="0" w:right="0"/>
        <w:jc w:val="both"/>
        <w:rPr>
          <w:rFonts w:hint="cs"/>
          <w:sz w:val="23"/>
          <w:szCs w:val="23"/>
          <w:rtl/>
        </w:rPr>
      </w:pPr>
      <w:r>
        <w:rPr>
          <w:rFonts w:hint="cs"/>
          <w:b/>
          <w:bCs/>
          <w:sz w:val="28"/>
          <w:szCs w:val="28"/>
          <w:rtl/>
        </w:rPr>
        <w:t>מוגש בזה לכנסת</w:t>
      </w:r>
      <w:r>
        <w:rPr>
          <w:rFonts w:hint="cs"/>
          <w:rtl/>
        </w:rPr>
        <w:t xml:space="preserve"> </w:t>
      </w:r>
      <w:r>
        <w:rPr>
          <w:rFonts w:hint="cs"/>
          <w:sz w:val="23"/>
          <w:szCs w:val="23"/>
          <w:rtl/>
        </w:rPr>
        <w:t>הדין וחשבון השלושים וארבעה של נציב תלונות הציבור.</w:t>
      </w:r>
    </w:p>
    <w:p>
      <w:pPr>
        <w:widowControl/>
        <w:spacing w:after="120" w:line="260" w:lineRule="exact"/>
        <w:ind w:left="0" w:right="0"/>
        <w:jc w:val="both"/>
        <w:rPr>
          <w:rFonts w:hint="cs"/>
          <w:sz w:val="23"/>
          <w:szCs w:val="23"/>
          <w:rtl/>
        </w:rPr>
      </w:pPr>
      <w:r>
        <w:rPr>
          <w:rFonts w:hint="cs"/>
          <w:sz w:val="23"/>
          <w:szCs w:val="23"/>
          <w:rtl/>
        </w:rPr>
        <w:t xml:space="preserve">לנציבות תלונות הציבור תפקיד מרכזי בהגנה על האזרח מפני שרירות רשויות המדינה, והיא משמשת כתובת לאלפי פונים מן הציבור הרחב, ובהם עולים חדשים, קשישים, בני מיעוטים ובעלי הכנסה נמוכה שידם אינה משגת לשכור עורך דין. השירות לציבור ניתן חינם אין כסף, ועובדי הנציבות עושים לילות כימים כדי למלא את שליחותם ולהגן על זכויות הפונים. בשנים האחרונות חל גידול במספר התלונות המוגשות לנציבות תלונות הציבור, ובשנת 2007 הגיע מספרן לכ-10,000 תלונות; בכלל זה חל גידול במספר התלונות שהגישו חברי הכנסת בגין מעשים הפוגעים בציבור הרחב, והדבר מעיד על האמון שהציבור הרחב והכנסת נותנים בנציבות. </w:t>
      </w:r>
    </w:p>
    <w:p>
      <w:pPr>
        <w:widowControl/>
        <w:spacing w:after="120" w:line="260" w:lineRule="exact"/>
        <w:ind w:left="0" w:right="0"/>
        <w:jc w:val="both"/>
        <w:rPr>
          <w:rFonts w:hint="cs"/>
          <w:spacing w:val="-2"/>
          <w:sz w:val="23"/>
          <w:szCs w:val="23"/>
          <w:rtl/>
        </w:rPr>
      </w:pPr>
      <w:r>
        <w:rPr>
          <w:rFonts w:hint="cs"/>
          <w:spacing w:val="-2"/>
          <w:sz w:val="23"/>
          <w:szCs w:val="23"/>
          <w:rtl/>
        </w:rPr>
        <w:t>כמפורט בדוח, הוגשו תלונות על עשרות גופים בשירות הציבורי וברשויות המקומיות, ונגד 22 מהם הוגשו למעלה מ-100 תלונות. הגופים שמספר התלונות שהוגשו נגדם היה הגדול ביותר הם: המוסד לביטוח לאומי, משטרת ישראל, מערכת בתי המשפט, משרד המשפטים, משרד האוצר ומשרד הפנים. 33.7% מבין כלל התלונות שהתבררו לגופן נמצאו מוצדקות, עלייה של כאחוז וחצי לעומת שנת 2006.</w:t>
      </w:r>
    </w:p>
    <w:p>
      <w:pPr>
        <w:widowControl/>
        <w:spacing w:after="120" w:line="260" w:lineRule="exact"/>
        <w:ind w:left="0" w:right="0"/>
        <w:jc w:val="both"/>
        <w:rPr>
          <w:rFonts w:hint="cs"/>
          <w:spacing w:val="-2"/>
          <w:sz w:val="23"/>
          <w:szCs w:val="23"/>
          <w:rtl/>
        </w:rPr>
      </w:pPr>
      <w:r>
        <w:rPr>
          <w:rFonts w:hint="cs"/>
          <w:spacing w:val="-2"/>
          <w:sz w:val="23"/>
          <w:szCs w:val="23"/>
          <w:rtl/>
        </w:rPr>
        <w:t>נציבות תלונות הציבור רואה עצמה מחויבת כל העת לשיפור השירות לאזרח, ובשנת 2007 היא החלה לקיים מבצע מאומץ לצמצום פערים שמקורם, בין השאר, בגידול ניכר במספר התלונות בלא שכוח האדם יגדל בהתאם לכך. מבצע זה נשא פרי, והשנה הסתיים הבירור ב-10,919 תלונות, לעומת 9,749 תלונות שהוגשו בה. זהו הספק גבוה ביותר המלמד על עבודתם המאומצת והאחראית של עובדי הנציבות ועל התייעלות תהליכי הבירור. בד בבד קוצר משך הטיפול הממוצע בתלונה, והדבר מאפשר לתת מענה טוב ומהיר יותר למתלוננים. הנציבות תמשיך בתהליכי התייעלות אלה, תוך שמירה קפדנית על כללי הצדק הטבעי ובכלל זה קבלת תגובותיהם של הגופים הנילונים על התלונות.</w:t>
      </w:r>
    </w:p>
    <w:p>
      <w:pPr>
        <w:widowControl/>
        <w:spacing w:after="120" w:line="260" w:lineRule="exact"/>
        <w:ind w:left="0" w:right="0"/>
        <w:jc w:val="both"/>
        <w:rPr>
          <w:rFonts w:hint="cs"/>
          <w:spacing w:val="-2"/>
          <w:sz w:val="23"/>
          <w:szCs w:val="23"/>
          <w:rtl/>
        </w:rPr>
      </w:pPr>
      <w:r>
        <w:rPr>
          <w:rFonts w:hint="cs"/>
          <w:spacing w:val="-2"/>
          <w:sz w:val="23"/>
          <w:szCs w:val="23"/>
          <w:rtl/>
        </w:rPr>
        <w:t>מאז פתיחת הלשכות לקבלת תלונות בנצרת ובאר שבע לפני שנתיים הוגברה נגישותו של מוסד נציב תלונות הציבור לתושבי אזורים אלה. ואכן, כ-14% מכלל התלונות שהתקבלו בנציבות בשנת 2007 הוגשו באותן לשכות, המאוישות בעובדים דוברי ערבית ורוסית. זהו הישג נאה, התואם את השאיפה להגדיל את היקף הפונים לנציבות, בעיקר בקרב אוכלוסיות חלשות. בימים אלה פועל המשרד לגיוס עובדים מן הקהילה האתיופית, באמצעות מכרז, כדי לתת שירות יעיל גם לאוכלוסייה זו. כמו כן עתידה הלשכה בבאר שבע לעבור למשרדים מרווחים יותר כדי להקל את קבלת השירות ולתת מענה ראוי לציבור.</w:t>
      </w:r>
    </w:p>
    <w:p>
      <w:pPr>
        <w:widowControl/>
        <w:spacing w:after="120" w:line="260" w:lineRule="exact"/>
        <w:ind w:left="0" w:right="0"/>
        <w:jc w:val="both"/>
        <w:rPr>
          <w:rFonts w:hint="cs"/>
          <w:sz w:val="23"/>
          <w:szCs w:val="23"/>
          <w:rtl/>
        </w:rPr>
      </w:pPr>
      <w:r>
        <w:rPr>
          <w:rFonts w:hint="cs"/>
          <w:sz w:val="23"/>
          <w:szCs w:val="23"/>
          <w:rtl/>
        </w:rPr>
        <w:t>עוד נציין כי מתוך רצון להגביר את הנגישות של מוסד הנציבות לאזרח תוקן השנה חוק מבקר המדינה, התשי"ח-1958 [נוסח משולב], ונקבע בו שכל אדם רשאי להגיש לנציבות תלונה על פגיעה במישרין לא רק בו אלא גם באדם אחר, והנציבות תברר את התלונה אם ניתנה הסכמתו של אותו אדם להגשת התלונה בעניינו.</w:t>
      </w:r>
    </w:p>
    <w:p>
      <w:pPr>
        <w:widowControl/>
        <w:spacing w:after="120" w:line="260" w:lineRule="exact"/>
        <w:ind w:left="0" w:right="0"/>
        <w:jc w:val="both"/>
        <w:rPr>
          <w:rFonts w:hint="cs"/>
          <w:spacing w:val="-2"/>
          <w:sz w:val="23"/>
          <w:szCs w:val="23"/>
          <w:rtl/>
        </w:rPr>
      </w:pPr>
      <w:r>
        <w:rPr>
          <w:sz w:val="23"/>
          <w:szCs w:val="23"/>
          <w:rtl/>
        </w:rPr>
        <w:br w:type="page"/>
      </w:r>
      <w:r>
        <w:rPr>
          <w:rFonts w:hint="cs"/>
          <w:sz w:val="23"/>
          <w:szCs w:val="23"/>
          <w:rtl/>
        </w:rPr>
        <w:t xml:space="preserve">גם השנה ייחדה הנציבות חלק ניכר מעבודתה להגנה על עובדים שחשפו מעשי שחיתות במקומות עבודתם ועקב כך התנכלו להם מעסיקיהם. במסגרת זו ניתנו צווי הגנה זמניים וצווי הגנה קבועים כדי להגן על זכויותיהם של אותם עובדים. בד בבד הוגשה, לבקשת ועדת הכנסת לענייני ביקורת המדינה, ולפי סעיף 21 לחוק מבקר המדינה, חוות דעת בנושא האמצעים הראויים והנדרשים להגנה על עובדים שחשפו מעשי שחיתות או מעשים בלתי ראויים אחרים במקום עבודתם. בחוות הדעת, שהכין האגף לתפקידים מיוחדים במשרד </w:t>
      </w:r>
      <w:r>
        <w:rPr>
          <w:rFonts w:hint="cs"/>
          <w:spacing w:val="-2"/>
          <w:sz w:val="23"/>
          <w:szCs w:val="23"/>
          <w:rtl/>
        </w:rPr>
        <w:t xml:space="preserve">מבקר המדינה בשיתוף נציבות תלונות הציבור, הוצעו תיקוני חקיקה ושינויי נהלים כדי לייעל את הטיפול בחושפי מעשי שחיתות ובהגנה עליהם מפני התנכלות. נציבות תלונות הציבור תמשיך בפעילותה הנחושה למען טוהר המידות בשירות הציבורי ולהגנה על חושפי שחיתויות, בתקווה כי נשיא המדינה, שר המשפטים ויתר הגורמים המוסמכים יפעלו גם הם לעידוד חושפי השחיתות ולהגנה עליהם, לרבות באמצעות הענקת תעודות הוקרה ופרסום דבר הענקתן, כאמור בחוק לעידוד טוהר המידות בשירות הציבור, התשנ"ב-1992. </w:t>
      </w:r>
    </w:p>
    <w:p>
      <w:pPr>
        <w:widowControl/>
        <w:spacing w:after="120" w:line="260" w:lineRule="exact"/>
        <w:ind w:left="0" w:right="0"/>
        <w:jc w:val="both"/>
        <w:rPr>
          <w:rFonts w:hint="cs"/>
          <w:sz w:val="23"/>
          <w:szCs w:val="23"/>
          <w:rtl/>
        </w:rPr>
      </w:pPr>
      <w:r>
        <w:rPr>
          <w:rFonts w:hint="cs"/>
          <w:sz w:val="23"/>
          <w:szCs w:val="23"/>
          <w:rtl/>
        </w:rPr>
        <w:t xml:space="preserve">הדוח השנתי מציג את מגוון הנושאים שנציבות תלונות הציבור עוסקת בהם, ואת המצב השורר בגופים הנילונים. מוצגים בו מקרים פרטניים, וכן סקירה על האופן שבו טופלו ליקויים שבגינם נפגע יותר ממתלונן אחד. הנציבות טיפלה בליקויים האמורים במסגרת מאמציה לשפר את סדרי המינהל לשם שמירה על זכויות הפרט וקידום רווחתו. </w:t>
      </w:r>
    </w:p>
    <w:p>
      <w:pPr>
        <w:widowControl/>
        <w:spacing w:after="120" w:line="260" w:lineRule="exact"/>
        <w:ind w:left="0" w:right="0"/>
        <w:jc w:val="both"/>
        <w:rPr>
          <w:rFonts w:hint="cs"/>
          <w:spacing w:val="-2"/>
          <w:sz w:val="23"/>
          <w:szCs w:val="23"/>
          <w:rtl/>
        </w:rPr>
      </w:pPr>
      <w:r>
        <w:rPr>
          <w:rFonts w:hint="cs"/>
          <w:spacing w:val="-2"/>
          <w:sz w:val="23"/>
          <w:szCs w:val="23"/>
          <w:rtl/>
        </w:rPr>
        <w:t>ראוי לציין בחיוב כי ככלל הרשויות מקיימות את הצבעותיו וקביעותיו של נציב תלונות הציבור בדבר תיקון ליקויים שנחשפו ופגעו במתלוננים. חשוב להטמיע בקרב הרשויות את העמדה שהובעה זה מכבר בפסיקת בית המשפט העליון ולפיה אף שהחלטתו של נציב תלונות הציבור היא בגדר המלצה בלבד ולא בגדר צו מחייב, אין להסכין עם כך שרשויות לא יתקנו כדרישתו ליקויים שהועלו בבירור תלונה.</w:t>
      </w:r>
    </w:p>
    <w:p>
      <w:pPr>
        <w:tabs>
          <w:tab w:val="center" w:pos="4746"/>
        </w:tabs>
        <w:spacing w:line="240" w:lineRule="atLeast"/>
        <w:ind w:left="0" w:right="0"/>
        <w:jc w:val="both"/>
        <w:rPr>
          <w:rFonts w:hint="cs"/>
          <w:rtl/>
        </w:rPr>
      </w:pPr>
      <w:r>
        <w:rPr>
          <w:rFonts w:hint="cs"/>
          <w:rtl/>
        </w:rPr>
        <w:tab/>
      </w:r>
      <w:r>
        <w:pict>
          <v:shape id="_x0000_i1027" type="#_x0000_t75" style="width:126.07pt;height:78.45pt;mso-wrap-edited:f" o:allowoverlap="f" wrapcoords="-125 0 -125 21400 21600 21400 21600 0 -125 0" stroked="f">
            <v:imagedata r:id="rId9" o:title="C:\WINDOWS\Desktop\צילום של מיכה לינדנשטראוס\חתימה 1\חתימה_TIFF.tif"/>
          </v:shape>
        </w:pict>
      </w:r>
    </w:p>
    <w:p>
      <w:pPr>
        <w:tabs>
          <w:tab w:val="center" w:pos="4746"/>
        </w:tabs>
        <w:spacing w:line="280" w:lineRule="exact"/>
        <w:ind w:left="0" w:right="0"/>
        <w:jc w:val="both"/>
        <w:rPr>
          <w:rFonts w:hint="cs"/>
          <w:b/>
          <w:bCs/>
          <w:rtl/>
        </w:rPr>
      </w:pPr>
      <w:r>
        <w:rPr>
          <w:rFonts w:hint="cs"/>
          <w:b/>
          <w:bCs/>
          <w:rtl/>
        </w:rPr>
        <w:tab/>
        <w:t>מיכה לינדנשטראוס, שופט (בדימ')</w:t>
      </w:r>
    </w:p>
    <w:p>
      <w:pPr>
        <w:tabs>
          <w:tab w:val="center" w:pos="4746"/>
        </w:tabs>
        <w:spacing w:line="280" w:lineRule="exact"/>
        <w:ind w:left="0" w:right="0"/>
        <w:jc w:val="both"/>
        <w:rPr>
          <w:rFonts w:hint="cs"/>
          <w:rtl/>
        </w:rPr>
      </w:pPr>
      <w:r>
        <w:rPr>
          <w:rFonts w:hint="cs"/>
          <w:rtl/>
        </w:rPr>
        <w:tab/>
        <w:t>מבקר המדינה</w:t>
      </w:r>
    </w:p>
    <w:p>
      <w:pPr>
        <w:pStyle w:val="Header"/>
        <w:tabs>
          <w:tab w:val="clear" w:pos="4153"/>
          <w:tab w:val="center" w:pos="4746"/>
          <w:tab w:val="clear" w:pos="8306"/>
        </w:tabs>
        <w:spacing w:line="280" w:lineRule="exact"/>
        <w:ind w:left="0" w:right="0"/>
        <w:jc w:val="both"/>
        <w:rPr>
          <w:rFonts w:hint="cs"/>
          <w:rtl/>
        </w:rPr>
      </w:pPr>
      <w:r>
        <w:rPr>
          <w:rFonts w:hint="cs"/>
          <w:rtl/>
        </w:rPr>
        <w:tab/>
        <w:t>ונציב תלונות הציבור</w:t>
      </w:r>
    </w:p>
    <w:p>
      <w:pPr>
        <w:tabs>
          <w:tab w:val="left" w:pos="898"/>
        </w:tabs>
        <w:spacing w:line="280" w:lineRule="exact"/>
        <w:ind w:left="0" w:right="0"/>
        <w:jc w:val="both"/>
        <w:rPr>
          <w:rFonts w:hint="cs"/>
          <w:sz w:val="22"/>
          <w:rtl/>
        </w:rPr>
      </w:pPr>
    </w:p>
    <w:p>
      <w:pPr>
        <w:tabs>
          <w:tab w:val="left" w:pos="898"/>
        </w:tabs>
        <w:spacing w:line="280" w:lineRule="exact"/>
        <w:ind w:left="0" w:right="0"/>
        <w:jc w:val="both"/>
        <w:rPr>
          <w:rFonts w:hint="cs"/>
          <w:sz w:val="22"/>
          <w:rtl/>
        </w:rPr>
      </w:pPr>
      <w:r>
        <w:rPr>
          <w:rFonts w:hint="cs"/>
          <w:sz w:val="22"/>
          <w:rtl/>
        </w:rPr>
        <w:t>ירושלים,</w:t>
        <w:tab/>
        <w:t>אדר ב' התשס"ח</w:t>
      </w:r>
    </w:p>
    <w:p>
      <w:pPr>
        <w:tabs>
          <w:tab w:val="left" w:pos="898"/>
        </w:tabs>
        <w:spacing w:line="280" w:lineRule="exact"/>
        <w:ind w:left="0" w:right="0"/>
        <w:jc w:val="both"/>
        <w:rPr>
          <w:rFonts w:hint="cs"/>
          <w:sz w:val="22"/>
          <w:rtl/>
        </w:rPr>
      </w:pPr>
      <w:r>
        <w:rPr>
          <w:rFonts w:hint="cs"/>
          <w:sz w:val="22"/>
          <w:rtl/>
        </w:rPr>
        <w:tab/>
        <w:t>מרס 2008</w:t>
      </w:r>
    </w:p>
    <w:p>
      <w:pPr>
        <w:widowControl/>
        <w:spacing w:after="120" w:line="264" w:lineRule="exact"/>
        <w:ind w:left="0" w:right="0"/>
        <w:jc w:val="both"/>
        <w:rPr>
          <w:rFonts w:ascii="FrankRuehl" w:hAnsi="FrankRuehl"/>
          <w:sz w:val="26"/>
          <w:szCs w:val="26"/>
          <w:rtl/>
        </w:rPr>
      </w:pPr>
      <w:r>
        <w:rPr>
          <w:rFonts w:ascii="FrankRuehl" w:hAnsi="FrankRuehl" w:cs="FrankRuehl"/>
          <w:rtl/>
        </w:rPr>
        <w:br w:type="page"/>
      </w:r>
    </w:p>
    <w:p>
      <w:pPr>
        <w:widowControl/>
        <w:spacing w:after="120" w:line="264" w:lineRule="exact"/>
        <w:ind w:left="0" w:right="0"/>
        <w:jc w:val="both"/>
        <w:rPr>
          <w:rFonts w:ascii="FrankRuehl" w:hAnsi="FrankRuehl"/>
          <w:sz w:val="26"/>
          <w:szCs w:val="26"/>
          <w:rtl/>
        </w:rPr>
      </w:pPr>
    </w:p>
    <w:p>
      <w:pPr>
        <w:widowControl/>
        <w:spacing w:after="120" w:line="264" w:lineRule="exact"/>
        <w:ind w:left="0" w:right="0"/>
        <w:jc w:val="both"/>
        <w:rPr>
          <w:rFonts w:ascii="FrankRuehl" w:hAnsi="FrankRuehl"/>
          <w:sz w:val="26"/>
          <w:szCs w:val="26"/>
          <w:rtl/>
        </w:rPr>
      </w:pPr>
    </w:p>
    <w:p>
      <w:pPr>
        <w:widowControl/>
        <w:spacing w:after="120" w:line="264" w:lineRule="exact"/>
        <w:ind w:left="0" w:right="0"/>
        <w:jc w:val="both"/>
        <w:rPr>
          <w:rFonts w:ascii="FrankRuehl" w:hAnsi="FrankRuehl"/>
          <w:sz w:val="26"/>
          <w:szCs w:val="26"/>
          <w:rtl/>
        </w:rPr>
      </w:pPr>
    </w:p>
    <w:p>
      <w:pPr>
        <w:widowControl/>
        <w:spacing w:after="120" w:line="264" w:lineRule="exact"/>
        <w:ind w:left="0" w:right="0"/>
        <w:jc w:val="both"/>
        <w:rPr>
          <w:rFonts w:ascii="FrankRuehl" w:hAnsi="FrankRuehl"/>
          <w:sz w:val="26"/>
          <w:szCs w:val="26"/>
          <w:rtl/>
        </w:rPr>
      </w:pPr>
    </w:p>
    <w:p>
      <w:pPr>
        <w:widowControl/>
        <w:tabs>
          <w:tab w:val="left" w:pos="340"/>
        </w:tabs>
        <w:spacing w:after="120" w:line="264" w:lineRule="exact"/>
        <w:ind w:left="0" w:right="0"/>
        <w:jc w:val="both"/>
        <w:rPr>
          <w:rFonts w:ascii="FrankRuehl" w:hAnsi="FrankRuehl" w:hint="cs"/>
          <w:sz w:val="26"/>
          <w:szCs w:val="26"/>
          <w:rtl/>
        </w:rPr>
      </w:pPr>
    </w:p>
    <w:p>
      <w:pPr>
        <w:widowControl/>
        <w:tabs>
          <w:tab w:val="left" w:pos="340"/>
        </w:tabs>
        <w:spacing w:after="120" w:line="264" w:lineRule="exact"/>
        <w:ind w:left="0" w:right="0"/>
        <w:jc w:val="both"/>
        <w:rPr>
          <w:rFonts w:ascii="FrankRuehl" w:hAnsi="FrankRuehl" w:hint="cs"/>
          <w:sz w:val="26"/>
          <w:szCs w:val="26"/>
          <w:rtl/>
        </w:rPr>
      </w:pPr>
    </w:p>
    <w:p>
      <w:pPr>
        <w:widowControl/>
        <w:tabs>
          <w:tab w:val="left" w:pos="340"/>
        </w:tabs>
        <w:spacing w:after="120" w:line="264" w:lineRule="exact"/>
        <w:ind w:left="0" w:right="0"/>
        <w:jc w:val="both"/>
        <w:rPr>
          <w:rFonts w:ascii="FrankRuehl" w:hAnsi="FrankRuehl" w:hint="cs"/>
          <w:sz w:val="26"/>
          <w:szCs w:val="26"/>
          <w:rtl/>
        </w:rPr>
      </w:pPr>
    </w:p>
    <w:p>
      <w:pPr>
        <w:widowControl/>
        <w:spacing w:after="120" w:line="264" w:lineRule="exact"/>
        <w:ind w:left="397" w:right="397"/>
        <w:jc w:val="both"/>
        <w:rPr>
          <w:rFonts w:ascii="FrankRuehl" w:hAnsi="FrankRuehl"/>
          <w:sz w:val="26"/>
          <w:szCs w:val="26"/>
          <w:rtl/>
        </w:rPr>
      </w:pPr>
      <w:r>
        <w:rPr>
          <w:rFonts w:ascii="FrankRuehl" w:hAnsi="FrankRuehl"/>
          <w:sz w:val="26"/>
          <w:szCs w:val="26"/>
          <w:rtl/>
        </w:rPr>
        <w:t>על פי סעיף 46</w:t>
      </w:r>
      <w:r>
        <w:rPr>
          <w:rFonts w:ascii="FrankRuehl" w:hAnsi="FrankRuehl" w:hint="cs"/>
          <w:sz w:val="26"/>
          <w:szCs w:val="26"/>
          <w:rtl/>
        </w:rPr>
        <w:t>(א)</w:t>
      </w:r>
      <w:r>
        <w:rPr>
          <w:rFonts w:ascii="FrankRuehl" w:hAnsi="FrankRuehl"/>
          <w:sz w:val="26"/>
          <w:szCs w:val="26"/>
          <w:rtl/>
        </w:rPr>
        <w:t xml:space="preserve"> לחוק מבקר המדינה, התשי"ח</w:t>
      </w:r>
      <w:r>
        <w:rPr>
          <w:rFonts w:ascii="FrankRuehl" w:hAnsi="FrankRuehl" w:hint="cs"/>
          <w:sz w:val="26"/>
          <w:szCs w:val="26"/>
          <w:rtl/>
        </w:rPr>
        <w:t>-</w:t>
      </w:r>
      <w:r>
        <w:rPr>
          <w:rFonts w:ascii="FrankRuehl" w:hAnsi="FrankRuehl"/>
          <w:sz w:val="26"/>
          <w:szCs w:val="26"/>
          <w:rtl/>
        </w:rPr>
        <w:t>1958 [נוסח משולב],</w:t>
      </w:r>
      <w:r>
        <w:rPr>
          <w:rFonts w:ascii="FrankRuehl" w:hAnsi="FrankRuehl" w:hint="cs"/>
          <w:sz w:val="26"/>
          <w:szCs w:val="26"/>
          <w:rtl/>
        </w:rPr>
        <w:t xml:space="preserve"> </w:t>
      </w:r>
      <w:r>
        <w:rPr>
          <w:rFonts w:ascii="FrankRuehl" w:hAnsi="FrankRuehl"/>
          <w:sz w:val="26"/>
          <w:szCs w:val="26"/>
          <w:rtl/>
        </w:rPr>
        <w:t>מוגש בזה לכנסת הדין וחשבון השנתי של נציב תלונות הציבור.</w:t>
      </w:r>
    </w:p>
    <w:p>
      <w:pPr>
        <w:widowControl/>
        <w:spacing w:after="120" w:line="264" w:lineRule="exact"/>
        <w:ind w:left="397" w:right="397"/>
        <w:jc w:val="both"/>
        <w:rPr>
          <w:rFonts w:ascii="FrankRuehl" w:hAnsi="FrankRuehl" w:hint="cs"/>
          <w:sz w:val="26"/>
          <w:szCs w:val="26"/>
          <w:rtl/>
        </w:rPr>
      </w:pPr>
      <w:r>
        <w:rPr>
          <w:rFonts w:ascii="FrankRuehl" w:hAnsi="FrankRuehl"/>
          <w:sz w:val="26"/>
          <w:szCs w:val="26"/>
          <w:rtl/>
        </w:rPr>
        <w:t xml:space="preserve">דין וחשבון זה מסכם את </w:t>
      </w:r>
      <w:r>
        <w:rPr>
          <w:rFonts w:ascii="FrankRuehl" w:hAnsi="FrankRuehl" w:hint="cs"/>
          <w:sz w:val="26"/>
          <w:szCs w:val="26"/>
          <w:rtl/>
        </w:rPr>
        <w:t>ה</w:t>
      </w:r>
      <w:r>
        <w:rPr>
          <w:rFonts w:ascii="FrankRuehl" w:hAnsi="FrankRuehl"/>
          <w:sz w:val="26"/>
          <w:szCs w:val="26"/>
          <w:rtl/>
        </w:rPr>
        <w:t>פעול</w:t>
      </w:r>
      <w:r>
        <w:rPr>
          <w:rFonts w:ascii="FrankRuehl" w:hAnsi="FrankRuehl" w:hint="cs"/>
          <w:sz w:val="26"/>
          <w:szCs w:val="26"/>
          <w:rtl/>
        </w:rPr>
        <w:t>ו</w:t>
      </w:r>
      <w:r>
        <w:rPr>
          <w:rFonts w:ascii="FrankRuehl" w:hAnsi="FrankRuehl"/>
          <w:sz w:val="26"/>
          <w:szCs w:val="26"/>
          <w:rtl/>
        </w:rPr>
        <w:t xml:space="preserve">ת </w:t>
      </w:r>
      <w:r>
        <w:rPr>
          <w:rFonts w:ascii="FrankRuehl" w:hAnsi="FrankRuehl" w:hint="cs"/>
          <w:sz w:val="26"/>
          <w:szCs w:val="26"/>
          <w:rtl/>
        </w:rPr>
        <w:t xml:space="preserve">של </w:t>
      </w:r>
      <w:r>
        <w:rPr>
          <w:rFonts w:ascii="FrankRuehl" w:hAnsi="FrankRuehl"/>
          <w:sz w:val="26"/>
          <w:szCs w:val="26"/>
          <w:rtl/>
        </w:rPr>
        <w:t>הנציב ו</w:t>
      </w:r>
      <w:r>
        <w:rPr>
          <w:rFonts w:ascii="FrankRuehl" w:hAnsi="FrankRuehl" w:hint="cs"/>
          <w:sz w:val="26"/>
          <w:szCs w:val="26"/>
          <w:rtl/>
        </w:rPr>
        <w:t xml:space="preserve">של </w:t>
      </w:r>
      <w:r>
        <w:rPr>
          <w:rFonts w:ascii="FrankRuehl" w:hAnsi="FrankRuehl"/>
          <w:sz w:val="26"/>
          <w:szCs w:val="26"/>
          <w:rtl/>
        </w:rPr>
        <w:t xml:space="preserve">נציבות תלונות הציבור </w:t>
      </w:r>
      <w:r>
        <w:rPr>
          <w:rFonts w:ascii="FrankRuehl" w:hAnsi="FrankRuehl" w:hint="cs"/>
          <w:sz w:val="26"/>
          <w:szCs w:val="26"/>
          <w:rtl/>
        </w:rPr>
        <w:t xml:space="preserve">בשנת 2007 וכולל סקירה על סמכויותיו של הנציב, נתונים על התלונות שהתקבלו בנציבות ותיאור הטיפול במבחר תלונות. </w:t>
      </w:r>
    </w:p>
    <w:p>
      <w:pPr>
        <w:widowControl/>
        <w:tabs>
          <w:tab w:val="left" w:pos="340"/>
        </w:tabs>
        <w:spacing w:after="120" w:line="264" w:lineRule="exact"/>
        <w:ind w:left="0" w:right="0"/>
        <w:jc w:val="both"/>
        <w:rPr>
          <w:rFonts w:ascii="FrankRuehl" w:hAnsi="FrankRuehl" w:hint="cs"/>
          <w:sz w:val="26"/>
          <w:szCs w:val="26"/>
          <w:rtl/>
        </w:rPr>
      </w:pPr>
    </w:p>
    <w:p>
      <w:pPr>
        <w:widowControl/>
        <w:tabs>
          <w:tab w:val="right" w:leader="dot" w:pos="6237"/>
          <w:tab w:val="left" w:pos="6350"/>
        </w:tabs>
        <w:spacing w:after="120"/>
        <w:ind w:left="0" w:right="0"/>
        <w:jc w:val="both"/>
        <w:rPr>
          <w:rFonts w:hint="cs"/>
        </w:rPr>
      </w:pPr>
      <w:r>
        <w:rPr>
          <w:rFonts w:ascii="FrankRuehl" w:hAnsi="FrankRuehl" w:cs="FrankRuehl"/>
          <w:rtl/>
        </w:rPr>
        <w:br w:type="page"/>
      </w:r>
    </w:p>
    <w:p>
      <w:pPr>
        <w:widowControl/>
        <w:ind w:left="0" w:right="0"/>
        <w:jc w:val="center"/>
        <w:rPr>
          <w:b/>
          <w:bCs/>
          <w:sz w:val="36"/>
          <w:szCs w:val="36"/>
          <w:rtl/>
        </w:rPr>
      </w:pPr>
      <w:r>
        <w:rPr>
          <w:rtl/>
        </w:rPr>
        <w:br w:type="page"/>
      </w:r>
      <w:r>
        <w:rPr>
          <w:b/>
          <w:bCs/>
          <w:sz w:val="36"/>
          <w:szCs w:val="36"/>
          <w:rtl/>
        </w:rPr>
        <w:t>תוכן העניינים</w:t>
      </w:r>
    </w:p>
    <w:p>
      <w:pPr>
        <w:pStyle w:val="Heading3"/>
        <w:widowControl/>
        <w:tabs>
          <w:tab w:val="right" w:leader="dot" w:pos="6237"/>
          <w:tab w:val="right" w:leader="dot" w:pos="6350"/>
        </w:tabs>
        <w:spacing w:after="120" w:line="260" w:lineRule="exact"/>
        <w:ind w:left="570" w:right="0" w:hanging="576"/>
        <w:jc w:val="center"/>
        <w:rPr>
          <w:rFonts w:hint="cs"/>
          <w:sz w:val="32"/>
          <w:szCs w:val="32"/>
          <w:u w:val="none"/>
          <w:rtl/>
        </w:rPr>
      </w:pPr>
    </w:p>
    <w:p>
      <w:pPr>
        <w:pStyle w:val="Heading3"/>
        <w:widowControl/>
        <w:tabs>
          <w:tab w:val="right" w:leader="dot" w:pos="6237"/>
          <w:tab w:val="right" w:leader="dot" w:pos="6350"/>
        </w:tabs>
        <w:spacing w:after="120" w:line="260" w:lineRule="exact"/>
        <w:ind w:left="570" w:right="0" w:hanging="576"/>
        <w:jc w:val="center"/>
        <w:rPr>
          <w:sz w:val="32"/>
          <w:szCs w:val="32"/>
          <w:u w:val="none"/>
          <w:rtl/>
        </w:rPr>
      </w:pPr>
      <w:r>
        <w:rPr>
          <w:sz w:val="32"/>
          <w:szCs w:val="32"/>
          <w:u w:val="none"/>
          <w:rtl/>
        </w:rPr>
        <w:t>סקירה כללית</w:t>
      </w:r>
    </w:p>
    <w:p>
      <w:pPr>
        <w:pStyle w:val="Heading3"/>
        <w:widowControl/>
        <w:tabs>
          <w:tab w:val="right" w:leader="dot" w:pos="6237"/>
          <w:tab w:val="left" w:pos="6350"/>
        </w:tabs>
        <w:spacing w:after="120" w:line="260" w:lineRule="exact"/>
        <w:ind w:left="0" w:right="0"/>
        <w:jc w:val="left"/>
        <w:rPr>
          <w:sz w:val="28"/>
          <w:szCs w:val="28"/>
          <w:u w:val="none"/>
        </w:rPr>
      </w:pPr>
      <w:r>
        <w:rPr>
          <w:rFonts w:hint="cs"/>
          <w:sz w:val="28"/>
          <w:szCs w:val="28"/>
          <w:u w:val="none"/>
          <w:rtl/>
        </w:rPr>
        <w:t>סמכויותיו ותחומי פעולתו של נציב תלונות הציבור</w:t>
      </w:r>
      <w:r>
        <w:rPr>
          <w:rFonts w:hint="cs"/>
          <w:b w:val="0"/>
          <w:bCs w:val="0"/>
          <w:sz w:val="24"/>
          <w:u w:val="none"/>
          <w:rtl/>
        </w:rPr>
        <w:tab/>
        <w:tab/>
        <w:t>17</w:t>
      </w:r>
    </w:p>
    <w:p>
      <w:pPr>
        <w:pStyle w:val="Heading3"/>
        <w:widowControl/>
        <w:tabs>
          <w:tab w:val="right" w:leader="dot" w:pos="6237"/>
          <w:tab w:val="left" w:pos="6350"/>
        </w:tabs>
        <w:spacing w:after="120" w:line="260" w:lineRule="exact"/>
        <w:ind w:left="0" w:right="0"/>
        <w:jc w:val="left"/>
        <w:rPr>
          <w:sz w:val="28"/>
          <w:szCs w:val="28"/>
          <w:u w:val="none"/>
        </w:rPr>
      </w:pPr>
      <w:r>
        <w:rPr>
          <w:rFonts w:hint="cs"/>
          <w:sz w:val="28"/>
          <w:szCs w:val="28"/>
          <w:u w:val="none"/>
          <w:rtl/>
        </w:rPr>
        <w:t>על נציבות תלונות הציבור</w:t>
      </w:r>
      <w:r>
        <w:rPr>
          <w:rFonts w:hint="cs"/>
          <w:b w:val="0"/>
          <w:bCs w:val="0"/>
          <w:sz w:val="24"/>
          <w:u w:val="none"/>
          <w:rtl/>
        </w:rPr>
        <w:tab/>
        <w:tab/>
        <w:t>19</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דרך הגשת התלונות</w:t>
      </w:r>
      <w:r>
        <w:rPr>
          <w:rFonts w:hint="cs"/>
          <w:b w:val="0"/>
          <w:bCs w:val="0"/>
          <w:sz w:val="24"/>
          <w:u w:val="none"/>
          <w:rtl/>
        </w:rPr>
        <w:tab/>
        <w:tab/>
        <w:t>20</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הלשכות לקבלת קהל בפריפריה</w:t>
      </w:r>
      <w:r>
        <w:rPr>
          <w:rFonts w:hint="cs"/>
          <w:b w:val="0"/>
          <w:bCs w:val="0"/>
          <w:sz w:val="24"/>
          <w:u w:val="none"/>
          <w:rtl/>
        </w:rPr>
        <w:tab/>
        <w:tab/>
        <w:t>21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לשכת נצרת</w:t>
        <w:tab/>
        <w:tab/>
        <w:t>21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לשכת באר שבע</w:t>
        <w:tab/>
        <w:tab/>
        <w:t>22</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 xml:space="preserve">תלונות של עובדים על פגיעה בהם </w:t>
      </w:r>
      <w:r>
        <w:rPr>
          <w:sz w:val="28"/>
          <w:szCs w:val="28"/>
          <w:u w:val="none"/>
          <w:rtl/>
        </w:rPr>
        <w:br/>
      </w:r>
      <w:r>
        <w:rPr>
          <w:rFonts w:hint="cs"/>
          <w:sz w:val="28"/>
          <w:szCs w:val="28"/>
          <w:u w:val="none"/>
          <w:rtl/>
        </w:rPr>
        <w:t>בעקבות חשיפת מעשי שחיתות</w:t>
      </w:r>
      <w:r>
        <w:rPr>
          <w:rFonts w:hint="cs"/>
          <w:b w:val="0"/>
          <w:bCs w:val="0"/>
          <w:sz w:val="24"/>
          <w:u w:val="none"/>
          <w:rtl/>
        </w:rPr>
        <w:tab/>
        <w:tab/>
        <w:t>23</w:t>
      </w:r>
    </w:p>
    <w:p>
      <w:pPr>
        <w:pStyle w:val="Heading3"/>
        <w:widowControl/>
        <w:tabs>
          <w:tab w:val="right" w:leader="dot" w:pos="6237"/>
          <w:tab w:val="left" w:pos="6350"/>
        </w:tabs>
        <w:spacing w:after="120" w:line="260" w:lineRule="exact"/>
        <w:ind w:left="0" w:right="0"/>
        <w:jc w:val="left"/>
        <w:rPr>
          <w:rFonts w:hint="cs"/>
          <w:b w:val="0"/>
          <w:bCs w:val="0"/>
          <w:sz w:val="24"/>
          <w:u w:val="none"/>
          <w:rtl/>
        </w:rPr>
      </w:pPr>
      <w:r>
        <w:rPr>
          <w:rFonts w:hint="cs"/>
          <w:u w:val="none"/>
          <w:rtl/>
        </w:rPr>
        <w:t>סמכותו של נציב תלונות הציבור לתת צו הגנה</w:t>
      </w:r>
      <w:r>
        <w:rPr>
          <w:rFonts w:hint="cs"/>
          <w:b w:val="0"/>
          <w:bCs w:val="0"/>
          <w:sz w:val="24"/>
          <w:u w:val="none"/>
          <w:rtl/>
        </w:rPr>
        <w:tab/>
        <w:tab/>
        <w:tab/>
        <w:t>23</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התוצאות של מתן צו הגנה</w:t>
      </w:r>
      <w:r>
        <w:rPr>
          <w:rFonts w:hint="cs"/>
          <w:b w:val="0"/>
          <w:bCs w:val="0"/>
          <w:sz w:val="24"/>
          <w:u w:val="none"/>
          <w:rtl/>
        </w:rPr>
        <w:tab/>
        <w:tab/>
        <w:t>25</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הסיבות לאי-מתן צו הגנה</w:t>
      </w:r>
      <w:r>
        <w:rPr>
          <w:rFonts w:hint="cs"/>
          <w:b w:val="0"/>
          <w:bCs w:val="0"/>
          <w:sz w:val="24"/>
          <w:u w:val="none"/>
          <w:rtl/>
        </w:rPr>
        <w:tab/>
        <w:tab/>
        <w:t>25</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הרחבת היקף ההגנה על חושפי שחיתויות</w:t>
      </w:r>
      <w:r>
        <w:rPr>
          <w:rFonts w:hint="cs"/>
          <w:b w:val="0"/>
          <w:bCs w:val="0"/>
          <w:sz w:val="24"/>
          <w:u w:val="none"/>
          <w:rtl/>
        </w:rPr>
        <w:tab/>
        <w:tab/>
        <w:t>26</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 xml:space="preserve">דיווח לפי החוק לעידוד טוהר המידות בשירות הציבור, </w:t>
      </w:r>
      <w:r>
        <w:rPr>
          <w:rtl/>
          <w:lang w:eastAsia="en-US"/>
        </w:rPr>
        <w:br/>
      </w:r>
      <w:r>
        <w:rPr>
          <w:rFonts w:hint="cs"/>
          <w:rtl/>
          <w:lang w:eastAsia="en-US"/>
        </w:rPr>
        <w:t>התשנ"ב-1992</w:t>
        <w:tab/>
        <w:tab/>
        <w:t>26</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נתונים על התלונות שבוררו</w:t>
      </w:r>
      <w:r>
        <w:rPr>
          <w:rFonts w:hint="cs"/>
          <w:b w:val="0"/>
          <w:bCs w:val="0"/>
          <w:sz w:val="24"/>
          <w:u w:val="none"/>
          <w:rtl/>
        </w:rPr>
        <w:tab/>
        <w:tab/>
        <w:t>27</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תיאור הטיפול במבחר תלונות</w:t>
      </w:r>
      <w:r>
        <w:rPr>
          <w:rFonts w:hint="cs"/>
          <w:b w:val="0"/>
          <w:bCs w:val="0"/>
          <w:sz w:val="24"/>
          <w:u w:val="none"/>
          <w:rtl/>
        </w:rPr>
        <w:tab/>
        <w:tab/>
        <w:t>28</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חברת החשמל לישראל בע"מ</w:t>
        <w:tab/>
        <w:tab/>
        <w:t>28</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משרד האוצר</w:t>
        <w:tab/>
        <w:tab/>
        <w:t>32</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הסתדרות העובדים הלאומית</w:t>
        <w:tab/>
        <w:tab/>
        <w:t>33</w:t>
      </w:r>
    </w:p>
    <w:p>
      <w:pPr>
        <w:pStyle w:val="Heading3"/>
        <w:widowControl/>
        <w:tabs>
          <w:tab w:val="right" w:leader="dot" w:pos="6237"/>
          <w:tab w:val="left" w:pos="6350"/>
        </w:tabs>
        <w:spacing w:after="120" w:line="260" w:lineRule="exact"/>
        <w:ind w:left="0" w:right="0"/>
        <w:jc w:val="left"/>
        <w:rPr>
          <w:rFonts w:hint="cs"/>
          <w:sz w:val="28"/>
          <w:szCs w:val="28"/>
          <w:u w:val="none"/>
        </w:rPr>
      </w:pPr>
      <w:r>
        <w:rPr>
          <w:sz w:val="28"/>
          <w:szCs w:val="28"/>
          <w:u w:val="none"/>
          <w:rtl/>
        </w:rPr>
        <w:t xml:space="preserve">נתונים </w:t>
      </w:r>
      <w:r>
        <w:rPr>
          <w:rFonts w:hint="cs"/>
          <w:sz w:val="28"/>
          <w:szCs w:val="28"/>
          <w:u w:val="none"/>
          <w:rtl/>
        </w:rPr>
        <w:t>על מספר התלונות ותוצאות בירורן</w:t>
      </w:r>
      <w:r>
        <w:rPr>
          <w:rFonts w:hint="cs"/>
          <w:b w:val="0"/>
          <w:bCs w:val="0"/>
          <w:sz w:val="24"/>
          <w:u w:val="none"/>
          <w:rtl/>
        </w:rPr>
        <w:tab/>
        <w:tab/>
        <w:t>35</w:t>
      </w:r>
    </w:p>
    <w:p>
      <w:pPr>
        <w:pStyle w:val="Heading3"/>
        <w:widowControl/>
        <w:tabs>
          <w:tab w:val="right" w:leader="dot" w:pos="6237"/>
          <w:tab w:val="left" w:pos="6350"/>
        </w:tabs>
        <w:spacing w:after="120" w:line="260" w:lineRule="exact"/>
        <w:ind w:left="0" w:right="0"/>
        <w:jc w:val="left"/>
        <w:rPr>
          <w:rFonts w:hint="cs"/>
          <w:u w:val="none"/>
          <w:rtl/>
        </w:rPr>
      </w:pPr>
      <w:r>
        <w:rPr>
          <w:u w:val="none"/>
          <w:rtl/>
        </w:rPr>
        <w:t xml:space="preserve">מספר התלונות </w:t>
      </w:r>
      <w:r>
        <w:rPr>
          <w:rFonts w:hint="cs"/>
          <w:u w:val="none"/>
          <w:rtl/>
        </w:rPr>
        <w:t>שהתקבלו</w:t>
      </w:r>
      <w:r>
        <w:rPr>
          <w:rFonts w:hint="cs"/>
          <w:b w:val="0"/>
          <w:bCs w:val="0"/>
          <w:sz w:val="24"/>
          <w:u w:val="none"/>
          <w:rtl/>
        </w:rPr>
        <w:tab/>
        <w:tab/>
        <w:t>35</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תוצאות בירור התלונות</w:t>
      </w:r>
      <w:r>
        <w:rPr>
          <w:rFonts w:hint="cs"/>
          <w:b w:val="0"/>
          <w:bCs w:val="0"/>
          <w:sz w:val="24"/>
          <w:u w:val="none"/>
          <w:rtl/>
        </w:rPr>
        <w:tab/>
        <w:tab/>
        <w:t>37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ab/>
        <w:t>תלונות מוצדקות</w:t>
        <w:tab/>
        <w:tab/>
        <w:t>42</w:t>
      </w:r>
    </w:p>
    <w:p>
      <w:pPr>
        <w:pStyle w:val="Heading3"/>
        <w:widowControl/>
        <w:tabs>
          <w:tab w:val="right" w:leader="dot" w:pos="6237"/>
          <w:tab w:val="left" w:pos="6350"/>
        </w:tabs>
        <w:spacing w:after="120" w:line="260" w:lineRule="exact"/>
        <w:ind w:left="0" w:right="0"/>
        <w:jc w:val="left"/>
        <w:rPr>
          <w:rFonts w:hint="cs"/>
          <w:sz w:val="28"/>
          <w:szCs w:val="28"/>
          <w:u w:val="none"/>
          <w:rtl/>
        </w:rPr>
      </w:pPr>
      <w:r>
        <w:rPr>
          <w:sz w:val="28"/>
          <w:szCs w:val="28"/>
          <w:u w:val="none"/>
          <w:rtl/>
        </w:rPr>
        <w:br w:type="page"/>
      </w:r>
      <w:r>
        <w:rPr>
          <w:rFonts w:hint="cs"/>
          <w:sz w:val="28"/>
          <w:szCs w:val="28"/>
          <w:u w:val="none"/>
          <w:rtl/>
        </w:rPr>
        <w:t xml:space="preserve">נתונים על הגופים שהנציבות טיפלה </w:t>
      </w:r>
      <w:r>
        <w:rPr>
          <w:sz w:val="28"/>
          <w:szCs w:val="28"/>
          <w:u w:val="none"/>
          <w:rtl/>
        </w:rPr>
        <w:br/>
      </w:r>
      <w:r>
        <w:rPr>
          <w:rFonts w:hint="cs"/>
          <w:sz w:val="28"/>
          <w:szCs w:val="28"/>
          <w:u w:val="none"/>
          <w:rtl/>
        </w:rPr>
        <w:t>ביותר מ-100 תלונות עליהם</w:t>
      </w:r>
      <w:r>
        <w:rPr>
          <w:rFonts w:hint="cs"/>
          <w:b w:val="0"/>
          <w:bCs w:val="0"/>
          <w:sz w:val="24"/>
          <w:u w:val="none"/>
          <w:rtl/>
        </w:rPr>
        <w:tab/>
        <w:tab/>
        <w:t>45</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משרדי ממשלה ומוסדות מדינה</w:t>
      </w:r>
      <w:r>
        <w:rPr>
          <w:rFonts w:hint="cs"/>
          <w:b w:val="0"/>
          <w:bCs w:val="0"/>
          <w:sz w:val="24"/>
          <w:u w:val="none"/>
          <w:rtl/>
        </w:rPr>
        <w:tab/>
        <w:tab/>
        <w:t>48</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רשויות מקומיות</w:t>
      </w:r>
      <w:r>
        <w:rPr>
          <w:rFonts w:hint="cs"/>
          <w:b w:val="0"/>
          <w:bCs w:val="0"/>
          <w:sz w:val="24"/>
          <w:u w:val="none"/>
          <w:rtl/>
        </w:rPr>
        <w:tab/>
        <w:tab/>
        <w:t>78</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גופים ציבוריים אחרים</w:t>
      </w:r>
      <w:r>
        <w:rPr>
          <w:rFonts w:hint="cs"/>
          <w:b w:val="0"/>
          <w:bCs w:val="0"/>
          <w:sz w:val="24"/>
          <w:u w:val="none"/>
          <w:rtl/>
        </w:rPr>
        <w:tab/>
        <w:tab/>
        <w:t>90</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תיקון ליקויים כלליים בעקבות בירור תלונות</w:t>
      </w:r>
      <w:r>
        <w:rPr>
          <w:rFonts w:hint="cs"/>
          <w:b w:val="0"/>
          <w:bCs w:val="0"/>
          <w:sz w:val="24"/>
          <w:u w:val="none"/>
          <w:rtl/>
        </w:rPr>
        <w:tab/>
        <w:tab/>
        <w:t>101</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תלונות של חברי כנסת</w:t>
      </w:r>
      <w:r>
        <w:rPr>
          <w:rFonts w:hint="cs"/>
          <w:b w:val="0"/>
          <w:bCs w:val="0"/>
          <w:sz w:val="24"/>
          <w:u w:val="none"/>
          <w:rtl/>
        </w:rPr>
        <w:tab/>
        <w:tab/>
        <w:t>109</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תלונות בעניין הפליית נשים</w:t>
      </w:r>
      <w:r>
        <w:rPr>
          <w:rFonts w:hint="cs"/>
          <w:b w:val="0"/>
          <w:bCs w:val="0"/>
          <w:sz w:val="24"/>
          <w:u w:val="none"/>
          <w:rtl/>
        </w:rPr>
        <w:tab/>
        <w:tab/>
        <w:t>110</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קשרים בין-לאומיים</w:t>
      </w:r>
      <w:r>
        <w:rPr>
          <w:rFonts w:hint="cs"/>
          <w:b w:val="0"/>
          <w:bCs w:val="0"/>
          <w:sz w:val="24"/>
          <w:u w:val="none"/>
          <w:rtl/>
        </w:rPr>
        <w:tab/>
        <w:tab/>
        <w:t>111</w:t>
      </w:r>
    </w:p>
    <w:p>
      <w:pPr>
        <w:widowControl/>
        <w:tabs>
          <w:tab w:val="left" w:pos="340"/>
          <w:tab w:val="right" w:leader="dot" w:pos="6237"/>
          <w:tab w:val="right" w:leader="dot" w:pos="6350"/>
        </w:tabs>
        <w:spacing w:after="120" w:line="260" w:lineRule="exact"/>
        <w:ind w:left="570" w:right="0" w:hanging="576"/>
        <w:jc w:val="both"/>
        <w:rPr>
          <w:rFonts w:ascii="FrankRuehl" w:hAnsi="FrankRuehl" w:hint="cs"/>
          <w:rtl/>
        </w:rPr>
      </w:pPr>
    </w:p>
    <w:p>
      <w:pPr>
        <w:pStyle w:val="Heading3"/>
        <w:widowControl/>
        <w:tabs>
          <w:tab w:val="right" w:leader="dot" w:pos="6237"/>
          <w:tab w:val="right" w:leader="dot" w:pos="6350"/>
        </w:tabs>
        <w:spacing w:after="120" w:line="260" w:lineRule="exact"/>
        <w:ind w:left="570" w:right="0" w:hanging="576"/>
        <w:jc w:val="center"/>
        <w:rPr>
          <w:rFonts w:hint="cs"/>
          <w:sz w:val="32"/>
          <w:szCs w:val="32"/>
          <w:u w:val="none"/>
          <w:rtl/>
        </w:rPr>
      </w:pPr>
      <w:r>
        <w:rPr>
          <w:sz w:val="32"/>
          <w:szCs w:val="32"/>
          <w:u w:val="none"/>
          <w:rtl/>
        </w:rPr>
        <w:t>תיאור הטיפול במבחר תלונות</w:t>
      </w:r>
    </w:p>
    <w:p>
      <w:pPr>
        <w:pStyle w:val="Heading3"/>
        <w:widowControl/>
        <w:tabs>
          <w:tab w:val="right" w:leader="dot" w:pos="6237"/>
          <w:tab w:val="left" w:pos="6350"/>
        </w:tabs>
        <w:spacing w:after="120" w:line="260" w:lineRule="exact"/>
        <w:ind w:left="0" w:right="0"/>
        <w:jc w:val="center"/>
        <w:rPr>
          <w:rFonts w:hint="cs"/>
          <w:sz w:val="28"/>
          <w:szCs w:val="28"/>
          <w:u w:val="none"/>
          <w:rtl/>
        </w:rPr>
      </w:pPr>
      <w:r>
        <w:rPr>
          <w:rFonts w:hint="cs"/>
          <w:sz w:val="28"/>
          <w:szCs w:val="28"/>
          <w:u w:val="none"/>
          <w:rtl/>
        </w:rPr>
        <w:t>משרדי ממשלה ומוסדות מדינה</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האוצר </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רשות המסים בישראל - מס הכנסה ומיסוי מקרקעין</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1. </w:t>
        <w:tab/>
        <w:t>עיקול רכב בשל חוב שגוי ללא מתן הודעה על החוב</w:t>
        <w:tab/>
        <w:tab/>
        <w:t>117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 </w:t>
        <w:tab/>
        <w:t>חוסר מידתיות בהטלת עיקולים</w:t>
        <w:tab/>
        <w:tab/>
        <w:t>121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 </w:t>
        <w:tab/>
        <w:t>דרישה לפיצוי בגין הטלת עיקול שגויה</w:t>
        <w:tab/>
        <w:tab/>
        <w:t>123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 </w:t>
        <w:tab/>
        <w:t>אי-מתן נקודות זיכוי להורה שבנו לומד בחינוך המיוחד</w:t>
        <w:tab/>
        <w:tab/>
        <w:t>125</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משרד הבינוי והשיכון</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 </w:t>
        <w:tab/>
        <w:t>סירוב להחזיר לזכאים סיוע בשכר דירה שנשלל שלא כדין</w:t>
        <w:tab/>
        <w:tab/>
        <w:t>129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6. </w:t>
        <w:tab/>
        <w:t>סדרי תשלום לקויים של סיוע בשכר דירה</w:t>
        <w:tab/>
        <w:tab/>
        <w:t>133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7. </w:t>
        <w:tab/>
        <w:t>קושי באיתור רשות ציבורית</w:t>
        <w:tab/>
        <w:tab/>
        <w:t>135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8. </w:t>
        <w:tab/>
        <w:t>טיפול לקוי בבקשה לקבלת מידע</w:t>
        <w:tab/>
        <w:tab/>
        <w:t>137</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משרד החינוך</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9. </w:t>
        <w:tab/>
        <w:t>ליקויים במתן אישור על פטור מחוק לימוד חובה</w:t>
        <w:tab/>
        <w:tab/>
        <w:t>139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10. </w:t>
        <w:tab/>
        <w:t>אי-מתן מענה לפנייה בשפה הרוסית</w:t>
        <w:tab/>
        <w:tab/>
        <w:t>143</w:t>
      </w:r>
    </w:p>
    <w:p>
      <w:pPr>
        <w:widowControl/>
        <w:tabs>
          <w:tab w:val="right" w:leader="dot" w:pos="6237"/>
          <w:tab w:val="left" w:pos="6350"/>
        </w:tabs>
        <w:spacing w:after="120" w:line="260" w:lineRule="exact"/>
        <w:ind w:left="397" w:right="0" w:hanging="397"/>
        <w:jc w:val="left"/>
        <w:rPr>
          <w:rFonts w:hint="cs"/>
          <w:rtl/>
          <w:lang w:eastAsia="en-US"/>
        </w:rPr>
      </w:pPr>
      <w:r>
        <w:rPr>
          <w:rtl/>
          <w:lang w:eastAsia="en-US"/>
        </w:rPr>
        <w:br w:type="page"/>
      </w:r>
      <w:r>
        <w:rPr>
          <w:rFonts w:hint="cs"/>
          <w:rtl/>
          <w:lang w:eastAsia="en-US"/>
        </w:rPr>
        <w:t xml:space="preserve">11. </w:t>
        <w:tab/>
        <w:t>אי-תשלום פיצוי על איחור בתשלום מענקי פרישה</w:t>
        <w:tab/>
        <w:tab/>
        <w:t>145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12. </w:t>
        <w:tab/>
        <w:t>מחדלים שבגינם לא שולמו הקצבות מקרן עיזבונות</w:t>
        <w:tab/>
        <w:tab/>
        <w:t>149</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המשפטים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13. </w:t>
        <w:tab/>
        <w:t>אי-זמינות של תיבות דואר אלקטרוני</w:t>
        <w:tab/>
        <w:tab/>
        <w:t>151</w:t>
      </w:r>
    </w:p>
    <w:p>
      <w:pPr>
        <w:pStyle w:val="Heading3"/>
        <w:widowControl/>
        <w:tabs>
          <w:tab w:val="right" w:leader="dot" w:pos="6237"/>
          <w:tab w:val="left" w:pos="6350"/>
        </w:tabs>
        <w:spacing w:before="120" w:after="120" w:line="260" w:lineRule="exact"/>
        <w:ind w:left="0" w:right="0"/>
        <w:jc w:val="left"/>
        <w:rPr>
          <w:rFonts w:hint="cs"/>
          <w:u w:val="none"/>
          <w:rtl/>
        </w:rPr>
      </w:pPr>
      <w:r>
        <w:rPr>
          <w:rFonts w:hint="cs"/>
          <w:u w:val="none"/>
          <w:rtl/>
        </w:rPr>
        <w:t xml:space="preserve">המרכז לגביית קנסות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14. </w:t>
        <w:tab/>
        <w:t>טיפול לקוי בפנייה בעניין תשלום קנס</w:t>
        <w:tab/>
        <w:tab/>
        <w:t>153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15. </w:t>
        <w:tab/>
        <w:t>ליקויים במשלוח הודעות על אי-חידוש רישיונות נהיגה</w:t>
        <w:tab/>
        <w:tab/>
        <w:t>157</w:t>
      </w:r>
    </w:p>
    <w:p>
      <w:pPr>
        <w:pStyle w:val="Heading3"/>
        <w:widowControl/>
        <w:tabs>
          <w:tab w:val="right" w:leader="dot" w:pos="6237"/>
          <w:tab w:val="left" w:pos="6350"/>
        </w:tabs>
        <w:spacing w:before="120" w:after="120" w:line="260" w:lineRule="exact"/>
        <w:ind w:left="0" w:right="0"/>
        <w:jc w:val="left"/>
        <w:rPr>
          <w:rFonts w:hint="cs"/>
          <w:u w:val="none"/>
          <w:rtl/>
        </w:rPr>
      </w:pPr>
      <w:r>
        <w:rPr>
          <w:rFonts w:hint="cs"/>
          <w:u w:val="none"/>
          <w:rtl/>
        </w:rPr>
        <w:t>רשם החברות</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16.</w:t>
        <w:tab/>
        <w:t>ניסוח מטעה של מכתבים</w:t>
        <w:tab/>
        <w:tab/>
        <w:t>159</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מערכת בתי המשפט</w:t>
      </w:r>
    </w:p>
    <w:p>
      <w:pPr>
        <w:pStyle w:val="Heading3"/>
        <w:widowControl/>
        <w:tabs>
          <w:tab w:val="right" w:leader="dot" w:pos="6237"/>
          <w:tab w:val="left" w:pos="6350"/>
        </w:tabs>
        <w:spacing w:after="120" w:line="260" w:lineRule="exact"/>
        <w:ind w:left="0" w:right="0"/>
        <w:jc w:val="left"/>
        <w:rPr>
          <w:rFonts w:hint="cs"/>
          <w:u w:val="none"/>
          <w:rtl/>
        </w:rPr>
      </w:pPr>
      <w:r>
        <w:rPr>
          <w:rFonts w:hint="cs"/>
          <w:u w:val="none"/>
          <w:rtl/>
        </w:rPr>
        <w:t xml:space="preserve">הנהלת בתי המשפט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17.</w:t>
        <w:tab/>
        <w:t>ליקוי בפעולת מרכז המידע הארצי</w:t>
        <w:tab/>
        <w:tab/>
        <w:t>161</w:t>
      </w:r>
    </w:p>
    <w:p>
      <w:pPr>
        <w:pStyle w:val="Heading3"/>
        <w:widowControl/>
        <w:tabs>
          <w:tab w:val="right" w:leader="dot" w:pos="6237"/>
          <w:tab w:val="left" w:pos="6350"/>
        </w:tabs>
        <w:spacing w:before="120" w:after="120" w:line="260" w:lineRule="exact"/>
        <w:ind w:left="0" w:right="0"/>
        <w:jc w:val="left"/>
        <w:rPr>
          <w:rFonts w:hint="cs"/>
          <w:u w:val="none"/>
          <w:rtl/>
        </w:rPr>
      </w:pPr>
      <w:r>
        <w:rPr>
          <w:rFonts w:hint="cs"/>
          <w:u w:val="none"/>
          <w:rtl/>
        </w:rPr>
        <w:t>ההוצאה לפועל</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18.</w:t>
        <w:tab/>
        <w:t>אי-עדכון זוכה בדבר אי-ביצועו של צו מאסר נגד חייב</w:t>
        <w:tab/>
        <w:tab/>
        <w:t>163</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הפנים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19.</w:t>
        <w:tab/>
        <w:t>טיפול לקוי בפניות למשרד</w:t>
        <w:tab/>
        <w:tab/>
        <w:t>165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20. </w:t>
        <w:tab/>
        <w:t>טיפול לקוי בבקשה לחידוש דרכון</w:t>
        <w:tab/>
        <w:tab/>
        <w:t>169</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המשרד לקליטת העלייה ועמידר, החברה הלאומית לשיכון בישראל בע"מ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21. </w:t>
        <w:tab/>
        <w:t>דרישה להסרת אנטנות סלולריות מגג מקבץ דיור לעולים</w:t>
        <w:tab/>
        <w:tab/>
        <w:t>171</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התחבורה ומשרד הבריאות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22.</w:t>
        <w:tab/>
        <w:t>פגיעה מתמשכת בזכותם של נכים להנחה באגרת רישוי רכב</w:t>
        <w:tab/>
        <w:tab/>
        <w:t>173</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הפנים - הנהלת בתי המשפט - המוסד לביטוח לאומי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23.</w:t>
        <w:tab/>
        <w:t>ציון מספר הזהות של נמען על דברי דואר</w:t>
        <w:tab/>
        <w:tab/>
        <w:t>177</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sz w:val="28"/>
          <w:szCs w:val="28"/>
          <w:u w:val="none"/>
          <w:rtl/>
        </w:rPr>
        <w:br w:type="page"/>
      </w:r>
      <w:r>
        <w:rPr>
          <w:rFonts w:hint="cs"/>
          <w:sz w:val="28"/>
          <w:szCs w:val="28"/>
          <w:u w:val="none"/>
          <w:rtl/>
        </w:rPr>
        <w:t>משטרת ישראל</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24.</w:t>
        <w:tab/>
        <w:t>ביצוע מעצרים שלא כדין</w:t>
        <w:tab/>
        <w:tab/>
        <w:t>181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25. </w:t>
        <w:tab/>
        <w:t>הפסקת חברות של מתנדב במשמר האזרחי</w:t>
        <w:tab/>
        <w:tab/>
        <w:t>187</w:t>
      </w:r>
    </w:p>
    <w:p>
      <w:pPr>
        <w:widowControl/>
        <w:tabs>
          <w:tab w:val="right" w:leader="dot" w:pos="6237"/>
          <w:tab w:val="left" w:pos="6350"/>
        </w:tabs>
        <w:spacing w:after="120" w:line="260" w:lineRule="exact"/>
        <w:ind w:left="397" w:right="0" w:hanging="397"/>
        <w:jc w:val="left"/>
        <w:rPr>
          <w:rFonts w:hint="cs"/>
          <w:imprint/>
          <w:rtl/>
        </w:rPr>
      </w:pPr>
      <w:r>
        <w:rPr>
          <w:rFonts w:hint="cs"/>
          <w:rtl/>
          <w:lang w:eastAsia="en-US"/>
        </w:rPr>
        <w:t xml:space="preserve">26. </w:t>
        <w:tab/>
        <w:t>הטרחת אדם שלא לצורך כדי לקבל טלפון נייד שהוחרם</w:t>
        <w:tab/>
        <w:tab/>
        <w:t>191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27. </w:t>
        <w:tab/>
        <w:t>ליקויים ביישום חוק זכויות נפגעי עבירה, התשס"א-2001</w:t>
        <w:tab/>
        <w:tab/>
        <w:t>193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28. </w:t>
        <w:tab/>
        <w:t>סחבת בטיפול בתלונה</w:t>
        <w:tab/>
        <w:tab/>
        <w:t>195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29. </w:t>
        <w:tab/>
        <w:t>טיפול לקוי בנהג שניתנה לו הודעה על איסור שימוש ברכב</w:t>
        <w:tab/>
        <w:tab/>
        <w:t>197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30. </w:t>
        <w:tab/>
        <w:t>כבילת עצור הוצאה לפועל שלא כדין</w:t>
        <w:tab/>
        <w:tab/>
        <w:t>203</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צה"ל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31. </w:t>
        <w:tab/>
        <w:t>פגיעה שלא כדין בחופש העיסוק</w:t>
        <w:tab/>
        <w:tab/>
        <w:t>205</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המוסד לביטוח לאומי</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32. </w:t>
        <w:tab/>
        <w:t>אי-תשלום תוספת לקצבת נכות</w:t>
        <w:tab/>
        <w:tab/>
        <w:t>211</w:t>
      </w:r>
    </w:p>
    <w:p>
      <w:pPr>
        <w:widowControl/>
        <w:tabs>
          <w:tab w:val="right" w:leader="dot" w:pos="6237"/>
          <w:tab w:val="left" w:pos="6350"/>
        </w:tabs>
        <w:spacing w:after="120" w:line="260" w:lineRule="exact"/>
        <w:ind w:left="397" w:right="0" w:hanging="397"/>
        <w:jc w:val="left"/>
        <w:rPr>
          <w:lang w:eastAsia="en-US"/>
        </w:rPr>
      </w:pPr>
      <w:r>
        <w:rPr>
          <w:rFonts w:hint="cs"/>
          <w:rtl/>
          <w:lang w:eastAsia="en-US"/>
        </w:rPr>
        <w:t xml:space="preserve">33. </w:t>
        <w:tab/>
        <w:t>דחייה לא מוצדקת של תביעה לגמלת הבטחת הכנסה</w:t>
        <w:tab/>
        <w:tab/>
        <w:t>213</w:t>
      </w:r>
    </w:p>
    <w:p>
      <w:pPr>
        <w:widowControl/>
        <w:tabs>
          <w:tab w:val="right" w:leader="dot" w:pos="6237"/>
          <w:tab w:val="left" w:pos="6350"/>
        </w:tabs>
        <w:spacing w:after="120" w:line="260" w:lineRule="exact"/>
        <w:ind w:left="397" w:right="0" w:hanging="397"/>
        <w:jc w:val="left"/>
        <w:rPr>
          <w:lang w:eastAsia="en-US"/>
        </w:rPr>
      </w:pPr>
      <w:r>
        <w:rPr>
          <w:rFonts w:hint="cs"/>
          <w:rtl/>
          <w:lang w:eastAsia="en-US"/>
        </w:rPr>
        <w:t xml:space="preserve">34. </w:t>
        <w:tab/>
        <w:t>שלילת זכאות להשלמת הכנסה בשל מידע חסר</w:t>
        <w:tab/>
        <w:tab/>
        <w:t>215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35. </w:t>
        <w:tab/>
        <w:t>ביצוע חקירה בנוכחות קטינים</w:t>
        <w:tab/>
        <w:tab/>
        <w:t>217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36. </w:t>
        <w:tab/>
        <w:t>שלילת זכאות למענק בגין עבודה מועדפת בשל מידע שגוי</w:t>
        <w:tab/>
        <w:tab/>
        <w:t>219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37. </w:t>
        <w:tab/>
        <w:t xml:space="preserve">אי-כיבוד החלטת מפרק חברה בעניין סכום הגמלה </w:t>
      </w:r>
      <w:r>
        <w:rPr>
          <w:rtl/>
          <w:lang w:eastAsia="en-US"/>
        </w:rPr>
        <w:br/>
      </w:r>
      <w:r>
        <w:rPr>
          <w:rFonts w:hint="cs"/>
          <w:rtl/>
          <w:lang w:eastAsia="en-US"/>
        </w:rPr>
        <w:t>המגיעה לעובד</w:t>
        <w:tab/>
        <w:tab/>
        <w:t>223</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מינהל מקרקעי ישראל</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38.</w:t>
        <w:tab/>
        <w:t>ליקוי במכרז לשיווק מגרשים במושב</w:t>
        <w:tab/>
        <w:tab/>
        <w:t>225</w:t>
      </w:r>
    </w:p>
    <w:p>
      <w:pPr>
        <w:pStyle w:val="Heading3"/>
        <w:widowControl/>
        <w:tabs>
          <w:tab w:val="right" w:leader="dot" w:pos="6237"/>
          <w:tab w:val="right" w:leader="dot" w:pos="6350"/>
        </w:tabs>
        <w:spacing w:after="120" w:line="260" w:lineRule="exact"/>
        <w:ind w:left="570" w:right="0" w:hanging="576"/>
        <w:jc w:val="center"/>
        <w:rPr>
          <w:rFonts w:hint="cs"/>
          <w:sz w:val="32"/>
          <w:szCs w:val="32"/>
          <w:u w:val="none"/>
          <w:rtl/>
        </w:rPr>
      </w:pPr>
    </w:p>
    <w:p>
      <w:pPr>
        <w:pStyle w:val="Heading3"/>
        <w:widowControl/>
        <w:tabs>
          <w:tab w:val="right" w:leader="dot" w:pos="6237"/>
          <w:tab w:val="right" w:leader="dot" w:pos="6350"/>
        </w:tabs>
        <w:spacing w:after="120" w:line="260" w:lineRule="exact"/>
        <w:ind w:left="570" w:right="0" w:hanging="576"/>
        <w:jc w:val="center"/>
        <w:rPr>
          <w:rFonts w:hint="cs"/>
          <w:sz w:val="32"/>
          <w:szCs w:val="32"/>
          <w:u w:val="none"/>
          <w:rtl/>
        </w:rPr>
      </w:pPr>
      <w:r>
        <w:rPr>
          <w:rFonts w:hint="cs"/>
          <w:sz w:val="32"/>
          <w:szCs w:val="32"/>
          <w:u w:val="none"/>
          <w:rtl/>
        </w:rPr>
        <w:t>רשויות מקומיות</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שירותי רווחה</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39. </w:t>
        <w:tab/>
      </w:r>
      <w:r>
        <w:rPr>
          <w:rFonts w:hint="cs"/>
          <w:b/>
          <w:bCs/>
          <w:rtl/>
          <w:lang w:eastAsia="en-US"/>
        </w:rPr>
        <w:t xml:space="preserve">עיריית ירושלים </w:t>
      </w:r>
      <w:r>
        <w:rPr>
          <w:rFonts w:hint="cs"/>
          <w:rtl/>
          <w:lang w:eastAsia="en-US"/>
        </w:rPr>
        <w:t xml:space="preserve">- עיכוב בטיפול בבקשה להכרה </w:t>
      </w:r>
      <w:r>
        <w:rPr>
          <w:rtl/>
          <w:lang w:eastAsia="en-US"/>
        </w:rPr>
        <w:br/>
      </w:r>
      <w:r>
        <w:rPr>
          <w:rFonts w:hint="cs"/>
          <w:rtl/>
          <w:lang w:eastAsia="en-US"/>
        </w:rPr>
        <w:t>בזכאות לקבלת שירותים</w:t>
        <w:tab/>
        <w:tab/>
        <w:t>231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40. </w:t>
        <w:tab/>
      </w:r>
      <w:r>
        <w:rPr>
          <w:rFonts w:hint="cs"/>
          <w:bCs/>
          <w:rtl/>
          <w:lang w:eastAsia="en-US"/>
        </w:rPr>
        <w:t xml:space="preserve">עיריית אשדוד </w:t>
      </w:r>
      <w:r>
        <w:rPr>
          <w:rFonts w:hint="cs"/>
          <w:rtl/>
          <w:lang w:eastAsia="en-US"/>
        </w:rPr>
        <w:t xml:space="preserve">- דחיית בקשה להעברת תלמיד לבית ספר הקרוב </w:t>
      </w:r>
      <w:r>
        <w:rPr>
          <w:rtl/>
          <w:lang w:eastAsia="en-US"/>
        </w:rPr>
        <w:br/>
      </w:r>
      <w:r>
        <w:rPr>
          <w:rFonts w:hint="cs"/>
          <w:rtl/>
          <w:lang w:eastAsia="en-US"/>
        </w:rPr>
        <w:t>למקום מגוריו</w:t>
        <w:tab/>
        <w:tab/>
        <w:t>235</w:t>
      </w:r>
    </w:p>
    <w:p>
      <w:pPr>
        <w:widowControl/>
        <w:tabs>
          <w:tab w:val="right" w:leader="dot" w:pos="6237"/>
          <w:tab w:val="left" w:pos="6350"/>
        </w:tabs>
        <w:spacing w:after="120" w:line="260" w:lineRule="exact"/>
        <w:ind w:left="397" w:right="0" w:hanging="397"/>
        <w:jc w:val="left"/>
        <w:rPr>
          <w:rFonts w:hint="cs"/>
          <w:rtl/>
          <w:lang w:eastAsia="en-US"/>
        </w:rPr>
      </w:pPr>
      <w:r>
        <w:rPr>
          <w:rtl/>
          <w:lang w:eastAsia="en-US"/>
        </w:rPr>
        <w:br w:type="page"/>
      </w:r>
      <w:r>
        <w:rPr>
          <w:rFonts w:hint="cs"/>
          <w:rtl/>
          <w:lang w:eastAsia="en-US"/>
        </w:rPr>
        <w:t xml:space="preserve">41. </w:t>
        <w:tab/>
      </w:r>
      <w:r>
        <w:rPr>
          <w:rFonts w:hint="cs"/>
          <w:b/>
          <w:bCs/>
          <w:rtl/>
          <w:lang w:eastAsia="en-US"/>
        </w:rPr>
        <w:t xml:space="preserve">עיריית בני ברק </w:t>
      </w:r>
      <w:r>
        <w:rPr>
          <w:rFonts w:hint="cs"/>
          <w:rtl/>
          <w:lang w:eastAsia="en-US"/>
        </w:rPr>
        <w:t xml:space="preserve">- סירוב להתקין שביל שיאפשר </w:t>
      </w:r>
      <w:r>
        <w:rPr>
          <w:rtl/>
          <w:lang w:eastAsia="en-US"/>
        </w:rPr>
        <w:br/>
      </w:r>
      <w:r>
        <w:rPr>
          <w:rFonts w:hint="cs"/>
          <w:rtl/>
          <w:lang w:eastAsia="en-US"/>
        </w:rPr>
        <w:t>לנכה גישה נוחה לביתו</w:t>
        <w:tab/>
        <w:tab/>
        <w:t>239</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ענייני ארנונה</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42. </w:t>
        <w:tab/>
      </w:r>
      <w:r>
        <w:rPr>
          <w:rFonts w:hint="cs"/>
          <w:b/>
          <w:bCs/>
          <w:rtl/>
          <w:lang w:eastAsia="en-US"/>
        </w:rPr>
        <w:t xml:space="preserve">עיריית חיפה </w:t>
      </w:r>
      <w:r>
        <w:rPr>
          <w:rFonts w:hint="cs"/>
          <w:rtl/>
          <w:lang w:eastAsia="en-US"/>
        </w:rPr>
        <w:t>- העלאת שיעור ארנונה שלא כדין</w:t>
        <w:tab/>
        <w:tab/>
        <w:t>241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43. </w:t>
        <w:tab/>
      </w:r>
      <w:r>
        <w:rPr>
          <w:rFonts w:hint="cs"/>
          <w:b/>
          <w:bCs/>
          <w:rtl/>
          <w:lang w:eastAsia="en-US"/>
        </w:rPr>
        <w:t xml:space="preserve">עיריית קריית גת ועמידר, החברה הלאומית לשיכון בישראל בע"מ </w:t>
      </w:r>
      <w:r>
        <w:rPr>
          <w:rFonts w:hint="cs"/>
          <w:rtl/>
          <w:lang w:eastAsia="en-US"/>
        </w:rPr>
        <w:t>- הטלת עיקול בגין חוב ארנונה שנוי במחלוקת</w:t>
        <w:tab/>
        <w:tab/>
        <w:t>243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44. </w:t>
        <w:tab/>
      </w:r>
      <w:r>
        <w:rPr>
          <w:rFonts w:hint="cs"/>
          <w:b/>
          <w:bCs/>
          <w:rtl/>
          <w:lang w:eastAsia="en-US"/>
        </w:rPr>
        <w:t xml:space="preserve">המועצה המקומית דיר חנא </w:t>
      </w:r>
      <w:r>
        <w:rPr>
          <w:rFonts w:hint="cs"/>
          <w:rtl/>
          <w:lang w:eastAsia="en-US"/>
        </w:rPr>
        <w:t xml:space="preserve">- חיוב בארנונה עבור </w:t>
      </w:r>
      <w:r>
        <w:rPr>
          <w:rtl/>
          <w:lang w:eastAsia="en-US"/>
        </w:rPr>
        <w:br/>
      </w:r>
      <w:r>
        <w:rPr>
          <w:rFonts w:hint="cs"/>
          <w:rtl/>
          <w:lang w:eastAsia="en-US"/>
        </w:rPr>
        <w:t>בניין שטרם נבנה</w:t>
        <w:tab/>
        <w:tab/>
        <w:t>247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45. </w:t>
        <w:tab/>
      </w:r>
      <w:r>
        <w:rPr>
          <w:rFonts w:hint="cs"/>
          <w:b/>
          <w:bCs/>
          <w:rtl/>
          <w:lang w:eastAsia="en-US"/>
        </w:rPr>
        <w:t xml:space="preserve">עיריית נתניה </w:t>
      </w:r>
      <w:r>
        <w:rPr>
          <w:rFonts w:hint="cs"/>
          <w:rtl/>
          <w:lang w:eastAsia="en-US"/>
        </w:rPr>
        <w:t xml:space="preserve">- דחיית בקשה להנחה בארנונה </w:t>
      </w:r>
      <w:r>
        <w:rPr>
          <w:lang w:eastAsia="en-US"/>
        </w:rPr>
        <w:br/>
      </w:r>
      <w:r>
        <w:rPr>
          <w:rFonts w:hint="cs"/>
          <w:rtl/>
          <w:lang w:eastAsia="en-US"/>
        </w:rPr>
        <w:t>על פי מבחן הכנסה</w:t>
        <w:tab/>
        <w:tab/>
        <w:t>251</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46. </w:t>
        <w:tab/>
      </w:r>
      <w:r>
        <w:rPr>
          <w:rFonts w:hint="cs"/>
          <w:b/>
          <w:bCs/>
          <w:rtl/>
          <w:lang w:eastAsia="en-US"/>
        </w:rPr>
        <w:t xml:space="preserve">עיריית אור יהודה </w:t>
      </w:r>
      <w:r>
        <w:rPr>
          <w:rFonts w:hint="cs"/>
          <w:rtl/>
          <w:lang w:eastAsia="en-US"/>
        </w:rPr>
        <w:t>- אי-מתן הנחה בארנונה</w:t>
      </w:r>
      <w:r>
        <w:rPr>
          <w:rtl/>
          <w:lang w:eastAsia="en-US"/>
        </w:rPr>
        <w:t xml:space="preserve"> </w:t>
      </w:r>
      <w:r>
        <w:rPr>
          <w:rFonts w:hint="cs"/>
          <w:rtl/>
          <w:lang w:eastAsia="en-US"/>
        </w:rPr>
        <w:t xml:space="preserve">לנכה </w:t>
      </w:r>
      <w:r>
        <w:rPr>
          <w:rtl/>
          <w:lang w:eastAsia="en-US"/>
        </w:rPr>
        <w:br/>
      </w:r>
      <w:r>
        <w:rPr>
          <w:rFonts w:hint="cs"/>
          <w:rtl/>
          <w:lang w:eastAsia="en-US"/>
        </w:rPr>
        <w:t>וסירוב להחזיר לה תשלומי יתר</w:t>
        <w:tab/>
        <w:tab/>
        <w:t>255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47. </w:t>
        <w:tab/>
      </w:r>
      <w:r>
        <w:rPr>
          <w:rFonts w:hint="cs"/>
          <w:b/>
          <w:bCs/>
          <w:rtl/>
          <w:lang w:eastAsia="en-US"/>
        </w:rPr>
        <w:t xml:space="preserve">עיריית דימונה </w:t>
      </w:r>
      <w:r>
        <w:rPr>
          <w:rFonts w:hint="cs"/>
          <w:rtl/>
          <w:lang w:eastAsia="en-US"/>
        </w:rPr>
        <w:t xml:space="preserve">- אי-מתן הנחה בארנונה למי שזכאי </w:t>
      </w:r>
      <w:r>
        <w:rPr>
          <w:rtl/>
          <w:lang w:eastAsia="en-US"/>
        </w:rPr>
        <w:br/>
      </w:r>
      <w:r>
        <w:rPr>
          <w:rFonts w:hint="cs"/>
          <w:rtl/>
          <w:lang w:eastAsia="en-US"/>
        </w:rPr>
        <w:t>לגמלת הבטחת הכנסה</w:t>
        <w:tab/>
        <w:tab/>
        <w:t>257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48. </w:t>
        <w:tab/>
      </w:r>
      <w:r>
        <w:rPr>
          <w:rFonts w:hint="cs"/>
          <w:b/>
          <w:bCs/>
          <w:rtl/>
          <w:lang w:eastAsia="en-US"/>
        </w:rPr>
        <w:t xml:space="preserve">עיריית ראש העין </w:t>
      </w:r>
      <w:r>
        <w:rPr>
          <w:rFonts w:hint="cs"/>
          <w:rtl/>
          <w:lang w:eastAsia="en-US"/>
        </w:rPr>
        <w:t xml:space="preserve">- אי-מתן הנחה שניתנה במבצע </w:t>
      </w:r>
      <w:r>
        <w:rPr>
          <w:rtl/>
          <w:lang w:eastAsia="en-US"/>
        </w:rPr>
        <w:br/>
      </w:r>
      <w:r>
        <w:rPr>
          <w:rFonts w:hint="cs"/>
          <w:rtl/>
          <w:lang w:eastAsia="en-US"/>
        </w:rPr>
        <w:t>לגביית חובות עבר של ארנונה</w:t>
        <w:tab/>
        <w:tab/>
        <w:t>259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49. </w:t>
        <w:tab/>
      </w:r>
      <w:r>
        <w:rPr>
          <w:rFonts w:hint="cs"/>
          <w:b/>
          <w:bCs/>
          <w:rtl/>
          <w:lang w:eastAsia="en-US"/>
        </w:rPr>
        <w:t xml:space="preserve">עיריית נתיבות </w:t>
      </w:r>
      <w:r>
        <w:rPr>
          <w:rFonts w:hint="cs"/>
          <w:rtl/>
          <w:lang w:eastAsia="en-US"/>
        </w:rPr>
        <w:t xml:space="preserve">- הנחה מארנונה על נכס שהושכר </w:t>
      </w:r>
      <w:r>
        <w:rPr>
          <w:rtl/>
          <w:lang w:eastAsia="en-US"/>
        </w:rPr>
        <w:br/>
      </w:r>
      <w:r>
        <w:rPr>
          <w:rFonts w:hint="cs"/>
          <w:rtl/>
          <w:lang w:eastAsia="en-US"/>
        </w:rPr>
        <w:t>לתקופה הקצרה משנה אחת</w:t>
        <w:tab/>
        <w:tab/>
        <w:t>261</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היטלים, אגרות ותשלומים אחרים</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50. </w:t>
        <w:tab/>
      </w:r>
      <w:r>
        <w:rPr>
          <w:rFonts w:hint="cs"/>
          <w:b/>
          <w:bCs/>
          <w:rtl/>
          <w:lang w:eastAsia="en-US"/>
        </w:rPr>
        <w:t xml:space="preserve">עיריית ירושלים </w:t>
      </w:r>
      <w:r>
        <w:rPr>
          <w:rFonts w:hint="cs"/>
          <w:rtl/>
          <w:lang w:eastAsia="en-US"/>
        </w:rPr>
        <w:t>- דרישה לתשלום חוב שכבר שולם</w:t>
        <w:tab/>
        <w:tab/>
        <w:t>263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51. </w:t>
        <w:tab/>
      </w:r>
      <w:r>
        <w:rPr>
          <w:rFonts w:hint="cs"/>
          <w:b/>
          <w:bCs/>
          <w:rtl/>
          <w:lang w:eastAsia="en-US"/>
        </w:rPr>
        <w:t xml:space="preserve">עיריית בית שמש </w:t>
      </w:r>
      <w:r>
        <w:rPr>
          <w:rFonts w:hint="cs"/>
          <w:rtl/>
          <w:lang w:eastAsia="en-US"/>
        </w:rPr>
        <w:t>- דרישה שלא כדין לתשלום אגרת שילוט</w:t>
        <w:tab/>
        <w:tab/>
        <w:t>265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52. </w:t>
        <w:tab/>
      </w:r>
      <w:r>
        <w:rPr>
          <w:rFonts w:hint="cs"/>
          <w:b/>
          <w:bCs/>
          <w:rtl/>
          <w:lang w:eastAsia="en-US"/>
        </w:rPr>
        <w:t xml:space="preserve">עיריית קריית ביאליק </w:t>
      </w:r>
      <w:r>
        <w:rPr>
          <w:rFonts w:hint="cs"/>
          <w:rtl/>
          <w:lang w:eastAsia="en-US"/>
        </w:rPr>
        <w:t xml:space="preserve">- ליקוי בגביית </w:t>
      </w:r>
      <w:r>
        <w:rPr>
          <w:rtl/>
          <w:lang w:eastAsia="en-US"/>
        </w:rPr>
        <w:br/>
      </w:r>
      <w:r>
        <w:rPr>
          <w:rFonts w:hint="cs"/>
          <w:rtl/>
          <w:lang w:eastAsia="en-US"/>
        </w:rPr>
        <w:t>אגרת שירותי קבורה נוספים</w:t>
        <w:tab/>
        <w:tab/>
        <w:t>267</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53. </w:t>
        <w:tab/>
      </w:r>
      <w:r>
        <w:rPr>
          <w:rFonts w:hint="cs"/>
          <w:b/>
          <w:bCs/>
          <w:rtl/>
          <w:lang w:eastAsia="en-US"/>
        </w:rPr>
        <w:t xml:space="preserve">עיריית נתיבות </w:t>
      </w:r>
      <w:r>
        <w:rPr>
          <w:rFonts w:hint="cs"/>
          <w:rtl/>
          <w:lang w:eastAsia="en-US"/>
        </w:rPr>
        <w:t>- גביית תשלומי הורים שלא כדין</w:t>
        <w:tab/>
        <w:tab/>
        <w:t>269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54. </w:t>
        <w:tab/>
      </w:r>
      <w:r>
        <w:rPr>
          <w:rFonts w:hint="cs"/>
          <w:b/>
          <w:bCs/>
          <w:rtl/>
          <w:lang w:eastAsia="en-US"/>
        </w:rPr>
        <w:t xml:space="preserve">המועצה האזורית גולן </w:t>
      </w:r>
      <w:r>
        <w:rPr>
          <w:rFonts w:hint="cs"/>
          <w:rtl/>
          <w:lang w:eastAsia="en-US"/>
        </w:rPr>
        <w:t>- גביית תשלום יתר עבור חניה בחוף דוגית</w:t>
        <w:tab/>
        <w:tab/>
        <w:t>271</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דוחות חניה</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55. </w:t>
        <w:tab/>
      </w:r>
      <w:r>
        <w:rPr>
          <w:rFonts w:hint="cs"/>
          <w:b/>
          <w:bCs/>
          <w:rtl/>
          <w:lang w:eastAsia="en-US"/>
        </w:rPr>
        <w:t xml:space="preserve">עיריית בת ים </w:t>
      </w:r>
      <w:r>
        <w:rPr>
          <w:rFonts w:hint="cs"/>
          <w:rtl/>
          <w:lang w:eastAsia="en-US"/>
        </w:rPr>
        <w:t>- גבייה שלא כדין של קנסות בגין עבירות חניה</w:t>
        <w:tab/>
        <w:tab/>
        <w:t>273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56. </w:t>
        <w:tab/>
      </w:r>
      <w:r>
        <w:rPr>
          <w:rFonts w:hint="cs"/>
          <w:b/>
          <w:bCs/>
          <w:rtl/>
          <w:lang w:eastAsia="en-US"/>
        </w:rPr>
        <w:t xml:space="preserve">עיריית נתניה </w:t>
      </w:r>
      <w:r>
        <w:rPr>
          <w:rFonts w:hint="cs"/>
          <w:rtl/>
          <w:lang w:eastAsia="en-US"/>
        </w:rPr>
        <w:t xml:space="preserve">- </w:t>
      </w:r>
      <w:r>
        <w:rPr>
          <w:rFonts w:hint="cs"/>
          <w:b/>
          <w:bCs/>
          <w:rtl/>
          <w:lang w:eastAsia="en-US"/>
        </w:rPr>
        <w:t xml:space="preserve">והמועצה המקומית כפר שמריהו </w:t>
      </w:r>
      <w:r>
        <w:rPr>
          <w:rFonts w:hint="cs"/>
          <w:rtl/>
          <w:lang w:eastAsia="en-US"/>
        </w:rPr>
        <w:t xml:space="preserve">- </w:t>
      </w:r>
      <w:r>
        <w:rPr>
          <w:rtl/>
          <w:lang w:eastAsia="en-US"/>
        </w:rPr>
        <w:br/>
      </w:r>
      <w:r>
        <w:rPr>
          <w:rFonts w:hint="cs"/>
          <w:rtl/>
          <w:lang w:eastAsia="en-US"/>
        </w:rPr>
        <w:t>מידע חסר בדבר זכויותיהם של מקבלי הודעות תשלום קנס</w:t>
        <w:tab/>
        <w:tab/>
        <w:t>275</w:t>
      </w:r>
    </w:p>
    <w:p>
      <w:pPr>
        <w:widowControl/>
        <w:tabs>
          <w:tab w:val="right" w:leader="dot" w:pos="6237"/>
          <w:tab w:val="left" w:pos="6350"/>
        </w:tabs>
        <w:spacing w:after="120" w:line="260" w:lineRule="exact"/>
        <w:ind w:left="397" w:right="0" w:hanging="397"/>
        <w:jc w:val="left"/>
        <w:rPr>
          <w:rFonts w:hint="cs"/>
          <w:rtl/>
          <w:lang w:eastAsia="en-US"/>
        </w:rPr>
      </w:pPr>
      <w:r>
        <w:rPr>
          <w:rtl/>
          <w:lang w:eastAsia="en-US"/>
        </w:rPr>
        <w:br w:type="page"/>
      </w:r>
      <w:r>
        <w:rPr>
          <w:rFonts w:hint="cs"/>
          <w:rtl/>
          <w:lang w:eastAsia="en-US"/>
        </w:rPr>
        <w:t xml:space="preserve">57. </w:t>
        <w:tab/>
      </w:r>
      <w:r>
        <w:rPr>
          <w:rFonts w:hint="cs"/>
          <w:b/>
          <w:bCs/>
          <w:rtl/>
          <w:lang w:eastAsia="en-US"/>
        </w:rPr>
        <w:t xml:space="preserve">עיריית רחובות </w:t>
      </w:r>
      <w:r>
        <w:rPr>
          <w:rFonts w:hint="cs"/>
          <w:rtl/>
          <w:lang w:eastAsia="en-US"/>
        </w:rPr>
        <w:t>- אי-ביטול דוח חניה שניתן בטעות</w:t>
        <w:tab/>
        <w:tab/>
        <w:t>277</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תכנון ובנייה</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58. </w:t>
        <w:tab/>
      </w:r>
      <w:r>
        <w:rPr>
          <w:rFonts w:hint="cs"/>
          <w:b/>
          <w:bCs/>
          <w:rtl/>
          <w:lang w:eastAsia="en-US"/>
        </w:rPr>
        <w:t>עיריית רחובות</w:t>
      </w:r>
      <w:r>
        <w:rPr>
          <w:rFonts w:hint="cs"/>
          <w:rtl/>
          <w:lang w:eastAsia="en-US"/>
        </w:rPr>
        <w:t xml:space="preserve"> - תשלום יתר של דמי חכירה בשל אי-השלמת </w:t>
      </w:r>
      <w:r>
        <w:rPr>
          <w:rtl/>
          <w:lang w:eastAsia="en-US"/>
        </w:rPr>
        <w:br/>
      </w:r>
      <w:r>
        <w:rPr>
          <w:rFonts w:hint="cs"/>
          <w:rtl/>
          <w:lang w:eastAsia="en-US"/>
        </w:rPr>
        <w:t>הליכי הפקעת מקרקעין</w:t>
        <w:tab/>
        <w:tab/>
        <w:t>281</w:t>
      </w:r>
    </w:p>
    <w:p>
      <w:pPr>
        <w:widowControl/>
        <w:tabs>
          <w:tab w:val="right" w:leader="dot" w:pos="6237"/>
          <w:tab w:val="left" w:pos="6350"/>
        </w:tabs>
        <w:spacing w:after="120" w:line="260" w:lineRule="exact"/>
        <w:ind w:left="397" w:right="0" w:hanging="397"/>
        <w:jc w:val="left"/>
        <w:rPr>
          <w:rFonts w:hint="cs"/>
          <w:rtl/>
          <w:lang w:eastAsia="en-US"/>
        </w:rPr>
      </w:pPr>
    </w:p>
    <w:p>
      <w:pPr>
        <w:pStyle w:val="Heading3"/>
        <w:widowControl/>
        <w:tabs>
          <w:tab w:val="right" w:leader="dot" w:pos="6237"/>
          <w:tab w:val="right" w:leader="dot" w:pos="6350"/>
        </w:tabs>
        <w:spacing w:after="120" w:line="260" w:lineRule="exact"/>
        <w:ind w:left="570" w:right="0" w:hanging="576"/>
        <w:jc w:val="center"/>
        <w:rPr>
          <w:rFonts w:hint="cs"/>
          <w:sz w:val="32"/>
          <w:szCs w:val="32"/>
          <w:u w:val="none"/>
          <w:rtl/>
        </w:rPr>
      </w:pPr>
      <w:r>
        <w:rPr>
          <w:rFonts w:hint="cs"/>
          <w:sz w:val="32"/>
          <w:szCs w:val="32"/>
          <w:u w:val="none"/>
          <w:rtl/>
        </w:rPr>
        <w:t>גופים ציבוריים אחרים</w:t>
      </w:r>
    </w:p>
    <w:p>
      <w:pPr>
        <w:pStyle w:val="Heading3"/>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שירותי בריאות כללית</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 xml:space="preserve">59. </w:t>
        <w:tab/>
        <w:t>סירוב לאשפז חולה סיעודית בסמוך למקום מגוריה</w:t>
        <w:tab/>
        <w:tab/>
        <w:t>285</w:t>
      </w:r>
    </w:p>
    <w:p>
      <w:pPr>
        <w:widowControl/>
        <w:tabs>
          <w:tab w:val="right" w:leader="dot" w:pos="6237"/>
          <w:tab w:val="left" w:pos="6350"/>
        </w:tabs>
        <w:spacing w:after="120" w:line="260" w:lineRule="exact"/>
        <w:ind w:left="397" w:right="0" w:hanging="397"/>
        <w:jc w:val="left"/>
        <w:rPr>
          <w:rtl/>
          <w:lang w:eastAsia="en-US"/>
        </w:rPr>
      </w:pPr>
    </w:p>
    <w:p>
      <w:pPr>
        <w:pStyle w:val="Heading3"/>
        <w:widowControl/>
        <w:tabs>
          <w:tab w:val="right" w:leader="dot" w:pos="6237"/>
          <w:tab w:val="right" w:leader="dot" w:pos="6350"/>
        </w:tabs>
        <w:spacing w:after="120" w:line="260" w:lineRule="exact"/>
        <w:ind w:left="570" w:right="0" w:hanging="576"/>
        <w:jc w:val="center"/>
        <w:rPr>
          <w:sz w:val="32"/>
          <w:szCs w:val="32"/>
          <w:u w:val="none"/>
          <w:rtl/>
        </w:rPr>
      </w:pPr>
      <w:r>
        <w:rPr>
          <w:sz w:val="32"/>
          <w:szCs w:val="32"/>
          <w:u w:val="none"/>
          <w:rtl/>
        </w:rPr>
        <w:t>נספחים</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טבלה 1: התפלגות התלונות לפי גופים נילונים בשנת 2007</w:t>
        <w:tab/>
        <w:tab/>
        <w:t>289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טבלה 2: התפלגות התלונות לפי נושאים עיקריים בשנת 2007</w:t>
        <w:tab/>
        <w:tab/>
        <w:t>294</w:t>
      </w:r>
    </w:p>
    <w:p>
      <w:pPr>
        <w:widowControl/>
        <w:tabs>
          <w:tab w:val="right" w:leader="dot" w:pos="6237"/>
          <w:tab w:val="left" w:pos="6350"/>
        </w:tabs>
        <w:spacing w:after="120" w:line="260" w:lineRule="exact"/>
        <w:ind w:left="397" w:right="0" w:hanging="397"/>
        <w:jc w:val="left"/>
        <w:rPr>
          <w:rFonts w:hint="cs"/>
          <w:rtl/>
          <w:lang w:eastAsia="en-US"/>
        </w:rPr>
      </w:pP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כתובות משרדי הנציבות ושעות קבלת הקהל</w:t>
        <w:tab/>
        <w:tab/>
        <w:t>299</w:t>
      </w:r>
    </w:p>
    <w:p>
      <w:pPr>
        <w:widowControl/>
        <w:tabs>
          <w:tab w:val="right" w:leader="dot" w:pos="6237"/>
          <w:tab w:val="left" w:pos="6350"/>
        </w:tabs>
        <w:spacing w:after="120" w:line="260" w:lineRule="exact"/>
        <w:ind w:left="397" w:right="0" w:hanging="397"/>
        <w:jc w:val="left"/>
        <w:rPr>
          <w:rFonts w:hint="cs"/>
          <w:rtl/>
          <w:lang w:eastAsia="en-US"/>
        </w:rPr>
      </w:pPr>
    </w:p>
    <w:p>
      <w:pPr>
        <w:widowControl/>
        <w:tabs>
          <w:tab w:val="right" w:leader="dot" w:pos="6237"/>
          <w:tab w:val="left" w:pos="6350"/>
        </w:tabs>
        <w:spacing w:after="120" w:line="260" w:lineRule="exact"/>
        <w:ind w:left="397" w:right="0" w:hanging="397"/>
        <w:jc w:val="left"/>
        <w:rPr>
          <w:rFonts w:hint="cs"/>
          <w:rtl/>
          <w:lang w:eastAsia="en-US"/>
        </w:rPr>
      </w:pPr>
      <w:r>
        <w:rPr>
          <w:rtl/>
          <w:lang w:eastAsia="en-US"/>
        </w:rPr>
        <w:t>חוק יסוד: מבקר המדינה</w:t>
      </w:r>
      <w:r>
        <w:rPr>
          <w:rFonts w:hint="cs"/>
          <w:rtl/>
          <w:lang w:eastAsia="en-US"/>
        </w:rPr>
        <w:tab/>
        <w:tab/>
        <w:t>303</w:t>
      </w:r>
    </w:p>
    <w:p>
      <w:pPr>
        <w:widowControl/>
        <w:tabs>
          <w:tab w:val="right" w:leader="dot" w:pos="6237"/>
          <w:tab w:val="left" w:pos="6350"/>
        </w:tabs>
        <w:spacing w:after="120" w:line="260" w:lineRule="exact"/>
        <w:ind w:left="397" w:right="0" w:hanging="397"/>
        <w:jc w:val="left"/>
        <w:rPr>
          <w:rFonts w:hint="cs"/>
          <w:rtl/>
          <w:lang w:eastAsia="en-US"/>
        </w:rPr>
      </w:pPr>
      <w:r>
        <w:rPr>
          <w:rtl/>
          <w:lang w:eastAsia="en-US"/>
        </w:rPr>
        <w:t>חוק מבקר המדינה, התשי"ח</w:t>
      </w:r>
      <w:r>
        <w:rPr>
          <w:rFonts w:hint="cs"/>
          <w:rtl/>
          <w:lang w:eastAsia="en-US"/>
        </w:rPr>
        <w:t>-</w:t>
      </w:r>
      <w:r>
        <w:rPr>
          <w:rtl/>
          <w:lang w:eastAsia="en-US"/>
        </w:rPr>
        <w:t>1958 [נוסח משולב]</w:t>
      </w:r>
      <w:r>
        <w:rPr>
          <w:rFonts w:hint="cs"/>
          <w:rtl/>
          <w:lang w:eastAsia="en-US"/>
        </w:rPr>
        <w:tab/>
        <w:tab/>
        <w:t>305</w:t>
      </w:r>
    </w:p>
    <w:p>
      <w:pPr>
        <w:widowControl/>
        <w:tabs>
          <w:tab w:val="right" w:leader="dot" w:pos="6237"/>
          <w:tab w:val="left" w:pos="6350"/>
        </w:tabs>
        <w:spacing w:after="120" w:line="260" w:lineRule="exact"/>
        <w:ind w:left="397" w:right="0" w:hanging="397"/>
        <w:jc w:val="left"/>
        <w:rPr>
          <w:rFonts w:hint="cs"/>
          <w:rtl/>
          <w:lang w:eastAsia="en-US"/>
        </w:rPr>
      </w:pPr>
    </w:p>
    <w:sectPr>
      <w:headerReference w:type="even" r:id="rId10"/>
      <w:headerReference w:type="default" r:id="rId11"/>
      <w:footerReference w:type="even" r:id="rId12"/>
      <w:footerReference w:type="default" r:id="rId13"/>
      <w:headerReference w:type="first" r:id="rId14"/>
      <w:footerReference w:type="first" r:id="rId15"/>
      <w:pgSz w:w="11906" w:h="16838" w:code="9"/>
      <w:pgMar w:top="2098" w:right="2608" w:bottom="3969" w:left="2608" w:header="1531" w:footer="3402"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0"/>
      <w:tabs>
        <w:tab w:val="clear" w:pos="4153"/>
        <w:tab w:val="right" w:leader="underscore" w:pos="6691"/>
        <w:tab w:val="clear" w:pos="8306"/>
      </w:tabs>
      <w:ind w:left="0" w:right="0"/>
      <w:jc w:val="left"/>
      <w:rPr>
        <w:rFonts w:hint="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Web"/>
      <w:tabs>
        <w:tab w:val="right" w:leader="underscore" w:pos="6691"/>
      </w:tabs>
      <w:bidi/>
      <w:ind w:left="0" w:right="0"/>
      <w:jc w:val="left"/>
      <w:rPr>
        <w:rFonts w:cs="David" w:hint="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line="240" w:lineRule="auto"/>
      <w:ind w:left="0" w:right="0"/>
      <w:jc w:val="both"/>
      <w:rPr>
        <w:sz w:val="20"/>
        <w:szCs w:val="20"/>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sz w:val="20"/>
        <w:szCs w:val="20"/>
        <w:rt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both"/>
      <w:rPr>
        <w:rFonts w:hint="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2CA45425"/>
    <w:multiLevelType w:val="hybridMultilevel"/>
    <w:tmpl w:val="322AFC46"/>
    <w:lvl w:ilvl="0">
      <w:start w:val="1"/>
      <w:numFmt w:val="decimal"/>
      <w:lvlText w:val="%1."/>
      <w:lvlJc w:val="left"/>
      <w:pPr>
        <w:tabs>
          <w:tab w:val="num" w:pos="504"/>
        </w:tabs>
        <w:ind w:left="504" w:hanging="360"/>
      </w:pPr>
      <w:rPr>
        <w:lang w:val="en-US" w:bidi="he-IL"/>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5BCF6132"/>
    <w:multiLevelType w:val="multilevel"/>
    <w:tmpl w:val="CE286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A1C7FB5"/>
    <w:multiLevelType w:val="singleLevel"/>
    <w:tmpl w:val="CB646ABA"/>
    <w:lvl w:ilvl="0">
      <w:start w:val="1"/>
      <w:numFmt w:val="hebrew1"/>
      <w:lvlText w:val="%1."/>
      <w:lvlJc w:val="center"/>
      <w:pPr>
        <w:tabs>
          <w:tab w:val="num" w:pos="797"/>
        </w:tabs>
        <w:ind w:left="797" w:right="797" w:hanging="36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revisionView w:comments="0" w:formatting="0" w:inkAnnotations="0" w:insDel="0" w:markup="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sz w:val="20"/>
      <w:u w:val="single"/>
    </w:rPr>
  </w:style>
  <w:style w:type="paragraph" w:styleId="Heading4">
    <w:name w:val="heading 4"/>
    <w:basedOn w:val="Normal"/>
    <w:next w:val="Normal"/>
    <w:uiPriority w:val="9"/>
    <w:qFormat/>
    <w:pPr>
      <w:keepNext/>
      <w:widowControl/>
      <w:tabs>
        <w:tab w:val="left" w:pos="510"/>
      </w:tabs>
      <w:spacing w:before="60" w:after="60" w:line="264" w:lineRule="exact"/>
      <w:ind w:left="0" w:right="0"/>
      <w:jc w:val="center"/>
      <w:outlineLvl w:val="3"/>
    </w:pPr>
    <w:rPr>
      <w:rFonts w:cs="FrankRuehl"/>
      <w:b/>
      <w:bCs/>
      <w:position w:val="10"/>
      <w:sz w:val="20"/>
      <w:lang w:eastAsia="en-US"/>
    </w:rPr>
  </w:style>
  <w:style w:type="paragraph" w:styleId="Heading5">
    <w:name w:val="heading 5"/>
    <w:basedOn w:val="Normal"/>
    <w:next w:val="Normal"/>
    <w:uiPriority w:val="9"/>
    <w:qFormat/>
    <w:pPr>
      <w:keepNext/>
      <w:bidi w:val="0"/>
      <w:spacing w:before="360"/>
      <w:jc w:val="center"/>
      <w:outlineLvl w:val="4"/>
    </w:pPr>
    <w:rPr>
      <w:sz w:val="44"/>
      <w:szCs w:val="44"/>
    </w:rPr>
  </w:style>
  <w:style w:type="paragraph" w:styleId="Heading6">
    <w:name w:val="heading 6"/>
    <w:basedOn w:val="Normal"/>
    <w:next w:val="Normal"/>
    <w:uiPriority w:val="9"/>
    <w:qFormat/>
    <w:pPr>
      <w:keepNext/>
      <w:widowControl/>
      <w:spacing w:after="120" w:line="264" w:lineRule="exact"/>
      <w:ind w:left="567" w:right="0"/>
      <w:jc w:val="both"/>
      <w:outlineLvl w:val="5"/>
    </w:pPr>
    <w:rPr>
      <w:rFonts w:cs="FrankRuehl"/>
      <w:b/>
      <w:bCs/>
      <w:sz w:val="20"/>
      <w:lang w:eastAsia="en-US"/>
    </w:rPr>
  </w:style>
  <w:style w:type="paragraph" w:styleId="Heading7">
    <w:name w:val="heading 7"/>
    <w:basedOn w:val="Normal"/>
    <w:next w:val="Normal"/>
    <w:uiPriority w:val="9"/>
    <w:qFormat/>
    <w:pPr>
      <w:keepNext/>
      <w:bidi w:val="0"/>
      <w:jc w:val="center"/>
      <w:outlineLvl w:val="6"/>
    </w:pPr>
    <w:rPr>
      <w:sz w:val="128"/>
      <w:szCs w:val="128"/>
    </w:rPr>
  </w:style>
  <w:style w:type="paragraph" w:styleId="Heading8">
    <w:name w:val="heading 8"/>
    <w:basedOn w:val="Normal"/>
    <w:next w:val="Normal"/>
    <w:uiPriority w:val="9"/>
    <w:qFormat/>
    <w:pPr>
      <w:keepNext/>
      <w:spacing w:line="264" w:lineRule="exact"/>
      <w:ind w:left="0" w:right="0"/>
      <w:jc w:val="both"/>
      <w:outlineLvl w:val="7"/>
    </w:pPr>
    <w:rPr>
      <w:rFonts w:cs="FrankRuehl"/>
      <w:b/>
      <w:bCs/>
      <w:sz w:val="28"/>
      <w:szCs w:val="28"/>
    </w:rPr>
  </w:style>
  <w:style w:type="paragraph" w:styleId="Heading9">
    <w:name w:val="heading 9"/>
    <w:basedOn w:val="Normal"/>
    <w:next w:val="Normal"/>
    <w:uiPriority w:val="9"/>
    <w:qFormat/>
    <w:pPr>
      <w:keepNext/>
      <w:spacing w:before="240" w:after="120" w:line="264" w:lineRule="exact"/>
      <w:ind w:left="0" w:right="0"/>
      <w:jc w:val="both"/>
      <w:outlineLvl w:val="8"/>
    </w:pPr>
    <w:rPr>
      <w:b/>
      <w:bCs/>
    </w:rPr>
  </w:style>
  <w:style w:type="character" w:default="1" w:styleId="DefaultParagraphFont">
    <w:name w:val="Default Paragraph Font"/>
    <w:semiHidden/>
  </w:style>
  <w:style w:type="paragraph" w:styleId="Title">
    <w:name w:val="Title"/>
    <w:basedOn w:val="Normal"/>
    <w:uiPriority w:val="10"/>
    <w:qFormat/>
    <w:pPr>
      <w:ind w:left="0" w:right="0"/>
      <w:jc w:val="center"/>
    </w:pPr>
    <w:rPr>
      <w:b/>
      <w:bCs/>
      <w:u w:val="single"/>
    </w:rPr>
  </w:style>
  <w:style w:type="paragraph" w:customStyle="1" w:styleId="Heading10">
    <w:name w:val="Heading 1_0"/>
    <w:basedOn w:val="Normal"/>
    <w:next w:val="Normal"/>
    <w:pPr>
      <w:spacing w:before="240" w:after="480" w:line="288" w:lineRule="auto"/>
      <w:ind w:left="0" w:right="0"/>
      <w:jc w:val="center"/>
    </w:pPr>
    <w:rPr>
      <w:b/>
      <w:bCs/>
      <w:sz w:val="32"/>
      <w:szCs w:val="36"/>
      <w:u w:val="single"/>
    </w:rPr>
  </w:style>
  <w:style w:type="paragraph" w:customStyle="1" w:styleId="Heading20">
    <w:name w:val="Heading 2_0"/>
    <w:basedOn w:val="Normal"/>
    <w:next w:val="Normal"/>
    <w:pPr>
      <w:spacing w:before="100" w:beforeAutospacing="1" w:after="240" w:line="264" w:lineRule="auto"/>
      <w:ind w:left="0" w:right="0"/>
      <w:jc w:val="center"/>
    </w:pPr>
    <w:rPr>
      <w:b/>
      <w:bCs/>
      <w:sz w:val="28"/>
      <w:szCs w:val="32"/>
    </w:rPr>
  </w:style>
  <w:style w:type="paragraph" w:customStyle="1" w:styleId="Heading30">
    <w:name w:val="Heading 3_0"/>
    <w:basedOn w:val="Normal"/>
    <w:next w:val="Normal"/>
    <w:pPr>
      <w:spacing w:before="100" w:beforeAutospacing="1" w:line="288" w:lineRule="auto"/>
      <w:ind w:left="0" w:right="0"/>
      <w:jc w:val="left"/>
    </w:pPr>
    <w:rPr>
      <w:b/>
      <w:bCs/>
      <w:sz w:val="24"/>
      <w:szCs w:val="28"/>
      <w:u w:val="single"/>
    </w:rPr>
  </w:style>
  <w:style w:type="paragraph" w:customStyle="1" w:styleId="Heading40">
    <w:name w:val="Heading 4_0"/>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spacing w:line="220" w:lineRule="exact"/>
      <w:ind w:left="567" w:right="0" w:hanging="567"/>
      <w:jc w:val="both"/>
    </w:pPr>
    <w:rPr>
      <w:sz w:val="20"/>
      <w:szCs w:val="18"/>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NAME">
    <w:name w:val="NAME"/>
    <w:basedOn w:val="Normal"/>
    <w:pPr>
      <w:widowControl/>
      <w:pBdr>
        <w:bottom w:val="single" w:sz="4" w:space="6" w:color="auto"/>
      </w:pBdr>
      <w:ind w:left="0" w:right="0"/>
      <w:jc w:val="right"/>
      <w:outlineLvl w:val="0"/>
    </w:pPr>
    <w:rPr>
      <w:sz w:val="44"/>
      <w:szCs w:val="44"/>
    </w:rPr>
  </w:style>
  <w:style w:type="paragraph" w:customStyle="1" w:styleId="KOT1">
    <w:name w:val="KOT1"/>
    <w:basedOn w:val="Normal"/>
    <w:pPr>
      <w:widowControl/>
      <w:spacing w:line="400" w:lineRule="exact"/>
      <w:ind w:left="0" w:right="0"/>
      <w:jc w:val="center"/>
    </w:pPr>
    <w:rPr>
      <w:b/>
      <w:bCs/>
      <w:sz w:val="36"/>
      <w:szCs w:val="36"/>
    </w:rPr>
  </w:style>
  <w:style w:type="paragraph" w:customStyle="1" w:styleId="KOT2">
    <w:name w:val="KOT2"/>
    <w:basedOn w:val="Normal"/>
    <w:pPr>
      <w:keepNext/>
      <w:widowControl/>
      <w:spacing w:after="120" w:line="320" w:lineRule="exact"/>
      <w:ind w:left="0" w:right="0"/>
      <w:jc w:val="left"/>
    </w:pPr>
    <w:rPr>
      <w:b/>
      <w:bCs/>
      <w:sz w:val="28"/>
      <w:szCs w:val="28"/>
    </w:rPr>
  </w:style>
  <w:style w:type="paragraph" w:styleId="BodyTextIndent">
    <w:name w:val="Body Text Indent"/>
    <w:basedOn w:val="Normal"/>
    <w:pPr>
      <w:widowControl/>
      <w:spacing w:line="360" w:lineRule="auto"/>
      <w:ind w:left="0" w:right="0"/>
      <w:jc w:val="both"/>
    </w:pPr>
    <w:rPr>
      <w:snapToGrid w:val="0"/>
      <w:sz w:val="20"/>
    </w:rPr>
  </w:style>
  <w:style w:type="paragraph" w:styleId="BlockText">
    <w:name w:val="Block Text"/>
    <w:basedOn w:val="Normal"/>
    <w:pPr>
      <w:widowControl/>
      <w:spacing w:line="240" w:lineRule="auto"/>
      <w:ind w:left="720" w:right="0"/>
      <w:jc w:val="both"/>
    </w:pPr>
    <w:rPr>
      <w:noProof/>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0">
    <w:name w:val="a0"/>
    <w:basedOn w:val="Normal"/>
    <w:next w:val="Header"/>
    <w:pPr>
      <w:widowControl/>
      <w:tabs>
        <w:tab w:val="center" w:pos="4153"/>
        <w:tab w:val="right" w:pos="8306"/>
      </w:tabs>
      <w:spacing w:line="240" w:lineRule="auto"/>
      <w:ind w:left="0" w:right="0"/>
      <w:jc w:val="left"/>
    </w:pPr>
    <w:rPr>
      <w:rFonts w:ascii="Arial Narrow" w:hAnsi="Arial Narrow"/>
      <w:lang w:eastAsia="en-US"/>
    </w:rPr>
  </w:style>
  <w:style w:type="paragraph" w:styleId="NormalWeb">
    <w:name w:val="Normal (Web)"/>
    <w:basedOn w:val="Normal"/>
    <w:pPr>
      <w:widowControl/>
      <w:bidi w:val="0"/>
      <w:spacing w:before="100" w:beforeAutospacing="1" w:after="100" w:afterAutospacing="1" w:line="240" w:lineRule="auto"/>
      <w:jc w:val="left"/>
    </w:pPr>
    <w:rPr>
      <w:rFonts w:cs="Times New Roman"/>
      <w:lang w:eastAsia="en-US"/>
    </w:rPr>
  </w:style>
  <w:style w:type="paragraph" w:customStyle="1" w:styleId="QtextRuler-3">
    <w:name w:val="QtextRuler-3"/>
    <w:pPr>
      <w:tabs>
        <w:tab w:val="right" w:pos="0"/>
        <w:tab w:val="right" w:pos="3169"/>
        <w:tab w:val="right" w:pos="4320"/>
        <w:tab w:val="right" w:pos="5471"/>
        <w:tab w:val="right" w:pos="6622"/>
        <w:tab w:val="right" w:pos="7778"/>
        <w:tab w:val="right" w:pos="8929"/>
      </w:tabs>
      <w:autoSpaceDE w:val="0"/>
      <w:autoSpaceDN w:val="0"/>
      <w:bidi/>
      <w:adjustRightInd w:val="0"/>
      <w:ind w:left="0" w:right="0"/>
      <w:jc w:val="right"/>
    </w:pPr>
    <w:rPr>
      <w:rFonts w:cs="Times New Roman"/>
      <w:sz w:val="24"/>
      <w:szCs w:val="24"/>
      <w:lang w:val="en-US" w:eastAsia="en-US" w:bidi="he-IL"/>
    </w:rPr>
  </w:style>
  <w:style w:type="paragraph" w:customStyle="1" w:styleId="QtextRuler-1">
    <w:name w:val="QtextRuler-1"/>
    <w:pPr>
      <w:tabs>
        <w:tab w:val="right" w:pos="431"/>
        <w:tab w:val="right" w:pos="3742"/>
        <w:tab w:val="right" w:pos="4320"/>
        <w:tab w:val="right" w:pos="5040"/>
        <w:tab w:val="right" w:pos="5618"/>
        <w:tab w:val="right" w:pos="6338"/>
        <w:tab w:val="right" w:pos="6911"/>
        <w:tab w:val="right" w:pos="7631"/>
        <w:tab w:val="right" w:pos="8209"/>
        <w:tab w:val="right" w:pos="8929"/>
        <w:tab w:val="right" w:pos="9502"/>
        <w:tab w:val="right" w:pos="10222"/>
        <w:tab w:val="right" w:pos="10800"/>
      </w:tabs>
      <w:autoSpaceDE w:val="0"/>
      <w:autoSpaceDN w:val="0"/>
      <w:bidi/>
      <w:adjustRightInd w:val="0"/>
      <w:ind w:left="0" w:right="142"/>
      <w:jc w:val="right"/>
    </w:pPr>
    <w:rPr>
      <w:rFonts w:cs="Times New Roman"/>
      <w:sz w:val="24"/>
      <w:szCs w:val="24"/>
      <w:lang w:val="en-US" w:eastAsia="en-US" w:bidi="he-IL"/>
    </w:rPr>
  </w:style>
  <w:style w:type="paragraph" w:customStyle="1" w:styleId="KOT4">
    <w:name w:val="KOT4"/>
    <w:basedOn w:val="Normal"/>
    <w:pPr>
      <w:keepNext/>
      <w:widowControl/>
      <w:spacing w:after="240" w:line="300" w:lineRule="atLeast"/>
      <w:ind w:left="0" w:right="0"/>
      <w:jc w:val="left"/>
    </w:pPr>
    <w:rPr>
      <w:rFonts w:cs="Times New Roman"/>
      <w:b/>
      <w:bCs/>
      <w:sz w:val="26"/>
      <w:szCs w:val="26"/>
      <w:lang w:eastAsia="en-US"/>
    </w:rPr>
  </w:style>
  <w:style w:type="paragraph" w:customStyle="1" w:styleId="Heading11">
    <w:name w:val="Heading 1_1"/>
    <w:basedOn w:val="Normal"/>
    <w:next w:val="Normal"/>
    <w:pPr>
      <w:spacing w:before="240" w:after="480" w:line="288" w:lineRule="auto"/>
      <w:ind w:left="0" w:right="0"/>
      <w:jc w:val="center"/>
    </w:pPr>
    <w:rPr>
      <w:b/>
      <w:bCs/>
      <w:sz w:val="32"/>
      <w:szCs w:val="36"/>
      <w:u w:val="single"/>
    </w:rPr>
  </w:style>
  <w:style w:type="paragraph" w:customStyle="1" w:styleId="Heading21">
    <w:name w:val="Heading 2_1"/>
    <w:basedOn w:val="Normal"/>
    <w:next w:val="Normal"/>
    <w:pPr>
      <w:spacing w:before="100" w:beforeAutospacing="1" w:after="240" w:line="264" w:lineRule="auto"/>
      <w:ind w:left="0" w:right="0"/>
      <w:jc w:val="center"/>
    </w:pPr>
    <w:rPr>
      <w:b/>
      <w:bCs/>
      <w:sz w:val="28"/>
      <w:szCs w:val="32"/>
    </w:rPr>
  </w:style>
  <w:style w:type="paragraph" w:customStyle="1" w:styleId="Heading31">
    <w:name w:val="Heading 3_1"/>
    <w:basedOn w:val="Normal"/>
    <w:next w:val="Normal"/>
    <w:pPr>
      <w:spacing w:before="100" w:beforeAutospacing="1" w:line="288" w:lineRule="auto"/>
      <w:ind w:left="0" w:right="0"/>
      <w:jc w:val="left"/>
    </w:pPr>
    <w:rPr>
      <w:b/>
      <w:bCs/>
      <w:szCs w:val="28"/>
      <w:u w:val="single"/>
    </w:rPr>
  </w:style>
  <w:style w:type="paragraph" w:customStyle="1" w:styleId="Heading41">
    <w:name w:val="Heading 4_1"/>
    <w:basedOn w:val="Normal"/>
    <w:next w:val="Normal"/>
    <w:pPr>
      <w:spacing w:before="100" w:beforeAutospacing="1" w:line="264" w:lineRule="auto"/>
      <w:ind w:left="0" w:right="0"/>
      <w:jc w:val="left"/>
    </w:pPr>
    <w:rPr>
      <w:b/>
      <w:bCs/>
      <w:sz w:val="22"/>
      <w:szCs w:val="26"/>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2">
    <w:name w:val="כותרת 62"/>
    <w:basedOn w:val="DefaultParagraphFont"/>
    <w:rPr>
      <w:rFonts w:ascii="Times New Roman" w:hAnsi="Times New Roman" w:cs="David"/>
      <w:color w:val="auto"/>
      <w:spacing w:val="40"/>
      <w:w w:val="100"/>
      <w:position w:val="0"/>
      <w:sz w:val="20"/>
      <w:szCs w:val="24"/>
      <w:u w:val="none"/>
    </w:rPr>
  </w:style>
  <w:style w:type="paragraph" w:styleId="BodyTextIndent2">
    <w:name w:val="Body Text Indent 2"/>
    <w:basedOn w:val="Normal"/>
    <w:pPr>
      <w:widowControl/>
      <w:tabs>
        <w:tab w:val="left" w:pos="964"/>
      </w:tabs>
      <w:spacing w:after="120" w:line="264" w:lineRule="exact"/>
      <w:ind w:left="567" w:right="0"/>
      <w:jc w:val="both"/>
    </w:pPr>
    <w:rPr>
      <w:rFonts w:cs="FrankRuehl"/>
    </w:rPr>
  </w:style>
  <w:style w:type="paragraph" w:styleId="Caption">
    <w:name w:val="caption"/>
    <w:basedOn w:val="Normal"/>
    <w:next w:val="Normal"/>
    <w:uiPriority w:val="35"/>
    <w:qFormat/>
    <w:pPr>
      <w:widowControl/>
      <w:ind w:left="0" w:right="0"/>
      <w:jc w:val="center"/>
    </w:pPr>
    <w:rPr>
      <w:sz w:val="28"/>
      <w:szCs w:val="28"/>
    </w:rPr>
  </w:style>
  <w:style w:type="paragraph" w:customStyle="1" w:styleId="a1">
    <w:name w:val="טקסט בלונים"/>
    <w:basedOn w:val="Normal"/>
    <w:semiHidden/>
    <w:pPr>
      <w:ind w:left="0" w:right="0"/>
      <w:jc w:val="both"/>
    </w:pPr>
    <w:rPr>
      <w:rFonts w:ascii="Tahoma" w:hAnsi="Tahoma" w:cs="Tahoma"/>
      <w:sz w:val="16"/>
      <w:szCs w:val="16"/>
    </w:rPr>
  </w:style>
  <w:style w:type="paragraph" w:customStyle="1" w:styleId="KOT3">
    <w:name w:val="KOT3"/>
    <w:basedOn w:val="Normal"/>
    <w:pPr>
      <w:keepNext/>
      <w:widowControl/>
      <w:tabs>
        <w:tab w:val="left" w:pos="284"/>
      </w:tabs>
      <w:spacing w:after="120" w:line="264" w:lineRule="exact"/>
      <w:ind w:left="0" w:right="0"/>
      <w:jc w:val="both"/>
    </w:pPr>
    <w:rPr>
      <w:rFonts w:ascii="Arial" w:hAnsi="Arial" w:cs="Arial"/>
      <w:b/>
      <w:bCs/>
      <w:noProof/>
      <w:color w:val="800000"/>
      <w:lang w:val="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header" Target="header5.xml"/><Relationship Id="rId6" Type="http://schemas.openxmlformats.org/officeDocument/2006/relationships/header" Target="header1.xml"/><Relationship Id="rId15" Type="http://schemas.openxmlformats.org/officeDocument/2006/relationships/footer" Target="footer3.xml"/><Relationship Id="rId5" Type="http://schemas.openxmlformats.org/officeDocument/2006/relationships/image" Target="media/image2.wmf"/><Relationship Id="rId10" Type="http://schemas.openxmlformats.org/officeDocument/2006/relationships/header" Target="header4.xml"/><Relationship Id="rId19" Type="http://schemas.openxmlformats.org/officeDocument/2006/relationships/customXml" Target="../customXml/item2.xml"/><Relationship Id="rId14" Type="http://schemas.openxmlformats.org/officeDocument/2006/relationships/header" Target="header6.xml"/><Relationship Id="rId4" Type="http://schemas.openxmlformats.org/officeDocument/2006/relationships/image" Target="media/image1.wmf"/><Relationship Id="rId9" Type="http://schemas.openxmlformats.org/officeDocument/2006/relationships/image" Target="media/image3.pn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75A8A1-2289-42D9-9F3B-1123C0D46087}"/>
</file>

<file path=customXml/itemProps2.xml><?xml version="1.0" encoding="utf-8"?>
<ds:datastoreItem xmlns:ds="http://schemas.openxmlformats.org/officeDocument/2006/customXml" ds:itemID="{E7E54949-3533-4CB5-A17E-B17F18757F07}"/>
</file>

<file path=customXml/itemProps3.xml><?xml version="1.0" encoding="utf-8"?>
<ds:datastoreItem xmlns:ds="http://schemas.openxmlformats.org/officeDocument/2006/customXml" ds:itemID="{A3DF0A2C-E66F-48B5-951C-9C34B241A6C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