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A10996" w:rsidRPr="00170230" w:rsidP="00C64CDF">
      <w:pPr>
        <w:tabs>
          <w:tab w:val="left" w:pos="340"/>
        </w:tabs>
        <w:spacing w:line="264" w:lineRule="exact"/>
        <w:ind w:left="4762"/>
        <w:rPr>
          <w:rFonts w:ascii="Tahoma" w:hAnsi="Tahoma" w:cs="Tahoma"/>
          <w:sz w:val="24"/>
          <w:szCs w:val="24"/>
          <w:rtl/>
        </w:rPr>
      </w:pPr>
      <w:bookmarkStart w:id="0" w:name="_Toc349122061"/>
      <w:bookmarkStart w:id="1" w:name="_Toc349136480"/>
      <w:bookmarkStart w:id="2" w:name="_Toc352831083"/>
      <w:bookmarkStart w:id="3" w:name="_Toc354324568"/>
      <w:bookmarkStart w:id="4" w:name="_Toc354661923"/>
      <w:r w:rsidRPr="00170230">
        <w:rPr>
          <w:rFonts w:ascii="Tahoma" w:hAnsi="Tahoma" w:cs="Tahoma"/>
          <w:b/>
          <w:bCs/>
          <w:sz w:val="24"/>
          <w:szCs w:val="24"/>
          <w:rtl/>
        </w:rPr>
        <w:t>מבקר המדינה</w:t>
      </w:r>
    </w:p>
    <w:p w:rsidR="00A10996" w:rsidP="000F056D">
      <w:pPr>
        <w:tabs>
          <w:tab w:val="left" w:pos="340"/>
        </w:tabs>
        <w:spacing w:before="120" w:line="320" w:lineRule="exact"/>
        <w:ind w:left="4763"/>
        <w:rPr>
          <w:rFonts w:ascii="Tahoma" w:hAnsi="Tahoma" w:cs="Tahoma"/>
          <w:sz w:val="22"/>
          <w:szCs w:val="22"/>
          <w:rtl/>
        </w:rPr>
      </w:pPr>
      <w:r w:rsidRPr="00B5008B">
        <w:rPr>
          <w:rFonts w:ascii="Tahoma" w:hAnsi="Tahoma" w:cs="Tahoma" w:hint="eastAsia"/>
          <w:sz w:val="22"/>
          <w:szCs w:val="22"/>
          <w:rtl/>
        </w:rPr>
        <w:t>טיפול</w:t>
      </w:r>
      <w:r w:rsidRPr="00B5008B">
        <w:rPr>
          <w:rFonts w:ascii="Tahoma" w:hAnsi="Tahoma" w:cs="Tahoma"/>
          <w:sz w:val="22"/>
          <w:szCs w:val="22"/>
          <w:rtl/>
        </w:rPr>
        <w:t xml:space="preserve"> </w:t>
      </w:r>
      <w:r w:rsidRPr="00B5008B">
        <w:rPr>
          <w:rFonts w:ascii="Tahoma" w:hAnsi="Tahoma" w:cs="Tahoma" w:hint="eastAsia"/>
          <w:sz w:val="22"/>
          <w:szCs w:val="22"/>
          <w:rtl/>
        </w:rPr>
        <w:t>המדינה</w:t>
      </w:r>
      <w:r w:rsidRPr="00B5008B">
        <w:rPr>
          <w:rFonts w:ascii="Tahoma" w:hAnsi="Tahoma" w:cs="Tahoma"/>
          <w:sz w:val="22"/>
          <w:szCs w:val="22"/>
          <w:rtl/>
        </w:rPr>
        <w:t xml:space="preserve"> </w:t>
      </w:r>
      <w:r w:rsidRPr="00B5008B">
        <w:rPr>
          <w:rFonts w:ascii="Tahoma" w:hAnsi="Tahoma" w:cs="Tahoma" w:hint="eastAsia"/>
          <w:sz w:val="22"/>
          <w:szCs w:val="22"/>
          <w:rtl/>
        </w:rPr>
        <w:t>בקשישים</w:t>
      </w:r>
      <w:r w:rsidRPr="00B5008B">
        <w:rPr>
          <w:rFonts w:ascii="Tahoma" w:hAnsi="Tahoma" w:cs="Tahoma"/>
          <w:sz w:val="22"/>
          <w:szCs w:val="22"/>
          <w:rtl/>
        </w:rPr>
        <w:t xml:space="preserve"> </w:t>
      </w:r>
      <w:r w:rsidRPr="00B5008B">
        <w:rPr>
          <w:rFonts w:ascii="Tahoma" w:hAnsi="Tahoma" w:cs="Tahoma" w:hint="eastAsia"/>
          <w:sz w:val="22"/>
          <w:szCs w:val="22"/>
          <w:rtl/>
        </w:rPr>
        <w:t>סיעודיים</w:t>
      </w:r>
      <w:r w:rsidRPr="00B5008B">
        <w:rPr>
          <w:rFonts w:ascii="Tahoma" w:hAnsi="Tahoma" w:cs="Tahoma"/>
          <w:sz w:val="22"/>
          <w:szCs w:val="22"/>
          <w:rtl/>
        </w:rPr>
        <w:t xml:space="preserve"> </w:t>
      </w:r>
      <w:r w:rsidRPr="00B5008B">
        <w:rPr>
          <w:rFonts w:ascii="Tahoma" w:hAnsi="Tahoma" w:cs="Tahoma" w:hint="eastAsia"/>
          <w:sz w:val="22"/>
          <w:szCs w:val="22"/>
          <w:rtl/>
        </w:rPr>
        <w:t>השוהים</w:t>
      </w:r>
      <w:r w:rsidRPr="00B5008B">
        <w:rPr>
          <w:rFonts w:ascii="Tahoma" w:hAnsi="Tahoma" w:cs="Tahoma"/>
          <w:sz w:val="22"/>
          <w:szCs w:val="22"/>
          <w:rtl/>
        </w:rPr>
        <w:t xml:space="preserve"> </w:t>
      </w:r>
      <w:r w:rsidRPr="00B5008B">
        <w:rPr>
          <w:rFonts w:ascii="Tahoma" w:hAnsi="Tahoma" w:cs="Tahoma" w:hint="eastAsia"/>
          <w:sz w:val="22"/>
          <w:szCs w:val="22"/>
          <w:rtl/>
        </w:rPr>
        <w:t>בביתם</w:t>
      </w:r>
    </w:p>
    <w:p w:rsidR="00A10996" w:rsidP="000F056D">
      <w:pPr>
        <w:bidi w:val="0"/>
        <w:spacing w:line="312" w:lineRule="auto"/>
        <w:rPr>
          <w:w w:val="80"/>
        </w:rPr>
      </w:pPr>
      <w:r>
        <w:rPr>
          <w:w w:val="80"/>
        </w:rPr>
        <w:br w:type="page"/>
      </w:r>
    </w:p>
    <w:p w:rsidR="00A10996" w:rsidRPr="0097737E" w:rsidP="00E077B7">
      <w:pPr>
        <w:rPr>
          <w:w w:val="80"/>
          <w:rtl/>
        </w:rPr>
      </w:pPr>
    </w:p>
    <w:p w:rsidR="006C5F46" w:rsidP="00E077B7">
      <w:pPr>
        <w:rPr>
          <w:szCs w:val="22"/>
          <w:rtl/>
        </w:rPr>
        <w:sectPr w:rsidSect="003B4D44">
          <w:headerReference w:type="default" r:id="rId6"/>
          <w:pgSz w:w="11906" w:h="16838" w:code="9"/>
          <w:pgMar w:top="3402" w:right="1701" w:bottom="2835" w:left="1701" w:header="1559" w:footer="709" w:gutter="0"/>
          <w:cols w:space="708"/>
          <w:titlePg/>
          <w:bidi/>
          <w:rtlGutter/>
          <w:docGrid w:linePitch="360"/>
        </w:sectPr>
      </w:pPr>
    </w:p>
    <w:p w:rsidR="001E2CC9" w:rsidRPr="00170230" w:rsidP="00A10996">
      <w:pPr>
        <w:spacing w:line="240" w:lineRule="atLeast"/>
        <w:jc w:val="center"/>
        <w:rPr>
          <w:rFonts w:ascii="Tahoma" w:hAnsi="Tahoma" w:cs="Tahoma"/>
          <w:sz w:val="20"/>
          <w:szCs w:val="18"/>
        </w:rPr>
      </w:pPr>
      <w:r>
        <w:rPr>
          <w:rFonts w:ascii="Tahoma" w:hAnsi="Tahoma" w:cs="Tahoma"/>
          <w:noProof/>
          <w:sz w:val="20"/>
          <w:szCs w:val="18"/>
        </w:rPr>
        <w:drawing>
          <wp:inline distT="0" distB="0" distL="0" distR="0">
            <wp:extent cx="658369" cy="810770"/>
            <wp:effectExtent l="0" t="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870037" name="israel-blue.1.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658369" cy="810770"/>
                    </a:xfrm>
                    <a:prstGeom prst="rect">
                      <a:avLst/>
                    </a:prstGeom>
                  </pic:spPr>
                </pic:pic>
              </a:graphicData>
            </a:graphic>
          </wp:inline>
        </w:drawing>
      </w:r>
    </w:p>
    <w:p w:rsidR="00A10996" w:rsidRPr="00A10996" w:rsidP="00A10996">
      <w:pPr>
        <w:spacing w:before="120" w:after="0" w:line="312" w:lineRule="auto"/>
        <w:jc w:val="center"/>
        <w:rPr>
          <w:rFonts w:ascii="Tahoma" w:hAnsi="Tahoma" w:cs="Tahoma"/>
          <w:sz w:val="28"/>
          <w:szCs w:val="28"/>
          <w:rtl/>
        </w:rPr>
      </w:pPr>
      <w:r w:rsidRPr="00A10996">
        <w:rPr>
          <w:rFonts w:ascii="Tahoma" w:hAnsi="Tahoma" w:cs="Tahoma"/>
          <w:sz w:val="28"/>
          <w:szCs w:val="28"/>
          <w:rtl/>
        </w:rPr>
        <w:t>מבקר המדינה</w:t>
      </w:r>
    </w:p>
    <w:p w:rsidR="00C64CDF" w:rsidRPr="00C64CDF" w:rsidP="000F056D">
      <w:pPr>
        <w:spacing w:before="2040" w:after="0" w:line="240" w:lineRule="auto"/>
        <w:jc w:val="center"/>
        <w:rPr>
          <w:rFonts w:ascii="Tahoma" w:hAnsi="Tahoma" w:cs="Tahoma"/>
          <w:color w:val="2A2AA6"/>
          <w:sz w:val="52"/>
          <w:szCs w:val="52"/>
          <w:rtl/>
        </w:rPr>
      </w:pPr>
      <w:r w:rsidRPr="000F056D">
        <w:rPr>
          <w:rFonts w:ascii="Tahoma" w:hAnsi="Tahoma" w:cs="Tahoma" w:hint="cs"/>
          <w:color w:val="2A2AA6"/>
          <w:sz w:val="32"/>
          <w:szCs w:val="32"/>
          <w:rtl/>
        </w:rPr>
        <w:t xml:space="preserve">דוח ביקורת </w:t>
      </w:r>
      <w:r w:rsidRPr="000F056D" w:rsidR="00F64810">
        <w:rPr>
          <w:rFonts w:ascii="Tahoma" w:hAnsi="Tahoma" w:cs="Tahoma" w:hint="cs"/>
          <w:color w:val="2A2AA6"/>
          <w:sz w:val="32"/>
          <w:szCs w:val="32"/>
          <w:rtl/>
        </w:rPr>
        <w:t>מיוחד</w:t>
      </w:r>
    </w:p>
    <w:p w:rsidR="00C64CDF" w:rsidRPr="00C64CDF" w:rsidP="00784E98">
      <w:pPr>
        <w:pStyle w:val="tab-name"/>
        <w:spacing w:before="120" w:line="240" w:lineRule="atLeast"/>
        <w:jc w:val="center"/>
        <w:rPr>
          <w:color w:val="2A2AA6"/>
          <w:sz w:val="32"/>
          <w:szCs w:val="32"/>
          <w:rtl/>
        </w:rPr>
      </w:pPr>
      <w:r w:rsidRPr="000F056D">
        <w:rPr>
          <w:rFonts w:hint="eastAsia"/>
          <w:color w:val="2A2AA6"/>
          <w:sz w:val="52"/>
          <w:szCs w:val="52"/>
          <w:rtl/>
        </w:rPr>
        <w:t>טיפול</w:t>
      </w:r>
      <w:r w:rsidRPr="000F056D">
        <w:rPr>
          <w:color w:val="2A2AA6"/>
          <w:sz w:val="52"/>
          <w:szCs w:val="52"/>
          <w:rtl/>
        </w:rPr>
        <w:t xml:space="preserve"> </w:t>
      </w:r>
      <w:r w:rsidRPr="000F056D">
        <w:rPr>
          <w:rFonts w:hint="eastAsia"/>
          <w:color w:val="2A2AA6"/>
          <w:sz w:val="52"/>
          <w:szCs w:val="52"/>
          <w:rtl/>
        </w:rPr>
        <w:t>המדינה</w:t>
      </w:r>
      <w:r w:rsidRPr="000F056D">
        <w:rPr>
          <w:color w:val="2A2AA6"/>
          <w:sz w:val="52"/>
          <w:szCs w:val="52"/>
          <w:rtl/>
        </w:rPr>
        <w:t xml:space="preserve"> </w:t>
      </w:r>
      <w:r w:rsidRPr="000F056D">
        <w:rPr>
          <w:rFonts w:hint="eastAsia"/>
          <w:color w:val="2A2AA6"/>
          <w:sz w:val="52"/>
          <w:szCs w:val="52"/>
          <w:rtl/>
        </w:rPr>
        <w:t>בקשישים</w:t>
      </w:r>
      <w:r w:rsidRPr="000F056D">
        <w:rPr>
          <w:color w:val="2A2AA6"/>
          <w:sz w:val="52"/>
          <w:szCs w:val="52"/>
          <w:rtl/>
        </w:rPr>
        <w:t xml:space="preserve"> </w:t>
      </w:r>
      <w:r w:rsidRPr="000F056D">
        <w:rPr>
          <w:rFonts w:hint="eastAsia"/>
          <w:color w:val="2A2AA6"/>
          <w:sz w:val="52"/>
          <w:szCs w:val="52"/>
          <w:rtl/>
        </w:rPr>
        <w:t>סיעודיים</w:t>
      </w:r>
      <w:r w:rsidRPr="000F056D">
        <w:rPr>
          <w:color w:val="2A2AA6"/>
          <w:sz w:val="52"/>
          <w:szCs w:val="52"/>
          <w:rtl/>
        </w:rPr>
        <w:t xml:space="preserve"> </w:t>
      </w:r>
      <w:r w:rsidRPr="000F056D">
        <w:rPr>
          <w:rFonts w:hint="eastAsia"/>
          <w:color w:val="2A2AA6"/>
          <w:sz w:val="52"/>
          <w:szCs w:val="52"/>
          <w:rtl/>
        </w:rPr>
        <w:t>השוהים</w:t>
      </w:r>
      <w:r w:rsidRPr="000F056D">
        <w:rPr>
          <w:color w:val="2A2AA6"/>
          <w:sz w:val="52"/>
          <w:szCs w:val="52"/>
          <w:rtl/>
        </w:rPr>
        <w:t xml:space="preserve"> </w:t>
      </w:r>
      <w:r w:rsidRPr="000F056D">
        <w:rPr>
          <w:rFonts w:hint="eastAsia"/>
          <w:color w:val="2A2AA6"/>
          <w:sz w:val="52"/>
          <w:szCs w:val="52"/>
          <w:rtl/>
        </w:rPr>
        <w:t>בביתם</w:t>
      </w:r>
    </w:p>
    <w:p w:rsidR="00A10996" w:rsidP="000F056D">
      <w:pPr>
        <w:spacing w:before="3720" w:line="240" w:lineRule="atLeast"/>
        <w:jc w:val="center"/>
        <w:rPr>
          <w:rFonts w:ascii="Tahoma" w:hAnsi="Tahoma" w:cs="Tahoma"/>
          <w:sz w:val="24"/>
          <w:szCs w:val="24"/>
        </w:rPr>
      </w:pPr>
      <w:r>
        <w:rPr>
          <w:rFonts w:ascii="Tahoma" w:hAnsi="Tahoma" w:cs="Tahoma"/>
          <w:noProof/>
          <w:sz w:val="24"/>
          <w:szCs w:val="24"/>
        </w:rPr>
        <w:drawing>
          <wp:inline distT="0" distB="0" distL="0" distR="0">
            <wp:extent cx="771146" cy="505969"/>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577948" name="logo-new.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1146" cy="505969"/>
                    </a:xfrm>
                    <a:prstGeom prst="rect">
                      <a:avLst/>
                    </a:prstGeom>
                  </pic:spPr>
                </pic:pic>
              </a:graphicData>
            </a:graphic>
          </wp:inline>
        </w:drawing>
      </w:r>
    </w:p>
    <w:p w:rsidR="006C5F46" w:rsidP="009B355B">
      <w:pPr>
        <w:spacing w:after="0" w:line="240" w:lineRule="auto"/>
        <w:jc w:val="center"/>
        <w:rPr>
          <w:rFonts w:ascii="Tahoma" w:hAnsi="Tahoma" w:cs="Tahoma"/>
          <w:sz w:val="22"/>
          <w:szCs w:val="22"/>
        </w:rPr>
      </w:pPr>
      <w:r w:rsidRPr="00A10996">
        <w:rPr>
          <w:rFonts w:ascii="Tahoma" w:hAnsi="Tahoma" w:cs="Tahoma"/>
          <w:sz w:val="22"/>
          <w:szCs w:val="22"/>
          <w:rtl/>
        </w:rPr>
        <w:t xml:space="preserve">ירושלים, </w:t>
      </w:r>
      <w:r w:rsidR="00B5008B">
        <w:rPr>
          <w:rFonts w:ascii="Tahoma" w:hAnsi="Tahoma" w:cs="Tahoma" w:hint="cs"/>
          <w:sz w:val="22"/>
          <w:szCs w:val="22"/>
          <w:rtl/>
        </w:rPr>
        <w:t>תשרי</w:t>
      </w:r>
      <w:r w:rsidRPr="00A10996">
        <w:rPr>
          <w:rFonts w:ascii="Tahoma" w:hAnsi="Tahoma" w:cs="Tahoma"/>
          <w:sz w:val="22"/>
          <w:szCs w:val="22"/>
          <w:rtl/>
        </w:rPr>
        <w:t xml:space="preserve"> </w:t>
      </w:r>
      <w:r w:rsidRPr="00A10996">
        <w:rPr>
          <w:rFonts w:ascii="Tahoma" w:hAnsi="Tahoma" w:cs="Tahoma"/>
          <w:sz w:val="22"/>
          <w:szCs w:val="22"/>
          <w:rtl/>
        </w:rPr>
        <w:t>התשע"</w:t>
      </w:r>
      <w:r w:rsidR="00B5008B">
        <w:rPr>
          <w:rFonts w:ascii="Tahoma" w:hAnsi="Tahoma" w:cs="Tahoma" w:hint="cs"/>
          <w:sz w:val="22"/>
          <w:szCs w:val="22"/>
          <w:rtl/>
        </w:rPr>
        <w:t>ח</w:t>
      </w:r>
      <w:r w:rsidRPr="00A10996">
        <w:rPr>
          <w:rFonts w:ascii="Tahoma" w:hAnsi="Tahoma" w:cs="Tahoma"/>
          <w:sz w:val="22"/>
          <w:szCs w:val="22"/>
          <w:rtl/>
        </w:rPr>
        <w:t xml:space="preserve">, </w:t>
      </w:r>
      <w:r w:rsidR="00B5008B">
        <w:rPr>
          <w:rFonts w:ascii="Tahoma" w:hAnsi="Tahoma" w:cs="Tahoma" w:hint="cs"/>
          <w:sz w:val="22"/>
          <w:szCs w:val="22"/>
          <w:rtl/>
        </w:rPr>
        <w:t>אוקטובר</w:t>
      </w:r>
      <w:r w:rsidRPr="00A10996">
        <w:rPr>
          <w:rFonts w:ascii="Tahoma" w:hAnsi="Tahoma" w:cs="Tahoma"/>
          <w:sz w:val="22"/>
          <w:szCs w:val="22"/>
          <w:rtl/>
        </w:rPr>
        <w:t xml:space="preserve"> 201</w:t>
      </w:r>
      <w:r w:rsidR="004C636F">
        <w:rPr>
          <w:rFonts w:ascii="Tahoma" w:hAnsi="Tahoma" w:cs="Tahoma" w:hint="cs"/>
          <w:sz w:val="22"/>
          <w:szCs w:val="22"/>
          <w:rtl/>
        </w:rPr>
        <w:t>7</w:t>
      </w:r>
    </w:p>
    <w:p w:rsidR="00395740" w:rsidRPr="009B355B" w:rsidP="009B355B">
      <w:pPr>
        <w:spacing w:after="0" w:line="240" w:lineRule="auto"/>
        <w:jc w:val="center"/>
        <w:rPr>
          <w:rFonts w:ascii="Tahoma" w:hAnsi="Tahoma" w:cs="Tahoma"/>
          <w:sz w:val="22"/>
          <w:szCs w:val="22"/>
          <w:rtl/>
        </w:rPr>
        <w:sectPr w:rsidSect="00410B08">
          <w:pgSz w:w="11906" w:h="16838" w:code="9"/>
          <w:pgMar w:top="3402" w:right="1701" w:bottom="2835" w:left="1701" w:header="1559" w:footer="709" w:gutter="0"/>
          <w:cols w:space="708"/>
          <w:titlePg/>
          <w:bidi/>
          <w:rtlGutter/>
          <w:docGrid w:linePitch="360"/>
        </w:sectPr>
      </w:pPr>
    </w:p>
    <w:p w:rsidR="00A10996" w:rsidRPr="00170230" w:rsidP="005A6AAF">
      <w:pPr>
        <w:spacing w:before="8000" w:after="0" w:line="240" w:lineRule="auto"/>
        <w:jc w:val="center"/>
        <w:rPr>
          <w:rFonts w:ascii="Tahoma" w:hAnsi="Tahoma" w:cs="Tahoma"/>
          <w:sz w:val="16"/>
          <w:szCs w:val="20"/>
          <w:rtl/>
        </w:rPr>
      </w:pPr>
      <w:r w:rsidRPr="00170230">
        <w:rPr>
          <w:rFonts w:ascii="Tahoma" w:hAnsi="Tahoma" w:cs="Tahoma"/>
          <w:sz w:val="16"/>
          <w:szCs w:val="20"/>
          <w:rtl/>
        </w:rPr>
        <w:t xml:space="preserve">מס' קטלוגי </w:t>
      </w:r>
      <w:r w:rsidR="00EE568D">
        <w:rPr>
          <w:rFonts w:ascii="Tahoma" w:hAnsi="Tahoma" w:cs="Tahoma"/>
          <w:sz w:val="16"/>
          <w:szCs w:val="20"/>
        </w:rPr>
        <w:t>00</w:t>
      </w:r>
      <w:r w:rsidR="005A6AAF">
        <w:rPr>
          <w:rFonts w:ascii="Tahoma" w:hAnsi="Tahoma" w:cs="Tahoma"/>
          <w:sz w:val="16"/>
          <w:szCs w:val="20"/>
        </w:rPr>
        <w:t>7</w:t>
      </w:r>
      <w:r w:rsidRPr="00170230">
        <w:rPr>
          <w:rFonts w:ascii="Tahoma" w:hAnsi="Tahoma" w:cs="Tahoma"/>
          <w:sz w:val="16"/>
          <w:szCs w:val="20"/>
          <w:rtl/>
        </w:rPr>
        <w:t>-</w:t>
      </w:r>
      <w:r w:rsidRPr="00170230">
        <w:rPr>
          <w:rFonts w:ascii="Tahoma" w:hAnsi="Tahoma" w:cs="Tahoma"/>
          <w:sz w:val="16"/>
          <w:szCs w:val="20"/>
        </w:rPr>
        <w:t>201</w:t>
      </w:r>
      <w:r w:rsidR="004C636F">
        <w:rPr>
          <w:rFonts w:ascii="Tahoma" w:hAnsi="Tahoma" w:cs="Tahoma"/>
          <w:sz w:val="16"/>
          <w:szCs w:val="20"/>
        </w:rPr>
        <w:t>7</w:t>
      </w:r>
    </w:p>
    <w:p w:rsidR="00A10996" w:rsidRPr="00170230" w:rsidP="00EE568D">
      <w:pPr>
        <w:spacing w:after="0" w:line="240" w:lineRule="auto"/>
        <w:jc w:val="center"/>
        <w:rPr>
          <w:rFonts w:ascii="Tahoma" w:hAnsi="Tahoma" w:cs="Tahoma"/>
          <w:sz w:val="16"/>
          <w:szCs w:val="18"/>
        </w:rPr>
      </w:pPr>
      <w:r w:rsidRPr="00EE568D">
        <w:rPr>
          <w:rFonts w:ascii="Tahoma" w:hAnsi="Tahoma" w:cs="Tahoma"/>
          <w:sz w:val="16"/>
          <w:szCs w:val="16"/>
        </w:rPr>
        <w:t>ISSN</w:t>
      </w:r>
      <w:r w:rsidRPr="00EE568D">
        <w:rPr>
          <w:rFonts w:ascii="Tahoma" w:hAnsi="Tahoma" w:cs="Tahoma"/>
          <w:sz w:val="16"/>
          <w:szCs w:val="18"/>
        </w:rPr>
        <w:t xml:space="preserve"> </w:t>
      </w:r>
      <w:r w:rsidRPr="00EE568D" w:rsidR="00EE568D">
        <w:rPr>
          <w:rFonts w:ascii="Tahoma" w:hAnsi="Tahoma" w:cs="Tahoma"/>
          <w:sz w:val="16"/>
          <w:szCs w:val="16"/>
        </w:rPr>
        <w:t>0793-1948</w:t>
      </w:r>
    </w:p>
    <w:p w:rsidR="00A10996" w:rsidRPr="00170230" w:rsidP="00A10996">
      <w:pPr>
        <w:spacing w:after="0" w:line="240" w:lineRule="auto"/>
        <w:jc w:val="center"/>
        <w:rPr>
          <w:rFonts w:ascii="Tahoma" w:hAnsi="Tahoma" w:cs="Tahoma"/>
          <w:sz w:val="20"/>
          <w:szCs w:val="20"/>
        </w:rPr>
      </w:pPr>
    </w:p>
    <w:p w:rsidR="00A10996" w:rsidRPr="00170230" w:rsidP="00A10996">
      <w:pPr>
        <w:spacing w:after="0" w:line="240" w:lineRule="auto"/>
        <w:jc w:val="center"/>
        <w:rPr>
          <w:rFonts w:ascii="Tahoma" w:hAnsi="Tahoma" w:cs="Tahoma"/>
          <w:sz w:val="18"/>
          <w:szCs w:val="18"/>
          <w:rtl/>
        </w:rPr>
      </w:pPr>
      <w:r w:rsidRPr="00170230">
        <w:rPr>
          <w:rFonts w:ascii="Tahoma" w:hAnsi="Tahoma" w:cs="Tahoma"/>
          <w:sz w:val="18"/>
          <w:szCs w:val="18"/>
          <w:rtl/>
        </w:rPr>
        <w:t xml:space="preserve">דוח זה מובא גם באתר האינטרנט של </w:t>
      </w:r>
      <w:r w:rsidRPr="00170230">
        <w:rPr>
          <w:rFonts w:ascii="Tahoma" w:hAnsi="Tahoma" w:cs="Tahoma"/>
          <w:sz w:val="18"/>
          <w:szCs w:val="18"/>
        </w:rPr>
        <w:br/>
      </w:r>
      <w:r w:rsidRPr="00170230">
        <w:rPr>
          <w:rFonts w:ascii="Tahoma" w:hAnsi="Tahoma" w:cs="Tahoma"/>
          <w:sz w:val="18"/>
          <w:szCs w:val="18"/>
          <w:rtl/>
        </w:rPr>
        <w:t>משרד מבקר המדינה</w:t>
      </w:r>
    </w:p>
    <w:p w:rsidR="00A10996" w:rsidRPr="00170230" w:rsidP="00A10996">
      <w:pPr>
        <w:spacing w:after="0" w:line="240" w:lineRule="auto"/>
        <w:jc w:val="center"/>
        <w:rPr>
          <w:rFonts w:ascii="Tahoma" w:hAnsi="Tahoma" w:cs="Tahoma"/>
          <w:sz w:val="20"/>
          <w:szCs w:val="20"/>
          <w:rtl/>
        </w:rPr>
      </w:pPr>
      <w:r w:rsidRPr="00170230">
        <w:rPr>
          <w:rFonts w:ascii="Tahoma" w:hAnsi="Tahoma" w:cs="Tahoma"/>
          <w:sz w:val="20"/>
          <w:szCs w:val="20"/>
        </w:rPr>
        <w:t>www.mevaker.gov.il</w:t>
      </w:r>
    </w:p>
    <w:p w:rsidR="00A10996" w:rsidRPr="00170230" w:rsidP="00A10996">
      <w:pPr>
        <w:spacing w:after="0" w:line="240" w:lineRule="auto"/>
        <w:jc w:val="center"/>
        <w:rPr>
          <w:rFonts w:ascii="Tahoma" w:hAnsi="Tahoma" w:cs="Tahoma"/>
          <w:sz w:val="20"/>
          <w:szCs w:val="20"/>
          <w:rtl/>
        </w:rPr>
      </w:pPr>
    </w:p>
    <w:p w:rsidR="00A10996" w:rsidRPr="00170230" w:rsidP="00A10996">
      <w:pPr>
        <w:spacing w:after="0" w:line="240" w:lineRule="auto"/>
        <w:jc w:val="center"/>
        <w:rPr>
          <w:rFonts w:ascii="Tahoma" w:hAnsi="Tahoma" w:cs="Tahoma"/>
          <w:sz w:val="18"/>
          <w:szCs w:val="18"/>
          <w:rtl/>
        </w:rPr>
      </w:pPr>
      <w:r w:rsidRPr="00170230">
        <w:rPr>
          <w:rFonts w:ascii="Tahoma" w:hAnsi="Tahoma" w:cs="Tahoma"/>
          <w:sz w:val="18"/>
          <w:szCs w:val="18"/>
          <w:rtl/>
        </w:rPr>
        <w:t xml:space="preserve">סדר: </w:t>
      </w:r>
      <w:r w:rsidRPr="00170230">
        <w:rPr>
          <w:rFonts w:ascii="Tahoma" w:hAnsi="Tahoma" w:cs="Tahoma"/>
          <w:sz w:val="18"/>
          <w:szCs w:val="18"/>
          <w:rtl/>
        </w:rPr>
        <w:t>אונית</w:t>
      </w:r>
      <w:r w:rsidRPr="00170230">
        <w:rPr>
          <w:rFonts w:ascii="Tahoma" w:hAnsi="Tahoma" w:cs="Tahoma"/>
          <w:sz w:val="18"/>
          <w:szCs w:val="18"/>
          <w:rtl/>
        </w:rPr>
        <w:t xml:space="preserve"> שירותי מחשב בע"מ</w:t>
      </w:r>
    </w:p>
    <w:p w:rsidR="00D70CA7" w:rsidRPr="00CF3645" w:rsidP="006C5F46">
      <w:pPr>
        <w:pStyle w:val="Footer"/>
        <w:spacing w:after="120" w:line="230" w:lineRule="exact"/>
        <w:jc w:val="both"/>
        <w:rPr>
          <w:rFonts w:ascii="Tahoma" w:hAnsi="Tahoma" w:cs="Tahoma"/>
          <w:color w:val="2A2AA6"/>
          <w:szCs w:val="22"/>
          <w:rtl/>
        </w:rPr>
      </w:pPr>
    </w:p>
    <w:p w:rsidR="006C5F46" w:rsidP="003D09D3">
      <w:pPr>
        <w:pStyle w:val="KOT4"/>
        <w:rPr>
          <w:rtl/>
        </w:rPr>
        <w:sectPr w:rsidSect="00410B08">
          <w:pgSz w:w="11906" w:h="16838" w:code="9"/>
          <w:pgMar w:top="3402" w:right="1701" w:bottom="2835" w:left="1701" w:header="1559" w:footer="709" w:gutter="0"/>
          <w:cols w:space="708"/>
          <w:titlePg/>
          <w:bidi/>
          <w:rtlGutter/>
          <w:docGrid w:linePitch="360"/>
        </w:sectPr>
      </w:pPr>
    </w:p>
    <w:p w:rsidR="00D70CA7" w:rsidRPr="00D70CA7" w:rsidP="00D9505F">
      <w:pPr>
        <w:pStyle w:val="KOT3A"/>
        <w:ind w:right="2268"/>
        <w:outlineLvl w:val="0"/>
        <w:rPr>
          <w:rFonts w:ascii="Tahoma" w:hAnsi="Tahoma" w:cs="Tahoma"/>
          <w:color w:val="2A2AA6"/>
          <w:sz w:val="20"/>
          <w:szCs w:val="24"/>
          <w:rtl/>
        </w:rPr>
      </w:pPr>
      <w:r w:rsidRPr="00D70CA7">
        <w:rPr>
          <w:rFonts w:ascii="Tahoma" w:hAnsi="Tahoma" w:cs="Tahoma"/>
          <w:color w:val="2A2AA6"/>
          <w:sz w:val="20"/>
          <w:szCs w:val="24"/>
          <w:rtl/>
        </w:rPr>
        <w:t>פתח דבר</w:t>
      </w:r>
    </w:p>
    <w:p w:rsidR="00B5008B" w:rsidRPr="00B5008B" w:rsidP="00B5008B">
      <w:pPr>
        <w:spacing w:line="340" w:lineRule="exact"/>
        <w:ind w:right="2268"/>
        <w:jc w:val="both"/>
        <w:rPr>
          <w:rFonts w:ascii="Tahoma" w:hAnsi="Tahoma" w:cs="Tahoma"/>
          <w:sz w:val="18"/>
          <w:szCs w:val="18"/>
          <w:rtl/>
        </w:rPr>
      </w:pPr>
      <w:r w:rsidRPr="00B5008B">
        <w:rPr>
          <w:rFonts w:ascii="Tahoma" w:hAnsi="Tahoma" w:cs="Tahoma"/>
          <w:b/>
          <w:bCs/>
          <w:sz w:val="18"/>
          <w:szCs w:val="18"/>
          <w:rtl/>
        </w:rPr>
        <w:t>מהפכת ההזדקנות היא מהמהפכות המשמעותיות ביותר של העידן הנוכחי, והזדקנות האוכלוסייה מציבה אתגרים משמעותיים לאנושות כולה בתחומים רבים ומגוונים.</w:t>
      </w:r>
      <w:r w:rsidRPr="00B5008B">
        <w:rPr>
          <w:rFonts w:ascii="Tahoma" w:hAnsi="Tahoma" w:cs="Tahoma"/>
          <w:sz w:val="18"/>
          <w:szCs w:val="18"/>
          <w:rtl/>
        </w:rPr>
        <w:t xml:space="preserve"> בעניין זה ציין השופט אליקים רובינשטיין, בצדק רב, כי "העלייה בתוחלת החיים היא כמובן מבורכת כשלעצמה; אותו </w:t>
      </w:r>
      <w:r w:rsidRPr="00B5008B">
        <w:rPr>
          <w:rFonts w:ascii="Tahoma" w:hAnsi="Tahoma" w:cs="Tahoma"/>
          <w:b/>
          <w:bCs/>
          <w:sz w:val="18"/>
          <w:szCs w:val="18"/>
          <w:rtl/>
        </w:rPr>
        <w:t>'בן ששים לזקנה'</w:t>
      </w:r>
      <w:r w:rsidRPr="00B5008B">
        <w:rPr>
          <w:rFonts w:ascii="Tahoma" w:hAnsi="Tahoma" w:cs="Tahoma"/>
          <w:sz w:val="18"/>
          <w:szCs w:val="18"/>
          <w:rtl/>
        </w:rPr>
        <w:t xml:space="preserve"> שבמסכת אבות במשנה (ה', כ"א) אינו מייצג עוד את גיל הזקנה האופייני, ואף לא גילאים גבוהים יותר"</w:t>
      </w:r>
      <w:r>
        <w:rPr>
          <w:rStyle w:val="FootnoteReference0"/>
          <w:rFonts w:ascii="Tahoma" w:hAnsi="Tahoma" w:cs="Tahoma"/>
          <w:sz w:val="18"/>
          <w:szCs w:val="18"/>
          <w:rtl/>
        </w:rPr>
        <w:footnoteReference w:id="2"/>
      </w:r>
      <w:r w:rsidRPr="00B5008B">
        <w:rPr>
          <w:rFonts w:ascii="Tahoma" w:hAnsi="Tahoma" w:cs="Tahoma"/>
          <w:sz w:val="18"/>
          <w:szCs w:val="18"/>
          <w:rtl/>
        </w:rPr>
        <w:t>. הנתונים מעוררי השתאות ומדברים בעד עצמם: בין השנים 1950 ל-2010 תוחלת החיים הממוצעת של אוכלוסיית העולם עלתה מ-46 שנים ל-68 שנים, והיא צפויה לעלות לכ-80 שנים עד סוף המאה הנוכחית; ובשנת 2050 - לראשונה בהיסטוריה האנושית - יהיו יותר אנשים בני 60 ומעלה מאשר ילדים.</w:t>
      </w:r>
    </w:p>
    <w:p w:rsidR="00B5008B" w:rsidRPr="00B5008B" w:rsidP="00B5008B">
      <w:pPr>
        <w:spacing w:line="340" w:lineRule="exact"/>
        <w:ind w:right="2268"/>
        <w:jc w:val="both"/>
        <w:rPr>
          <w:rFonts w:ascii="Tahoma" w:hAnsi="Tahoma" w:cs="Tahoma"/>
          <w:sz w:val="18"/>
          <w:szCs w:val="18"/>
          <w:rtl/>
        </w:rPr>
      </w:pPr>
      <w:r w:rsidRPr="00B5008B">
        <w:rPr>
          <w:rFonts w:ascii="Tahoma" w:hAnsi="Tahoma" w:cs="Tahoma"/>
          <w:sz w:val="18"/>
          <w:szCs w:val="18"/>
          <w:rtl/>
        </w:rPr>
        <w:t>הקִדמה וההתפתחות הרפואית, המדעית והטכנולוגית הביאו לעלייה ניכרת בתוחלת החיים. ואולם לצד הברכה הרבה שיש בכך, הזדקנות האוכלוסייה מציבה לפתחנו אתגר ממשי הקשור לשמירה על זכויותיהם הבסיסיות של הקשישים, ומעל הכול זכותם להזדקן בכבוד אנושי. ידועה האִמרה - "כולם רוצים אריכות ימים, אבל איש אינו רוצה להזדקן".</w:t>
      </w:r>
      <w:r w:rsidRPr="006B7EAB">
        <w:rPr>
          <w:rFonts w:ascii="Tahoma" w:hAnsi="Tahoma" w:cs="Tahoma"/>
          <w:sz w:val="18"/>
          <w:szCs w:val="18"/>
          <w:rtl/>
        </w:rPr>
        <w:t xml:space="preserve"> </w:t>
      </w:r>
      <w:r w:rsidRPr="00B5008B">
        <w:rPr>
          <w:rFonts w:ascii="Tahoma" w:hAnsi="Tahoma" w:cs="Tahoma"/>
          <w:sz w:val="18"/>
          <w:szCs w:val="18"/>
          <w:rtl/>
        </w:rPr>
        <w:t xml:space="preserve">ועדה של האו"ם קבעה כי מדי בשנה </w:t>
      </w:r>
      <w:r w:rsidRPr="00B5008B">
        <w:rPr>
          <w:rFonts w:ascii="Tahoma" w:hAnsi="Tahoma" w:cs="Tahoma"/>
          <w:sz w:val="18"/>
          <w:szCs w:val="18"/>
          <w:rtl/>
        </w:rPr>
        <w:t>בשנה</w:t>
      </w:r>
      <w:r w:rsidRPr="00B5008B">
        <w:rPr>
          <w:rFonts w:ascii="Tahoma" w:hAnsi="Tahoma" w:cs="Tahoma"/>
          <w:sz w:val="18"/>
          <w:szCs w:val="18"/>
          <w:rtl/>
        </w:rPr>
        <w:t xml:space="preserve">, ב-1 באוקטובר, יצוין יום הקשיש הבין-לאומי, על מנת להעלות על סדר היום הציבורי את נושא רווחת הקשיש והדאגה לצרכיו. דוח ביקורת מיוחד זה - המונח על שולחן הכנסת ומתפרסם לציבור - עוסק בטיפול המדינה בקשישים הסיעודיים השוהים בביתם. הממצאים המפורטים בו הם הוכחה לאתגר המשמעותי המונח לפתחה של המדינה בכל הנוגע להגשמת הזכות הבסיסית להזדקן בכבוד אנושי. לצערי הרב, התמונה העולה מדוח זה מדאיגה ביותר. הדוח מצביע על שורה ארוכה של ליקויים משמעותיים בתחום הטיפול הסיעודי הניתן לקשישים והסיוע לבני משפחותיהם. </w:t>
      </w:r>
    </w:p>
    <w:p w:rsidR="00B5008B" w:rsidRPr="00B5008B" w:rsidP="00B5008B">
      <w:pPr>
        <w:spacing w:line="340" w:lineRule="exact"/>
        <w:ind w:right="2268"/>
        <w:jc w:val="both"/>
        <w:rPr>
          <w:rFonts w:ascii="Tahoma" w:hAnsi="Tahoma" w:cs="Tahoma"/>
          <w:sz w:val="18"/>
          <w:szCs w:val="18"/>
          <w:rtl/>
        </w:rPr>
      </w:pPr>
      <w:r w:rsidRPr="00B5008B">
        <w:rPr>
          <w:rFonts w:ascii="Tahoma" w:hAnsi="Tahoma" w:cs="Tahoma"/>
          <w:sz w:val="18"/>
          <w:szCs w:val="18"/>
          <w:rtl/>
        </w:rPr>
        <w:t xml:space="preserve">אציין כי בביקורת מיוחדת זו נעשה שימוש בכלי ביקורת חדשני, ייחודי ופורץ דרך - שיתוף ציבור. מטרת שיתוף הציבור הייתה לעמוד באופן בלתי אמצעי על נקודת ראותו של הציבור בכל הנוגע לטיפול הניתן לקשישים הסיעודיים ולנטל שנושאים בו בני המשפחה המטפלים בהם. בתהליך שיתוף הציבור, שאליו </w:t>
      </w:r>
      <w:r w:rsidRPr="00B5008B">
        <w:rPr>
          <w:rFonts w:ascii="Tahoma" w:hAnsi="Tahoma" w:cs="Tahoma"/>
          <w:sz w:val="18"/>
          <w:szCs w:val="18"/>
          <w:rtl/>
        </w:rPr>
        <w:t>נחשפו כ-300,000 איש, ו-687 איש השתתפו בו באופן פעיל, נעשה שימוש משולב בכלי שיתוף איכותניים וכלי שיתוף כמותניים. במסגרת התהליך התקיימו מפגשים בלתי אמצעיים עם קשישים ובני משפחותיהם, וצוות הביקורת שמע ממקור ראשון על הקשיים שהם חווים. השימוש בכלי חדשני זה נעשה בהתאם למדיניות שקבעתי, ולפיה שיתוף הציבור בעבודת ביקורת המדינה אינו מתמצה בפרסום ממצאי הביקורת לציבור. תפיסה זו, ההולכת ומשתרשת בעולם בשנים האחרונות, גורסת כי שיתוף הציבור במגוון שלבים של עבודת הביקורת מועיל רבות למוסדות ביקורת המדינה, וכן תורם להגברת האחריות הציבורית של עובדי הציבור ונבחריו.</w:t>
      </w:r>
      <w:r w:rsidRPr="00B5008B">
        <w:rPr>
          <w:rFonts w:ascii="Tahoma" w:eastAsia="+mn-ea" w:hAnsi="Tahoma" w:cs="Tahoma"/>
          <w:color w:val="000000"/>
          <w:sz w:val="18"/>
          <w:szCs w:val="18"/>
          <w:rtl/>
        </w:rPr>
        <w:t xml:space="preserve"> </w:t>
      </w:r>
      <w:r w:rsidRPr="00B5008B">
        <w:rPr>
          <w:rFonts w:ascii="Tahoma" w:hAnsi="Tahoma" w:cs="Tahoma"/>
          <w:sz w:val="18"/>
          <w:szCs w:val="18"/>
          <w:rtl/>
        </w:rPr>
        <w:t xml:space="preserve"> </w:t>
      </w:r>
    </w:p>
    <w:p w:rsidR="00B5008B" w:rsidRPr="00B5008B" w:rsidP="00B5008B">
      <w:pPr>
        <w:spacing w:line="340" w:lineRule="exact"/>
        <w:ind w:right="2268"/>
        <w:jc w:val="both"/>
        <w:rPr>
          <w:rFonts w:ascii="Tahoma" w:hAnsi="Tahoma" w:cs="Tahoma"/>
          <w:sz w:val="18"/>
          <w:szCs w:val="18"/>
          <w:rtl/>
        </w:rPr>
      </w:pPr>
      <w:r w:rsidRPr="00B5008B">
        <w:rPr>
          <w:rFonts w:ascii="Tahoma" w:hAnsi="Tahoma" w:cs="Tahoma"/>
          <w:sz w:val="18"/>
          <w:szCs w:val="18"/>
          <w:rtl/>
        </w:rPr>
        <w:t xml:space="preserve">החובה לדאוג לקשישים היא אחד מאדני היסוד שעליהם מושתתים החיים בחברה מוסרית ומתוקנת. הכרתן של מדינות העולם בחובה זו התבטאה בשורה ארוכה של החלטות שקיבלו האו"ם וגופים הקשורים אליו. עוד בשנת 1991 קיבלה העצרת הכללית של האו"ם החלטה בדבר </w:t>
      </w:r>
      <w:r w:rsidRPr="00B5008B">
        <w:rPr>
          <w:rFonts w:ascii="Tahoma" w:hAnsi="Tahoma" w:cs="Tahoma"/>
          <w:b/>
          <w:bCs/>
          <w:sz w:val="18"/>
          <w:szCs w:val="18"/>
          <w:rtl/>
        </w:rPr>
        <w:t>"עקרונות האומות המאוחדות לקשישים"</w:t>
      </w:r>
      <w:r>
        <w:rPr>
          <w:rStyle w:val="FootnoteReference0"/>
          <w:rFonts w:ascii="Tahoma" w:hAnsi="Tahoma" w:cs="Tahoma"/>
          <w:b/>
          <w:bCs/>
          <w:sz w:val="18"/>
          <w:szCs w:val="18"/>
          <w:rtl/>
        </w:rPr>
        <w:footnoteReference w:id="3"/>
      </w:r>
      <w:r w:rsidRPr="00B5008B">
        <w:rPr>
          <w:rFonts w:ascii="Tahoma" w:hAnsi="Tahoma" w:cs="Tahoma"/>
          <w:b/>
          <w:bCs/>
          <w:sz w:val="18"/>
          <w:szCs w:val="18"/>
          <w:rtl/>
        </w:rPr>
        <w:t>;</w:t>
      </w:r>
      <w:r w:rsidRPr="00B5008B">
        <w:rPr>
          <w:rFonts w:ascii="Tahoma" w:hAnsi="Tahoma" w:cs="Tahoma"/>
          <w:sz w:val="18"/>
          <w:szCs w:val="18"/>
          <w:rtl/>
        </w:rPr>
        <w:t xml:space="preserve"> לפי החלטה זו, על המדינות החברות בארגון לקדם בחקיקה ובמדיניות הלאומית שלהן את יישום העקרונות האלה: הבטחת העצמאות של הקשיש והבטחת תנאי מחיה נאותים לקשיש; הבטחת מתן האפשרות לקשיש להשתתפות בחברה; טיפול בקשיש והשגחה עליו; מתן כלים לקשיש להגשמה עצמית; ושמירה על כבודו של הקשיש. העיסוק הרב בשנים האחרונות בזכויותיהם של הקשישים, ובייחוד ייסוד קבוצת עבודה בנושא זה על ידי העצרת הכללית של האו"ם בשנת 2010</w:t>
      </w:r>
      <w:r>
        <w:rPr>
          <w:rStyle w:val="FootnoteReference0"/>
          <w:rFonts w:ascii="Tahoma" w:hAnsi="Tahoma" w:cs="Tahoma"/>
          <w:sz w:val="18"/>
          <w:szCs w:val="18"/>
          <w:rtl/>
        </w:rPr>
        <w:footnoteReference w:id="4"/>
      </w:r>
      <w:r w:rsidRPr="00B5008B">
        <w:rPr>
          <w:rFonts w:ascii="Tahoma" w:hAnsi="Tahoma" w:cs="Tahoma"/>
          <w:sz w:val="18"/>
          <w:szCs w:val="18"/>
          <w:rtl/>
        </w:rPr>
        <w:t xml:space="preserve">, הביאו לקריאה לכינון אמנה בין-לאומית מיוחדת להגנה על זכויותיהם של קשישים. לא יהיה הימור פרוע לשער כי בשנים הקרובות אכן תנוסח אמנה כזו. </w:t>
      </w:r>
    </w:p>
    <w:p w:rsidR="00B5008B" w:rsidRPr="00B5008B" w:rsidP="00B5008B">
      <w:pPr>
        <w:spacing w:line="340" w:lineRule="exact"/>
        <w:ind w:right="2268"/>
        <w:jc w:val="both"/>
        <w:rPr>
          <w:rFonts w:ascii="Tahoma" w:hAnsi="Tahoma" w:cs="Tahoma"/>
          <w:sz w:val="18"/>
          <w:szCs w:val="18"/>
          <w:rtl/>
        </w:rPr>
      </w:pPr>
      <w:r w:rsidRPr="00B5008B">
        <w:rPr>
          <w:rFonts w:ascii="Tahoma" w:hAnsi="Tahoma" w:cs="Tahoma"/>
          <w:sz w:val="18"/>
          <w:szCs w:val="18"/>
          <w:rtl/>
        </w:rPr>
        <w:t>המאמץ הבין-לאומי בשנים האחרונות להתמודד עם הזדקנות האוכלוסייה, שגם מדינת ישראל שותפה לו, מתבטא בייחוד ב</w:t>
      </w:r>
      <w:r w:rsidRPr="00B5008B">
        <w:rPr>
          <w:rFonts w:ascii="Tahoma" w:hAnsi="Tahoma" w:cs="Tahoma"/>
          <w:b/>
          <w:bCs/>
          <w:sz w:val="18"/>
          <w:szCs w:val="18"/>
          <w:rtl/>
        </w:rPr>
        <w:t>"תכנית מדריד - תכנית פעולה בין-לאומית בנושא הזדקנות האוכלוסייה"</w:t>
      </w:r>
      <w:r w:rsidRPr="00B5008B">
        <w:rPr>
          <w:rFonts w:ascii="Tahoma" w:hAnsi="Tahoma" w:cs="Tahoma"/>
          <w:sz w:val="18"/>
          <w:szCs w:val="18"/>
          <w:rtl/>
        </w:rPr>
        <w:t xml:space="preserve">, התכנית אומצה על ידי האו"ם </w:t>
      </w:r>
      <w:r w:rsidRPr="00B5008B">
        <w:rPr>
          <w:rFonts w:ascii="Tahoma" w:hAnsi="Tahoma" w:cs="Tahoma"/>
          <w:sz w:val="18"/>
          <w:szCs w:val="18"/>
          <w:rtl/>
        </w:rPr>
        <w:t>בשנת 2002</w:t>
      </w:r>
      <w:r>
        <w:rPr>
          <w:rStyle w:val="FootnoteReference0"/>
          <w:rFonts w:ascii="Tahoma" w:hAnsi="Tahoma" w:cs="Tahoma"/>
          <w:sz w:val="18"/>
          <w:szCs w:val="18"/>
          <w:rtl/>
        </w:rPr>
        <w:footnoteReference w:id="5"/>
      </w:r>
      <w:r w:rsidRPr="00B5008B">
        <w:rPr>
          <w:rFonts w:ascii="Tahoma" w:hAnsi="Tahoma" w:cs="Tahoma"/>
          <w:sz w:val="18"/>
          <w:szCs w:val="18"/>
          <w:rtl/>
        </w:rPr>
        <w:t xml:space="preserve">. אחד מעקרונות הבסיס של תכנית הפעולה הבין-לאומית הוא </w:t>
      </w:r>
      <w:r w:rsidRPr="00B5008B">
        <w:rPr>
          <w:rFonts w:ascii="Tahoma" w:hAnsi="Tahoma" w:cs="Tahoma"/>
          <w:sz w:val="18"/>
          <w:szCs w:val="18"/>
        </w:rPr>
        <w:t>"Ageing in Place"</w:t>
      </w:r>
      <w:r w:rsidRPr="00B5008B">
        <w:rPr>
          <w:rFonts w:ascii="Tahoma" w:hAnsi="Tahoma" w:cs="Tahoma"/>
          <w:sz w:val="18"/>
          <w:szCs w:val="18"/>
          <w:rtl/>
        </w:rPr>
        <w:t xml:space="preserve"> - מתן אפשרות לקשישים להזדקן בכבוד בביתם ובסביבתם הטבעית, ואף עידודם לעשות כן. </w:t>
      </w:r>
    </w:p>
    <w:p w:rsidR="00B5008B" w:rsidRPr="00B5008B" w:rsidP="00B5008B">
      <w:pPr>
        <w:spacing w:line="340" w:lineRule="exact"/>
        <w:ind w:right="2268"/>
        <w:jc w:val="both"/>
        <w:rPr>
          <w:rFonts w:ascii="Tahoma" w:hAnsi="Tahoma" w:cs="Tahoma"/>
          <w:sz w:val="18"/>
          <w:szCs w:val="18"/>
        </w:rPr>
      </w:pPr>
      <w:r w:rsidRPr="00B5008B">
        <w:rPr>
          <w:rFonts w:ascii="Tahoma" w:hAnsi="Tahoma" w:cs="Tahoma"/>
          <w:sz w:val="18"/>
          <w:szCs w:val="18"/>
          <w:rtl/>
        </w:rPr>
        <w:t>מלבד המחויבויות הבין-לאומיות של המדינה לתמוך בקשישים ובבני משפחותיהם, חובה זו נלמדת גם ממארג הדינים הפנימי. חובת המדינה להבטיח את הזכויות הבסיסיות של קשישים הזקוקים לסיוע סיעודי נגזרת בראש ובראשונה מהזכות לכבוד, שהיא בעלת מעמד חוקתי על-חוקי. סעיף 2 לחוק-יסוד: כבוד האדם וחירותו קובע כי "אין פוגעים בחייו, בגופו, או בכבודו של אדם באשר הוא אדם". סעיף 4 לחוק יסוד: כבוד האדם וחירותו קובע</w:t>
      </w:r>
      <w:r w:rsidRPr="00B5008B">
        <w:rPr>
          <w:rFonts w:ascii="Tahoma" w:hAnsi="Tahoma" w:cs="Tahoma"/>
          <w:sz w:val="18"/>
          <w:szCs w:val="18"/>
          <w:rtl/>
        </w:rPr>
        <w:t xml:space="preserve"> </w:t>
      </w:r>
      <w:r w:rsidRPr="00B5008B">
        <w:rPr>
          <w:rFonts w:ascii="Tahoma" w:hAnsi="Tahoma" w:cs="Tahoma"/>
          <w:sz w:val="18"/>
          <w:szCs w:val="18"/>
          <w:rtl/>
        </w:rPr>
        <w:t xml:space="preserve">כי "כל אדם זכאי להגנה על חייו, על גופו ועל כבודו". על זכותם של קשישים לחיים בכבוד אנושי עמד גם בית המשפט העליון כדלהלן:  </w:t>
      </w:r>
    </w:p>
    <w:p w:rsidR="00B5008B" w:rsidRPr="00B5008B" w:rsidP="00B5008B">
      <w:pPr>
        <w:spacing w:line="340" w:lineRule="exact"/>
        <w:ind w:left="567" w:right="2268"/>
        <w:jc w:val="both"/>
        <w:rPr>
          <w:rFonts w:ascii="Tahoma" w:hAnsi="Tahoma" w:cs="Tahoma"/>
          <w:sz w:val="18"/>
          <w:szCs w:val="18"/>
          <w:rtl/>
        </w:rPr>
      </w:pPr>
      <w:r w:rsidRPr="00B5008B">
        <w:rPr>
          <w:rFonts w:ascii="Tahoma" w:hAnsi="Tahoma" w:cs="Tahoma"/>
          <w:b/>
          <w:bCs/>
          <w:sz w:val="18"/>
          <w:szCs w:val="18"/>
          <w:rtl/>
        </w:rPr>
        <w:t>"</w:t>
      </w:r>
      <w:r w:rsidRPr="00B5008B">
        <w:rPr>
          <w:rFonts w:ascii="Tahoma" w:hAnsi="Tahoma" w:cs="Tahoma"/>
          <w:sz w:val="18"/>
          <w:szCs w:val="18"/>
          <w:rtl/>
        </w:rPr>
        <w:t xml:space="preserve">הזדקנות האוכלוסייה, והעלייה המשמעותית בתוחלת החיים, מציבות בפני החברה ובפני המשפט אתגרים חדשים. עקרונות של ערבות הדדית בין-דורית, הבנויים על כיבוד האזרח המבוגר ודאגה לצרכיו, מחייבים התאמה של התבניות החברתיות והמשפטיות למציאות הדינמית המשתנה. צרכיו של האדם המבוגר משתקפים בתחומי חיים שונים, אולם הבסיסי ביותר </w:t>
      </w:r>
      <w:r w:rsidRPr="00B5008B">
        <w:rPr>
          <w:rFonts w:ascii="Tahoma" w:hAnsi="Tahoma" w:cs="Tahoma"/>
          <w:sz w:val="18"/>
          <w:szCs w:val="18"/>
          <w:rtl/>
        </w:rPr>
        <w:t>מביניהם</w:t>
      </w:r>
      <w:r w:rsidRPr="00B5008B">
        <w:rPr>
          <w:rFonts w:ascii="Tahoma" w:hAnsi="Tahoma" w:cs="Tahoma"/>
          <w:sz w:val="18"/>
          <w:szCs w:val="18"/>
          <w:rtl/>
        </w:rPr>
        <w:t xml:space="preserve"> הוא זה הנוגע לאמצעי המחיה הנותרים בידיו, שנועדו להבטיח את קיומו בכבוד לעת זקנה. הזכות לקיום בכבוד אנושי קשורה ואחוזה בזכות לקיום בכבוד כלכלי. אדם שזכותו הבסיסית לקיום כלכלי נפגעת בהגיעו לגיל מבוגר, זכותו החוקתית לכבוד אנושי עלולה להיפגע גם היא"</w:t>
      </w:r>
      <w:r>
        <w:rPr>
          <w:rStyle w:val="FootnoteReference0"/>
          <w:rFonts w:ascii="Tahoma" w:hAnsi="Tahoma" w:cs="Tahoma"/>
          <w:sz w:val="18"/>
          <w:szCs w:val="18"/>
        </w:rPr>
        <w:footnoteReference w:id="6"/>
      </w:r>
      <w:r w:rsidRPr="00B5008B">
        <w:rPr>
          <w:rFonts w:ascii="Tahoma" w:hAnsi="Tahoma" w:cs="Tahoma"/>
          <w:sz w:val="18"/>
          <w:szCs w:val="18"/>
          <w:rtl/>
        </w:rPr>
        <w:t>.</w:t>
      </w:r>
    </w:p>
    <w:p w:rsidR="00B5008B" w:rsidRPr="00B5008B" w:rsidP="00B5008B">
      <w:pPr>
        <w:spacing w:line="340" w:lineRule="exact"/>
        <w:ind w:right="2268"/>
        <w:jc w:val="both"/>
        <w:rPr>
          <w:rFonts w:ascii="Tahoma" w:hAnsi="Tahoma" w:cs="Tahoma"/>
          <w:sz w:val="18"/>
          <w:szCs w:val="18"/>
          <w:rtl/>
        </w:rPr>
      </w:pPr>
      <w:r w:rsidRPr="00B5008B">
        <w:rPr>
          <w:rFonts w:ascii="Tahoma" w:hAnsi="Tahoma" w:cs="Tahoma"/>
          <w:sz w:val="18"/>
          <w:szCs w:val="18"/>
          <w:rtl/>
        </w:rPr>
        <w:t xml:space="preserve">על מנת לממש את חובתה החוקתית לאפשר לקשיש חיים בכבוד אנושי, נוקטת המדינה מגוון אמצעים. האמצעי העיקרי הוא גמלת סיעוד שהמוסד לביטוח לאומי נותן לקשישים שנמצאו זכאים לקבלת עזרה מהמדינה עקב מצבם הסיעודי. בביקורת זו עלה כי הלכה למעשה מנגנון זה של המדינה אינו ממלא פעמים רבות את ייעודו - מתן עזרה סיעודית ראויה לקשישים הנזקקים לה. היה </w:t>
      </w:r>
      <w:r w:rsidRPr="00B5008B">
        <w:rPr>
          <w:rFonts w:ascii="Tahoma" w:hAnsi="Tahoma" w:cs="Tahoma"/>
          <w:sz w:val="18"/>
          <w:szCs w:val="18"/>
          <w:rtl/>
        </w:rPr>
        <w:t xml:space="preserve">ניתן לצפות שהקשישים הסיעודיים יקבלו טיפול סיעודי באיכות ראויה, אולם ממצאי הביקורת מלמדים על ליקויים רבים וחמורים באיכות הטיפול הביתי הניתן לכ-165,000 קשישים - ליקויים המגיעים לעתים עד כדי הזנחה. הממצאים גם מלמדים על הקושי הרב של בני המשפחה אשר נושאים בנטל הכבד הכרוך בטיפול בקשישים הסיעודיים. רשויות המדינה לא נתנו את דעתם כנדרש על הצורך לתמוך בבני המשפחה המטפלים בקשישים סיעודיים, ולמעשה זנחו והותירו את בני המשפחה להתמודד לבדם עם הנטל הכבד הכרוך בטיפול בקשישים הסיעודיים. ממצאי דוח זה מלמדים אפוא כי המדינה אינה עושה די על מנת לממש את העיקרון המרכזי של </w:t>
      </w:r>
      <w:r w:rsidRPr="00B5008B">
        <w:rPr>
          <w:rFonts w:ascii="Tahoma" w:hAnsi="Tahoma" w:cs="Tahoma"/>
          <w:b/>
          <w:bCs/>
          <w:sz w:val="18"/>
          <w:szCs w:val="18"/>
        </w:rPr>
        <w:t>"Ageing in Place"</w:t>
      </w:r>
      <w:r w:rsidRPr="00B5008B">
        <w:rPr>
          <w:rFonts w:ascii="Tahoma" w:hAnsi="Tahoma" w:cs="Tahoma"/>
          <w:sz w:val="18"/>
          <w:szCs w:val="18"/>
          <w:rtl/>
        </w:rPr>
        <w:t xml:space="preserve">, ובכך אינה ממלאת את חובתה להבטיח את זכותם של הקשישים לחיים בכבוד אנושי וכלכלי, בד בבד עם סיוע ראוי לבני משפחתם. חובה זו מעוגנת באמנות הבין-הלאומית שעליהן חתמה המדינה, במסמכים בין-לאומיים שהייתה המדינה שותפה בניסוחם, בחוק יסוד: כבוד האדם וחירותו ובפסיקותיו של בית המשפט העליון. </w:t>
      </w:r>
    </w:p>
    <w:p w:rsidR="00B5008B" w:rsidRPr="00B5008B" w:rsidP="00B5008B">
      <w:pPr>
        <w:spacing w:line="340" w:lineRule="exact"/>
        <w:ind w:right="2268"/>
        <w:jc w:val="both"/>
        <w:rPr>
          <w:rFonts w:ascii="Tahoma" w:hAnsi="Tahoma" w:cs="Tahoma"/>
          <w:sz w:val="18"/>
          <w:szCs w:val="18"/>
          <w:rtl/>
        </w:rPr>
      </w:pPr>
      <w:r w:rsidRPr="00B5008B">
        <w:rPr>
          <w:rFonts w:ascii="Tahoma" w:hAnsi="Tahoma" w:cs="Tahoma"/>
          <w:sz w:val="18"/>
          <w:szCs w:val="18"/>
          <w:rtl/>
        </w:rPr>
        <w:t>במצב דברים זה על הרשויות הרלוונטיות ללמוד דוח זה ולפעול לתיקון הליקויים העול</w:t>
      </w:r>
      <w:r w:rsidR="008B009E">
        <w:rPr>
          <w:rFonts w:ascii="Tahoma" w:hAnsi="Tahoma" w:cs="Tahoma" w:hint="cs"/>
          <w:sz w:val="18"/>
          <w:szCs w:val="18"/>
          <w:rtl/>
        </w:rPr>
        <w:t>י</w:t>
      </w:r>
      <w:r w:rsidRPr="00B5008B">
        <w:rPr>
          <w:rFonts w:ascii="Tahoma" w:hAnsi="Tahoma" w:cs="Tahoma"/>
          <w:sz w:val="18"/>
          <w:szCs w:val="18"/>
          <w:rtl/>
        </w:rPr>
        <w:t xml:space="preserve">ם ממנו, בבחינת קיום המצווה </w:t>
      </w:r>
      <w:r w:rsidRPr="00B5008B">
        <w:rPr>
          <w:rFonts w:ascii="Tahoma" w:hAnsi="Tahoma" w:cs="Tahoma"/>
          <w:b/>
          <w:bCs/>
          <w:sz w:val="18"/>
          <w:szCs w:val="18"/>
          <w:rtl/>
        </w:rPr>
        <w:t>"וְהָדַרְתָּ פְּנֵי זָקֵן"</w:t>
      </w:r>
      <w:r w:rsidRPr="00B5008B">
        <w:rPr>
          <w:rFonts w:ascii="Tahoma" w:hAnsi="Tahoma" w:cs="Tahoma"/>
          <w:sz w:val="18"/>
          <w:szCs w:val="18"/>
          <w:rtl/>
        </w:rPr>
        <w:t xml:space="preserve"> (ויקרא </w:t>
      </w:r>
      <w:r w:rsidRPr="00B5008B">
        <w:rPr>
          <w:rFonts w:ascii="Tahoma" w:hAnsi="Tahoma" w:cs="Tahoma"/>
          <w:sz w:val="18"/>
          <w:szCs w:val="18"/>
          <w:rtl/>
        </w:rPr>
        <w:t>יט</w:t>
      </w:r>
      <w:r w:rsidRPr="00B5008B">
        <w:rPr>
          <w:rFonts w:ascii="Tahoma" w:hAnsi="Tahoma" w:cs="Tahoma"/>
          <w:sz w:val="18"/>
          <w:szCs w:val="18"/>
          <w:rtl/>
        </w:rPr>
        <w:t>, לב) הלכה למעשה. כפי שציינתי בכמה הזדמנויות מאז נכנסתי לתפקידי, אני רואה במוסד מבקר המדינה ונציב תלונות הציבור גוף המגן על זכויות האדם במדינת ישראל. דוח זה, העוסק במימוש אחת הזכויות החברתיות הבסיסיות ביותר במשטר דמוקרטי - חיים בכבוד אנושי, הוא תוצאה ישירה של מדיניותי להדגיש לפני הגופים המבוקרים כי החובות של מדינת ישראל המושתתות על חוק יסוד: כבוד האדם וחירותו ועל האמנות הבין-לאומיות בתחום זכויות האדם שעליהן חתומה המדינה, אינן רק אידאל נשגב או מטרה נעלה. מדובר בחובות חוקתיות ובהתחייבויות בין-לאומיות המטילות על גופי השלטון חובות משפטיות</w:t>
      </w:r>
      <w:r w:rsidRPr="00B5008B">
        <w:rPr>
          <w:rFonts w:ascii="Tahoma" w:hAnsi="Tahoma" w:cs="Tahoma"/>
          <w:sz w:val="18"/>
          <w:szCs w:val="18"/>
        </w:rPr>
        <w:t>.</w:t>
      </w:r>
      <w:r w:rsidRPr="00B5008B">
        <w:rPr>
          <w:rFonts w:ascii="Tahoma" w:hAnsi="Tahoma" w:cs="Tahoma"/>
          <w:sz w:val="18"/>
          <w:szCs w:val="18"/>
          <w:rtl/>
        </w:rPr>
        <w:t xml:space="preserve"> למדינה יש מחויבות להקצות משאבים סבירים לשם הבטחת זכותם של הקשישים לחיות בכבוד אנושי וכלכלי, בד בבד עם סיוע ראוי לבני משפח</w:t>
      </w:r>
      <w:r w:rsidR="008B009E">
        <w:rPr>
          <w:rFonts w:ascii="Tahoma" w:hAnsi="Tahoma" w:cs="Tahoma" w:hint="cs"/>
          <w:sz w:val="18"/>
          <w:szCs w:val="18"/>
          <w:rtl/>
        </w:rPr>
        <w:t>ו</w:t>
      </w:r>
      <w:r w:rsidRPr="00B5008B">
        <w:rPr>
          <w:rFonts w:ascii="Tahoma" w:hAnsi="Tahoma" w:cs="Tahoma"/>
          <w:sz w:val="18"/>
          <w:szCs w:val="18"/>
          <w:rtl/>
        </w:rPr>
        <w:t>ת</w:t>
      </w:r>
      <w:r w:rsidR="008B009E">
        <w:rPr>
          <w:rFonts w:ascii="Tahoma" w:hAnsi="Tahoma" w:cs="Tahoma" w:hint="cs"/>
          <w:sz w:val="18"/>
          <w:szCs w:val="18"/>
          <w:rtl/>
        </w:rPr>
        <w:t>יה</w:t>
      </w:r>
      <w:r w:rsidRPr="00B5008B">
        <w:rPr>
          <w:rFonts w:ascii="Tahoma" w:hAnsi="Tahoma" w:cs="Tahoma"/>
          <w:sz w:val="18"/>
          <w:szCs w:val="18"/>
          <w:rtl/>
        </w:rPr>
        <w:t xml:space="preserve">ם של הקשישים, ולעצב מדיניות אשר תגשים מחויבות זו.  </w:t>
      </w:r>
    </w:p>
    <w:p w:rsidR="00B5008B" w:rsidRPr="00B5008B" w:rsidP="00395740">
      <w:pPr>
        <w:keepNext/>
        <w:rPr>
          <w:rFonts w:ascii="Tahoma" w:hAnsi="Tahoma" w:cs="Tahoma"/>
          <w:sz w:val="18"/>
          <w:szCs w:val="18"/>
          <w:rtl/>
        </w:rPr>
      </w:pPr>
      <w:r w:rsidRPr="00B5008B">
        <w:rPr>
          <w:rFonts w:ascii="Tahoma" w:hAnsi="Tahoma" w:cs="Tahoma"/>
          <w:sz w:val="18"/>
          <w:szCs w:val="18"/>
          <w:rtl/>
        </w:rPr>
        <w:t>שופט בית המשפט העליון ניל הנדל ציין באחת מפסיקותיו</w:t>
      </w:r>
      <w:r>
        <w:rPr>
          <w:rStyle w:val="FootnoteReference0"/>
          <w:rFonts w:ascii="Tahoma" w:hAnsi="Tahoma" w:cs="Tahoma"/>
          <w:sz w:val="18"/>
          <w:szCs w:val="18"/>
          <w:rtl/>
        </w:rPr>
        <w:footnoteReference w:id="7"/>
      </w:r>
      <w:r w:rsidRPr="00B5008B">
        <w:rPr>
          <w:rFonts w:ascii="Tahoma" w:hAnsi="Tahoma" w:cs="Tahoma"/>
          <w:sz w:val="18"/>
          <w:szCs w:val="18"/>
          <w:rtl/>
        </w:rPr>
        <w:t>:</w:t>
      </w:r>
    </w:p>
    <w:p w:rsidR="00B5008B" w:rsidRPr="009B355B" w:rsidP="00395740">
      <w:pPr>
        <w:bidi w:val="0"/>
        <w:spacing w:line="340" w:lineRule="exact"/>
        <w:ind w:left="2268" w:right="567"/>
        <w:jc w:val="both"/>
        <w:rPr>
          <w:rFonts w:ascii="Tahoma" w:hAnsi="Tahoma" w:cs="Tahoma"/>
          <w:sz w:val="18"/>
          <w:szCs w:val="18"/>
        </w:rPr>
      </w:pPr>
      <w:r w:rsidRPr="009B355B">
        <w:rPr>
          <w:rFonts w:ascii="Tahoma" w:hAnsi="Tahoma" w:cs="Tahoma"/>
          <w:sz w:val="18"/>
          <w:szCs w:val="18"/>
        </w:rPr>
        <w:t>"Aging is what we all hope for, and a</w:t>
      </w:r>
      <w:r w:rsidRPr="009B355B" w:rsidR="009B355B">
        <w:rPr>
          <w:rFonts w:ascii="Tahoma" w:hAnsi="Tahoma" w:cs="Tahoma"/>
          <w:sz w:val="18"/>
          <w:szCs w:val="18"/>
        </w:rPr>
        <w:t>ll fear. Let there be more hope and less fear".</w:t>
      </w:r>
    </w:p>
    <w:p w:rsidR="00B5008B" w:rsidRPr="00B5008B" w:rsidP="00B5008B">
      <w:pPr>
        <w:spacing w:line="340" w:lineRule="exact"/>
        <w:ind w:right="2268"/>
        <w:jc w:val="both"/>
        <w:rPr>
          <w:rFonts w:ascii="Tahoma" w:hAnsi="Tahoma" w:cs="Tahoma"/>
          <w:sz w:val="18"/>
          <w:szCs w:val="18"/>
          <w:rtl/>
        </w:rPr>
      </w:pPr>
      <w:r w:rsidRPr="00B5008B">
        <w:rPr>
          <w:rFonts w:ascii="Tahoma" w:hAnsi="Tahoma" w:cs="Tahoma"/>
          <w:sz w:val="18"/>
          <w:szCs w:val="18"/>
          <w:rtl/>
        </w:rPr>
        <w:t xml:space="preserve">אני תקווה כי פעולה ממשית ומהירה ליישום ההמלצות שבדוח ביקורת זה יבטיחו לאוכלוסיית הקשישים הסיעודיים במדינה פחות חשש מפני הזקנה, והחשוב ביותר - חיים בכבוד אנושי. </w:t>
      </w:r>
    </w:p>
    <w:p w:rsidR="00B5008B" w:rsidRPr="00B5008B" w:rsidP="00B5008B">
      <w:pPr>
        <w:spacing w:line="340" w:lineRule="exact"/>
        <w:ind w:right="2268"/>
        <w:jc w:val="both"/>
        <w:rPr>
          <w:rFonts w:ascii="Tahoma" w:hAnsi="Tahoma" w:cs="Tahoma"/>
          <w:sz w:val="18"/>
          <w:szCs w:val="18"/>
          <w:rtl/>
        </w:rPr>
      </w:pPr>
      <w:r w:rsidRPr="00B5008B">
        <w:rPr>
          <w:rFonts w:ascii="Tahoma" w:hAnsi="Tahoma" w:cs="Tahoma"/>
          <w:sz w:val="18"/>
          <w:szCs w:val="18"/>
          <w:rtl/>
        </w:rPr>
        <w:t>לו יהי כן!</w:t>
      </w:r>
    </w:p>
    <w:p w:rsidR="00B5008B" w:rsidRPr="00B5008B" w:rsidP="00B5008B">
      <w:pPr>
        <w:spacing w:line="340" w:lineRule="exact"/>
        <w:ind w:right="2268"/>
        <w:jc w:val="both"/>
        <w:rPr>
          <w:rFonts w:ascii="Tahoma" w:hAnsi="Tahoma" w:cs="Tahoma"/>
          <w:sz w:val="18"/>
          <w:szCs w:val="18"/>
        </w:rPr>
      </w:pPr>
      <w:r w:rsidRPr="00B5008B">
        <w:rPr>
          <w:rFonts w:ascii="Tahoma" w:hAnsi="Tahoma" w:cs="Tahoma"/>
          <w:sz w:val="18"/>
          <w:szCs w:val="18"/>
          <w:rtl/>
        </w:rPr>
        <w:t>ממרום גילי ובנימה אישית אומר רק זאת: הצעיר של היום הוא הקשיש של מחר.</w:t>
      </w:r>
    </w:p>
    <w:p w:rsidR="00B5008B" w:rsidRPr="00B5008B" w:rsidP="00B5008B">
      <w:pPr>
        <w:spacing w:line="340" w:lineRule="exact"/>
        <w:ind w:right="2268"/>
        <w:jc w:val="both"/>
        <w:rPr>
          <w:rFonts w:ascii="Tahoma" w:hAnsi="Tahoma" w:cs="Tahoma"/>
          <w:sz w:val="18"/>
          <w:szCs w:val="18"/>
          <w:rtl/>
        </w:rPr>
      </w:pPr>
      <w:r w:rsidRPr="00B5008B">
        <w:rPr>
          <w:rFonts w:ascii="Tahoma" w:hAnsi="Tahoma" w:cs="Tahoma"/>
          <w:sz w:val="18"/>
          <w:szCs w:val="18"/>
          <w:rtl/>
        </w:rPr>
        <w:t>בריאות טובה ועד 120!</w:t>
      </w:r>
    </w:p>
    <w:p w:rsidR="00B5008B" w:rsidRPr="00B5008B" w:rsidP="00135542">
      <w:pPr>
        <w:spacing w:line="340" w:lineRule="exact"/>
        <w:ind w:right="2268"/>
        <w:rPr>
          <w:rFonts w:ascii="Tahoma" w:hAnsi="Tahoma" w:cs="Tahoma"/>
          <w:sz w:val="18"/>
          <w:szCs w:val="18"/>
          <w:rtl/>
        </w:rPr>
      </w:pPr>
    </w:p>
    <w:p w:rsidR="00006188" w:rsidRPr="00170230" w:rsidP="00135542">
      <w:pPr>
        <w:tabs>
          <w:tab w:val="center" w:pos="4393"/>
        </w:tabs>
        <w:spacing w:line="240" w:lineRule="atLeast"/>
        <w:rPr>
          <w:rFonts w:ascii="Tahoma" w:hAnsi="Tahoma" w:cs="Tahoma"/>
          <w:sz w:val="20"/>
          <w:szCs w:val="18"/>
          <w:rtl/>
        </w:rPr>
      </w:pPr>
      <w:r>
        <w:rPr>
          <w:rFonts w:ascii="Tahoma" w:hAnsi="Tahoma" w:cs="Tahoma"/>
          <w:sz w:val="20"/>
          <w:szCs w:val="18"/>
        </w:rPr>
        <w:tab/>
      </w:r>
      <w:r>
        <w:rPr>
          <w:rFonts w:ascii="Tahoma" w:hAnsi="Tahoma" w:cs="Tahoma"/>
          <w:noProof/>
          <w:sz w:val="20"/>
          <w:szCs w:val="18"/>
          <w:rtl/>
        </w:rPr>
        <w:drawing>
          <wp:inline distT="0" distB="0" distL="0" distR="0">
            <wp:extent cx="1368000" cy="55919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094957" name="Shapira_Sign.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8000" cy="559197"/>
                    </a:xfrm>
                    <a:prstGeom prst="rect">
                      <a:avLst/>
                    </a:prstGeom>
                  </pic:spPr>
                </pic:pic>
              </a:graphicData>
            </a:graphic>
          </wp:inline>
        </w:drawing>
      </w:r>
    </w:p>
    <w:p w:rsidR="00D70CA7" w:rsidRPr="00D70CA7" w:rsidP="00135542">
      <w:pPr>
        <w:widowControl w:val="0"/>
        <w:tabs>
          <w:tab w:val="center" w:pos="4393"/>
        </w:tabs>
        <w:spacing w:after="0" w:line="280" w:lineRule="exact"/>
        <w:rPr>
          <w:rFonts w:ascii="Tahoma" w:hAnsi="Tahoma" w:cs="Tahoma"/>
          <w:b/>
          <w:bCs/>
          <w:sz w:val="18"/>
          <w:szCs w:val="18"/>
          <w:rtl/>
          <w:lang w:eastAsia="he-IL"/>
        </w:rPr>
      </w:pPr>
      <w:r w:rsidRPr="00D70CA7">
        <w:rPr>
          <w:rFonts w:ascii="Tahoma" w:hAnsi="Tahoma" w:cs="Tahoma"/>
          <w:b/>
          <w:bCs/>
          <w:sz w:val="18"/>
          <w:szCs w:val="18"/>
          <w:rtl/>
          <w:lang w:eastAsia="he-IL"/>
        </w:rPr>
        <w:tab/>
        <w:t>יוסף חיים שפירא, שופט (</w:t>
      </w:r>
      <w:r w:rsidRPr="00D70CA7">
        <w:rPr>
          <w:rFonts w:ascii="Tahoma" w:hAnsi="Tahoma" w:cs="Tahoma"/>
          <w:b/>
          <w:bCs/>
          <w:sz w:val="18"/>
          <w:szCs w:val="18"/>
          <w:rtl/>
          <w:lang w:eastAsia="he-IL"/>
        </w:rPr>
        <w:t>בדימ</w:t>
      </w:r>
      <w:r w:rsidRPr="00D70CA7">
        <w:rPr>
          <w:rFonts w:ascii="Tahoma" w:hAnsi="Tahoma" w:cs="Tahoma"/>
          <w:b/>
          <w:bCs/>
          <w:sz w:val="18"/>
          <w:szCs w:val="18"/>
          <w:rtl/>
          <w:lang w:eastAsia="he-IL"/>
        </w:rPr>
        <w:t>')</w:t>
      </w:r>
    </w:p>
    <w:p w:rsidR="00D70CA7" w:rsidRPr="00D70CA7" w:rsidP="00135542">
      <w:pPr>
        <w:widowControl w:val="0"/>
        <w:tabs>
          <w:tab w:val="center" w:pos="4393"/>
        </w:tabs>
        <w:spacing w:after="0" w:line="280" w:lineRule="exact"/>
        <w:rPr>
          <w:rFonts w:ascii="Tahoma" w:hAnsi="Tahoma" w:cs="Tahoma"/>
          <w:sz w:val="18"/>
          <w:szCs w:val="18"/>
          <w:rtl/>
          <w:lang w:eastAsia="he-IL"/>
        </w:rPr>
      </w:pPr>
      <w:r w:rsidRPr="00D70CA7">
        <w:rPr>
          <w:rFonts w:ascii="Tahoma" w:hAnsi="Tahoma" w:cs="Tahoma"/>
          <w:sz w:val="18"/>
          <w:szCs w:val="18"/>
          <w:rtl/>
          <w:lang w:eastAsia="he-IL"/>
        </w:rPr>
        <w:tab/>
        <w:t>מבקר המדינה</w:t>
      </w:r>
    </w:p>
    <w:p w:rsidR="00D70CA7" w:rsidRPr="00D70CA7" w:rsidP="00135542">
      <w:pPr>
        <w:widowControl w:val="0"/>
        <w:tabs>
          <w:tab w:val="center" w:pos="4393"/>
        </w:tabs>
        <w:spacing w:after="0" w:line="280" w:lineRule="exact"/>
        <w:rPr>
          <w:rFonts w:ascii="Tahoma" w:hAnsi="Tahoma" w:cs="Tahoma"/>
          <w:sz w:val="18"/>
          <w:szCs w:val="18"/>
          <w:rtl/>
          <w:lang w:eastAsia="he-IL"/>
        </w:rPr>
      </w:pPr>
      <w:r w:rsidRPr="00D70CA7">
        <w:rPr>
          <w:rFonts w:ascii="Tahoma" w:hAnsi="Tahoma" w:cs="Tahoma"/>
          <w:sz w:val="18"/>
          <w:szCs w:val="18"/>
          <w:rtl/>
          <w:lang w:eastAsia="he-IL"/>
        </w:rPr>
        <w:tab/>
        <w:t>ונציב תלונות הציבור</w:t>
      </w:r>
    </w:p>
    <w:p w:rsidR="00935CC6" w:rsidRPr="00170230" w:rsidP="00935CC6">
      <w:pPr>
        <w:spacing w:after="180" w:line="380" w:lineRule="exact"/>
        <w:ind w:right="2268"/>
        <w:rPr>
          <w:rFonts w:ascii="Tahoma" w:hAnsi="Tahoma" w:cs="Tahoma"/>
          <w:sz w:val="20"/>
          <w:szCs w:val="18"/>
          <w:rtl/>
        </w:rPr>
      </w:pPr>
    </w:p>
    <w:p w:rsidR="00D9505F" w:rsidRPr="00D9505F" w:rsidP="00935CC6">
      <w:pPr>
        <w:tabs>
          <w:tab w:val="left" w:pos="898"/>
        </w:tabs>
        <w:spacing w:after="0" w:line="280" w:lineRule="exact"/>
        <w:rPr>
          <w:rFonts w:ascii="Tahoma" w:hAnsi="Tahoma" w:cs="Tahoma"/>
          <w:sz w:val="16"/>
          <w:szCs w:val="16"/>
          <w:rtl/>
        </w:rPr>
      </w:pPr>
      <w:r w:rsidRPr="00D9505F">
        <w:rPr>
          <w:rFonts w:ascii="Tahoma" w:hAnsi="Tahoma" w:cs="Tahoma" w:hint="cs"/>
          <w:sz w:val="16"/>
          <w:szCs w:val="16"/>
          <w:rtl/>
        </w:rPr>
        <w:t xml:space="preserve">ירושלים, </w:t>
      </w:r>
      <w:r>
        <w:rPr>
          <w:rFonts w:ascii="Tahoma" w:hAnsi="Tahoma" w:cs="Tahoma"/>
          <w:sz w:val="16"/>
          <w:szCs w:val="16"/>
        </w:rPr>
        <w:tab/>
      </w:r>
      <w:r w:rsidR="00935CC6">
        <w:rPr>
          <w:rFonts w:ascii="Tahoma" w:hAnsi="Tahoma" w:cs="Tahoma" w:hint="cs"/>
          <w:sz w:val="16"/>
          <w:szCs w:val="16"/>
          <w:rtl/>
        </w:rPr>
        <w:t xml:space="preserve">תשרי </w:t>
      </w:r>
      <w:r w:rsidR="00935CC6">
        <w:rPr>
          <w:rFonts w:ascii="Tahoma" w:hAnsi="Tahoma" w:cs="Tahoma" w:hint="cs"/>
          <w:sz w:val="16"/>
          <w:szCs w:val="16"/>
          <w:rtl/>
        </w:rPr>
        <w:t>התשע"ח</w:t>
      </w:r>
    </w:p>
    <w:p w:rsidR="00F1368B" w:rsidP="00935CC6">
      <w:pPr>
        <w:tabs>
          <w:tab w:val="left" w:pos="898"/>
        </w:tabs>
        <w:spacing w:after="0" w:line="280" w:lineRule="exact"/>
        <w:rPr>
          <w:rFonts w:ascii="Tahoma" w:hAnsi="Tahoma" w:cs="Tahoma"/>
          <w:sz w:val="16"/>
          <w:szCs w:val="16"/>
          <w:rtl/>
        </w:rPr>
      </w:pPr>
      <w:r w:rsidRPr="00D9505F">
        <w:rPr>
          <w:rFonts w:ascii="Tahoma" w:hAnsi="Tahoma" w:cs="Tahoma" w:hint="cs"/>
          <w:sz w:val="16"/>
          <w:szCs w:val="16"/>
          <w:rtl/>
        </w:rPr>
        <w:tab/>
      </w:r>
      <w:r w:rsidR="00935CC6">
        <w:rPr>
          <w:rFonts w:ascii="Tahoma" w:hAnsi="Tahoma" w:cs="Tahoma" w:hint="cs"/>
          <w:sz w:val="16"/>
          <w:szCs w:val="16"/>
          <w:rtl/>
        </w:rPr>
        <w:t>אוקטובר</w:t>
      </w:r>
      <w:r w:rsidR="00B327A1">
        <w:rPr>
          <w:rFonts w:ascii="Tahoma" w:hAnsi="Tahoma" w:cs="Tahoma" w:hint="cs"/>
          <w:sz w:val="16"/>
          <w:szCs w:val="16"/>
          <w:rtl/>
        </w:rPr>
        <w:t xml:space="preserve"> 2017</w:t>
      </w:r>
    </w:p>
    <w:p w:rsidR="00DA321E" w:rsidP="00DA321E">
      <w:pPr>
        <w:spacing w:after="180" w:line="380" w:lineRule="exact"/>
        <w:ind w:right="2268"/>
        <w:rPr>
          <w:rFonts w:ascii="Tahoma" w:hAnsi="Tahoma" w:cs="Tahoma"/>
          <w:sz w:val="20"/>
          <w:szCs w:val="18"/>
        </w:rPr>
      </w:pPr>
    </w:p>
    <w:p w:rsidR="00DA321E" w:rsidP="00DA321E">
      <w:pPr>
        <w:spacing w:after="180" w:line="380" w:lineRule="exact"/>
        <w:ind w:right="2268"/>
        <w:rPr>
          <w:rFonts w:ascii="Tahoma" w:hAnsi="Tahoma" w:cs="Tahoma"/>
          <w:sz w:val="20"/>
          <w:szCs w:val="18"/>
          <w:rtl/>
        </w:rPr>
        <w:sectPr w:rsidSect="00410B08">
          <w:headerReference w:type="even" r:id="rId10"/>
          <w:headerReference w:type="default" r:id="rId11"/>
          <w:pgSz w:w="11906" w:h="16838" w:code="9"/>
          <w:pgMar w:top="3402" w:right="1701" w:bottom="2835" w:left="1701" w:header="1559" w:footer="709" w:gutter="0"/>
          <w:cols w:space="708"/>
          <w:bidi/>
          <w:rtlGutter/>
          <w:docGrid w:linePitch="360"/>
        </w:sectPr>
      </w:pPr>
    </w:p>
    <w:p w:rsidR="00DA321E" w:rsidP="00DA321E">
      <w:pPr>
        <w:spacing w:after="180" w:line="380" w:lineRule="exact"/>
        <w:ind w:right="2268"/>
        <w:rPr>
          <w:rFonts w:ascii="Tahoma" w:hAnsi="Tahoma" w:cs="Tahoma"/>
          <w:sz w:val="20"/>
          <w:szCs w:val="18"/>
          <w:rtl/>
        </w:rPr>
      </w:pPr>
    </w:p>
    <w:p w:rsidR="00DA321E" w:rsidP="00DA321E">
      <w:pPr>
        <w:spacing w:after="180" w:line="380" w:lineRule="exact"/>
        <w:ind w:right="2268"/>
        <w:rPr>
          <w:rFonts w:ascii="Tahoma" w:hAnsi="Tahoma" w:cs="Tahoma"/>
          <w:sz w:val="20"/>
          <w:szCs w:val="18"/>
          <w:rtl/>
        </w:rPr>
        <w:sectPr w:rsidSect="00410B08">
          <w:headerReference w:type="even" r:id="rId12"/>
          <w:pgSz w:w="11906" w:h="16838" w:code="9"/>
          <w:pgMar w:top="3402" w:right="1701" w:bottom="2835" w:left="1701" w:header="1559" w:footer="709" w:gutter="0"/>
          <w:cols w:space="708"/>
          <w:bidi/>
          <w:rtlGutter/>
          <w:docGrid w:linePitch="360"/>
        </w:sectPr>
      </w:pPr>
    </w:p>
    <w:p w:rsidR="00071F43" w:rsidRPr="00071F43" w:rsidP="00D449A8">
      <w:pPr>
        <w:spacing w:after="180" w:line="380" w:lineRule="exact"/>
        <w:ind w:right="2268"/>
        <w:outlineLvl w:val="0"/>
        <w:rPr>
          <w:rFonts w:ascii="Tahoma" w:hAnsi="Tahoma" w:cs="Tahoma"/>
          <w:b/>
          <w:bCs/>
          <w:color w:val="2A2AA6"/>
          <w:sz w:val="28"/>
          <w:szCs w:val="28"/>
          <w:rtl/>
        </w:rPr>
      </w:pPr>
      <w:r w:rsidRPr="00071F43">
        <w:rPr>
          <w:rFonts w:ascii="Tahoma" w:hAnsi="Tahoma" w:cs="Tahoma"/>
          <w:b/>
          <w:bCs/>
          <w:color w:val="2A2AA6"/>
          <w:sz w:val="28"/>
          <w:szCs w:val="28"/>
          <w:rtl/>
          <w:lang w:bidi="ar-SA"/>
        </w:rPr>
        <w:t>المقدمة</w:t>
      </w:r>
    </w:p>
    <w:p w:rsidR="00071F43" w:rsidRPr="00071F43" w:rsidP="00275B96">
      <w:pPr>
        <w:spacing w:after="180" w:line="360" w:lineRule="exact"/>
        <w:ind w:right="2268"/>
        <w:jc w:val="both"/>
        <w:rPr>
          <w:rFonts w:ascii="Tahoma" w:hAnsi="Tahoma" w:cs="Tahoma"/>
          <w:sz w:val="18"/>
          <w:szCs w:val="18"/>
          <w:rtl/>
          <w:lang w:bidi="ar-SA"/>
        </w:rPr>
      </w:pPr>
      <w:r w:rsidRPr="00071F43">
        <w:rPr>
          <w:rFonts w:ascii="Tahoma" w:hAnsi="Tahoma" w:cs="Tahoma"/>
          <w:b/>
          <w:bCs/>
          <w:sz w:val="18"/>
          <w:szCs w:val="18"/>
          <w:rtl/>
          <w:lang w:bidi="ar-SA"/>
        </w:rPr>
        <w:t>ثورة</w:t>
      </w:r>
      <w:r w:rsidRPr="00071F43">
        <w:rPr>
          <w:rFonts w:ascii="Tahoma" w:hAnsi="Tahoma" w:cs="Tahoma"/>
          <w:b/>
          <w:bCs/>
          <w:sz w:val="18"/>
          <w:szCs w:val="18"/>
          <w:rtl/>
          <w:lang w:bidi="ar-SA"/>
        </w:rPr>
        <w:t xml:space="preserve"> شيخوخة</w:t>
      </w:r>
      <w:r w:rsidRPr="00071F43">
        <w:rPr>
          <w:rFonts w:ascii="Tahoma" w:hAnsi="Tahoma" w:cs="Tahoma"/>
          <w:b/>
          <w:bCs/>
          <w:sz w:val="18"/>
          <w:szCs w:val="18"/>
          <w:rtl/>
          <w:lang w:bidi="ar-SA"/>
        </w:rPr>
        <w:t xml:space="preserve"> </w:t>
      </w:r>
      <w:r w:rsidRPr="00071F43">
        <w:rPr>
          <w:rFonts w:ascii="Tahoma" w:hAnsi="Tahoma" w:cs="Tahoma"/>
          <w:b/>
          <w:bCs/>
          <w:sz w:val="18"/>
          <w:szCs w:val="18"/>
          <w:rtl/>
          <w:lang w:bidi="ar-SA"/>
        </w:rPr>
        <w:t>السكّان هي إحدى أهمّ الثورات في العصر الحاليّ. الشيخوخة</w:t>
      </w:r>
      <w:r w:rsidRPr="00071F43">
        <w:rPr>
          <w:rFonts w:ascii="Tahoma" w:hAnsi="Tahoma" w:cs="Tahoma"/>
          <w:b/>
          <w:bCs/>
          <w:sz w:val="18"/>
          <w:szCs w:val="18"/>
          <w:rtl/>
          <w:lang w:bidi="ar-SA"/>
        </w:rPr>
        <w:t xml:space="preserve"> </w:t>
      </w:r>
      <w:r w:rsidRPr="00C1741A" w:rsidR="00275B96">
        <w:rPr>
          <w:rFonts w:ascii="Tahoma" w:hAnsi="Tahoma" w:cs="Tahoma" w:hint="eastAsia"/>
          <w:b/>
          <w:bCs/>
          <w:sz w:val="18"/>
          <w:szCs w:val="18"/>
          <w:rtl/>
          <w:lang w:bidi="ar-SA"/>
        </w:rPr>
        <w:t>ت</w:t>
      </w:r>
      <w:r w:rsidRPr="00C1741A">
        <w:rPr>
          <w:rFonts w:ascii="Tahoma" w:hAnsi="Tahoma" w:cs="Tahoma"/>
          <w:b/>
          <w:bCs/>
          <w:sz w:val="18"/>
          <w:szCs w:val="18"/>
          <w:rtl/>
          <w:lang w:bidi="ar-SA"/>
        </w:rPr>
        <w:t>طرح</w:t>
      </w:r>
      <w:r w:rsidRPr="00071F43">
        <w:rPr>
          <w:rFonts w:ascii="Tahoma" w:hAnsi="Tahoma" w:cs="Tahoma"/>
          <w:b/>
          <w:bCs/>
          <w:sz w:val="18"/>
          <w:szCs w:val="18"/>
          <w:rtl/>
          <w:lang w:bidi="ar-SA"/>
        </w:rPr>
        <w:t xml:space="preserve"> تحدّيات هامّة أمام الإنسانيّة جمعاء، في مجالات كثيرة ومتنوّعة</w:t>
      </w:r>
      <w:r w:rsidRPr="00071F43">
        <w:rPr>
          <w:rFonts w:ascii="Tahoma" w:hAnsi="Tahoma" w:cs="Tahoma"/>
          <w:sz w:val="18"/>
          <w:szCs w:val="18"/>
          <w:rtl/>
          <w:lang w:bidi="ar-SA"/>
        </w:rPr>
        <w:t xml:space="preserve">. في هذا السياق، أشار سعادة القاضي </w:t>
      </w:r>
      <w:r w:rsidRPr="00071F43">
        <w:rPr>
          <w:rFonts w:ascii="Tahoma" w:hAnsi="Tahoma" w:cs="Tahoma"/>
          <w:sz w:val="18"/>
          <w:szCs w:val="18"/>
          <w:rtl/>
          <w:lang w:bidi="ar-SA"/>
        </w:rPr>
        <w:t>إلياكيم</w:t>
      </w:r>
      <w:r w:rsidRPr="00071F43">
        <w:rPr>
          <w:rFonts w:ascii="Tahoma" w:hAnsi="Tahoma" w:cs="Tahoma"/>
          <w:sz w:val="18"/>
          <w:szCs w:val="18"/>
          <w:rtl/>
          <w:lang w:bidi="ar-SA"/>
        </w:rPr>
        <w:t xml:space="preserve"> </w:t>
      </w:r>
      <w:r w:rsidRPr="00071F43">
        <w:rPr>
          <w:rFonts w:ascii="Tahoma" w:hAnsi="Tahoma" w:cs="Tahoma"/>
          <w:sz w:val="18"/>
          <w:szCs w:val="18"/>
          <w:rtl/>
          <w:lang w:bidi="ar-SA"/>
        </w:rPr>
        <w:t>روبنشطاين</w:t>
      </w:r>
      <w:r w:rsidRPr="00071F43">
        <w:rPr>
          <w:rFonts w:ascii="Tahoma" w:hAnsi="Tahoma" w:cs="Tahoma"/>
          <w:sz w:val="18"/>
          <w:szCs w:val="18"/>
          <w:rtl/>
          <w:lang w:bidi="ar-SA"/>
        </w:rPr>
        <w:t xml:space="preserve">، وبحقّ، إلى أنّ ارتفاع متوسّط العمر المتوقّع، هو أمر مرحّب به في حدّ ذاته، ذلك الذي يقال عنه </w:t>
      </w:r>
      <w:r w:rsidRPr="00071F43">
        <w:rPr>
          <w:rFonts w:ascii="Tahoma" w:hAnsi="Tahoma" w:cs="Tahoma"/>
          <w:b/>
          <w:bCs/>
          <w:sz w:val="18"/>
          <w:szCs w:val="18"/>
          <w:rtl/>
          <w:lang w:bidi="ar-SA"/>
        </w:rPr>
        <w:t>"ابن الستّين للشيخوخة"</w:t>
      </w:r>
      <w:r w:rsidRPr="00071F43">
        <w:rPr>
          <w:rFonts w:ascii="Tahoma" w:hAnsi="Tahoma" w:cs="Tahoma"/>
          <w:sz w:val="18"/>
          <w:szCs w:val="18"/>
          <w:rtl/>
          <w:lang w:bidi="ar-SA"/>
        </w:rPr>
        <w:t xml:space="preserve"> في فصل </w:t>
      </w:r>
      <w:r w:rsidRPr="00071F43">
        <w:rPr>
          <w:rFonts w:ascii="Tahoma" w:hAnsi="Tahoma" w:cs="Tahoma"/>
          <w:sz w:val="18"/>
          <w:szCs w:val="18"/>
          <w:rtl/>
          <w:lang w:bidi="ar-SA"/>
        </w:rPr>
        <w:t>مسيخت</w:t>
      </w:r>
      <w:r w:rsidRPr="00071F43">
        <w:rPr>
          <w:rFonts w:ascii="Tahoma" w:hAnsi="Tahoma" w:cs="Tahoma"/>
          <w:sz w:val="18"/>
          <w:szCs w:val="18"/>
          <w:rtl/>
          <w:lang w:bidi="ar-SA"/>
        </w:rPr>
        <w:t xml:space="preserve"> </w:t>
      </w:r>
      <w:r w:rsidRPr="00071F43">
        <w:rPr>
          <w:rFonts w:ascii="Tahoma" w:hAnsi="Tahoma" w:cs="Tahoma"/>
          <w:sz w:val="18"/>
          <w:szCs w:val="18"/>
          <w:rtl/>
          <w:lang w:bidi="ar-SA"/>
        </w:rPr>
        <w:t>أڤوت</w:t>
      </w:r>
      <w:r w:rsidRPr="00071F43">
        <w:rPr>
          <w:rFonts w:ascii="Tahoma" w:hAnsi="Tahoma" w:cs="Tahoma"/>
          <w:sz w:val="18"/>
          <w:szCs w:val="18"/>
          <w:rtl/>
          <w:lang w:bidi="ar-SA"/>
        </w:rPr>
        <w:t xml:space="preserve"> في </w:t>
      </w:r>
      <w:r w:rsidRPr="00071F43">
        <w:rPr>
          <w:rFonts w:ascii="Tahoma" w:hAnsi="Tahoma" w:cs="Tahoma"/>
          <w:sz w:val="18"/>
          <w:szCs w:val="18"/>
          <w:rtl/>
          <w:lang w:bidi="ar-SA"/>
        </w:rPr>
        <w:t>المشناه</w:t>
      </w:r>
      <w:r w:rsidRPr="00071F43">
        <w:rPr>
          <w:rFonts w:ascii="Tahoma" w:hAnsi="Tahoma" w:cs="Tahoma"/>
          <w:sz w:val="18"/>
          <w:szCs w:val="18"/>
          <w:rtl/>
          <w:lang w:bidi="ar-SA"/>
        </w:rPr>
        <w:t xml:space="preserve"> (</w:t>
      </w:r>
      <w:r w:rsidRPr="00071F43">
        <w:rPr>
          <w:rFonts w:ascii="Tahoma" w:hAnsi="Tahoma" w:cs="Tahoma"/>
          <w:sz w:val="18"/>
          <w:szCs w:val="18"/>
          <w:rtl/>
        </w:rPr>
        <w:t>5</w:t>
      </w:r>
      <w:r w:rsidRPr="00071F43">
        <w:rPr>
          <w:rFonts w:ascii="Tahoma" w:hAnsi="Tahoma" w:cs="Tahoma"/>
          <w:sz w:val="18"/>
          <w:szCs w:val="18"/>
          <w:rtl/>
          <w:lang w:bidi="ar-SA"/>
        </w:rPr>
        <w:t xml:space="preserve">، </w:t>
      </w:r>
      <w:r w:rsidRPr="00071F43">
        <w:rPr>
          <w:rFonts w:ascii="Tahoma" w:hAnsi="Tahoma" w:cs="Tahoma"/>
          <w:sz w:val="18"/>
          <w:szCs w:val="18"/>
          <w:rtl/>
        </w:rPr>
        <w:t>21)</w:t>
      </w:r>
      <w:r w:rsidRPr="00071F43">
        <w:rPr>
          <w:rFonts w:ascii="Tahoma" w:hAnsi="Tahoma" w:cs="Tahoma"/>
          <w:sz w:val="18"/>
          <w:szCs w:val="18"/>
          <w:rtl/>
          <w:lang w:bidi="ar-SA"/>
        </w:rPr>
        <w:t>، لم يعد يمثّل سنّ الشيخوخة العاديّ، ولا حتى اجيال اكبر لم تعُد هي الأخرى لتمثّل سنّ الشيخوخة".</w:t>
      </w:r>
      <w:r>
        <w:rPr>
          <w:rStyle w:val="FootnoteReference0"/>
          <w:rFonts w:ascii="Tahoma" w:hAnsi="Tahoma" w:cs="Tahoma"/>
          <w:sz w:val="18"/>
          <w:szCs w:val="18"/>
          <w:rtl/>
        </w:rPr>
        <w:footnoteReference w:id="8"/>
      </w:r>
      <w:r w:rsidRPr="00071F43">
        <w:rPr>
          <w:rFonts w:ascii="Tahoma" w:hAnsi="Tahoma" w:cs="Tahoma"/>
          <w:sz w:val="18"/>
          <w:szCs w:val="18"/>
          <w:rtl/>
          <w:lang w:bidi="ar-SA"/>
        </w:rPr>
        <w:t xml:space="preserve"> من المعطيات الواضحة</w:t>
      </w:r>
      <w:r w:rsidRPr="00071F43">
        <w:rPr>
          <w:rFonts w:ascii="Tahoma" w:hAnsi="Tahoma" w:cs="Tahoma"/>
          <w:sz w:val="18"/>
          <w:szCs w:val="18"/>
          <w:rtl/>
        </w:rPr>
        <w:t xml:space="preserve"> </w:t>
      </w:r>
      <w:r w:rsidRPr="00071F43">
        <w:rPr>
          <w:rFonts w:ascii="Tahoma" w:hAnsi="Tahoma" w:cs="Tahoma"/>
          <w:sz w:val="18"/>
          <w:szCs w:val="18"/>
          <w:rtl/>
          <w:lang w:bidi="ar-SA"/>
        </w:rPr>
        <w:t>والمثيرة للدهشة هي</w:t>
      </w:r>
      <w:r w:rsidRPr="00071F43">
        <w:rPr>
          <w:rFonts w:ascii="Tahoma" w:hAnsi="Tahoma" w:cs="Tahoma"/>
          <w:sz w:val="18"/>
          <w:szCs w:val="18"/>
          <w:rtl/>
        </w:rPr>
        <w:t xml:space="preserve"> </w:t>
      </w:r>
      <w:r w:rsidRPr="00071F43">
        <w:rPr>
          <w:rFonts w:ascii="Tahoma" w:hAnsi="Tahoma" w:cs="Tahoma"/>
          <w:sz w:val="18"/>
          <w:szCs w:val="18"/>
          <w:rtl/>
          <w:lang w:bidi="ar-SA"/>
        </w:rPr>
        <w:t xml:space="preserve">: بين السنوات </w:t>
      </w:r>
      <w:r w:rsidRPr="00071F43">
        <w:rPr>
          <w:rFonts w:ascii="Tahoma" w:hAnsi="Tahoma" w:cs="Tahoma"/>
          <w:sz w:val="18"/>
          <w:szCs w:val="18"/>
          <w:rtl/>
        </w:rPr>
        <w:t xml:space="preserve">1950 </w:t>
      </w:r>
      <w:r w:rsidRPr="00071F43">
        <w:rPr>
          <w:rFonts w:ascii="Tahoma" w:hAnsi="Tahoma" w:cs="Tahoma"/>
          <w:sz w:val="18"/>
          <w:szCs w:val="18"/>
          <w:rtl/>
          <w:lang w:bidi="ar-SA"/>
        </w:rPr>
        <w:t xml:space="preserve">وَ 2010 ارتفع متوسّط العمر المتوقّع في العالم من 46 سنة إلى 68 سنة، ومن المتوقّع أن يرتفع ليصل إلى حوالي 80 سنة بحلول نهاية القرن الحاليّ؛ وبحلول عام 2050 سيكون لأوّل مرّة في التاريخ، عدد أبناء الـ 60 فما فوق، أكبر من عدد الأطفال. </w:t>
      </w:r>
    </w:p>
    <w:p w:rsidR="00071F43" w:rsidRPr="00071F43" w:rsidP="00D449A8">
      <w:pPr>
        <w:spacing w:after="180" w:line="360" w:lineRule="exact"/>
        <w:ind w:right="2268"/>
        <w:jc w:val="both"/>
        <w:rPr>
          <w:rFonts w:ascii="Tahoma" w:hAnsi="Tahoma" w:cs="Tahoma"/>
          <w:sz w:val="18"/>
          <w:szCs w:val="18"/>
          <w:rtl/>
          <w:lang w:bidi="ar-SA"/>
        </w:rPr>
      </w:pPr>
      <w:r w:rsidRPr="00071F43">
        <w:rPr>
          <w:rFonts w:ascii="Tahoma" w:hAnsi="Tahoma" w:cs="Tahoma"/>
          <w:sz w:val="18"/>
          <w:szCs w:val="18"/>
          <w:rtl/>
          <w:lang w:bidi="ar-SA"/>
        </w:rPr>
        <w:t xml:space="preserve">التقدّم </w:t>
      </w:r>
      <w:r w:rsidRPr="00071F43">
        <w:rPr>
          <w:rFonts w:ascii="Tahoma" w:hAnsi="Tahoma" w:cs="Tahoma"/>
          <w:sz w:val="18"/>
          <w:szCs w:val="18"/>
          <w:rtl/>
          <w:lang w:bidi="ar-SA"/>
        </w:rPr>
        <w:t>والتطوّر</w:t>
      </w:r>
      <w:r w:rsidRPr="00071F43">
        <w:rPr>
          <w:rFonts w:ascii="Tahoma" w:hAnsi="Tahoma" w:cs="Tahoma"/>
          <w:sz w:val="18"/>
          <w:szCs w:val="18"/>
          <w:rtl/>
          <w:lang w:bidi="ar-SA"/>
        </w:rPr>
        <w:t xml:space="preserve"> الطبّيّ، العلميّ والتكنولوجيّ، أدّو إلى ارتفاع كبير في متوسّط العمر. لكن، إلى جانب هذه البركة، فإنّ شيخوخة السكّان يضعنا أمام تحدٍّ فعليّ يتعلّق بحماية الحقوق الأساسيّة للمسنّين، وقبل أيّ شيء حقّهم الانساني في أن </w:t>
      </w:r>
      <w:r w:rsidRPr="00C1741A" w:rsidR="00275B96">
        <w:rPr>
          <w:rFonts w:ascii="Tahoma" w:hAnsi="Tahoma" w:cs="Tahoma" w:hint="cs"/>
          <w:sz w:val="18"/>
          <w:szCs w:val="18"/>
          <w:rtl/>
          <w:lang w:bidi="ar-SA"/>
        </w:rPr>
        <w:t>يكبرو</w:t>
      </w:r>
      <w:r w:rsidRPr="00C1741A" w:rsidR="00275B96">
        <w:rPr>
          <w:rFonts w:ascii="Tahoma" w:hAnsi="Tahoma" w:cs="Tahoma" w:hint="eastAsia"/>
          <w:sz w:val="18"/>
          <w:szCs w:val="18"/>
          <w:rtl/>
          <w:lang w:bidi="ar-SA"/>
        </w:rPr>
        <w:t>ا</w:t>
      </w:r>
      <w:r w:rsidRPr="00071F43">
        <w:rPr>
          <w:rFonts w:ascii="Tahoma" w:hAnsi="Tahoma" w:cs="Tahoma"/>
          <w:sz w:val="18"/>
          <w:szCs w:val="18"/>
          <w:rtl/>
          <w:lang w:bidi="ar-SA"/>
        </w:rPr>
        <w:t xml:space="preserve"> بكرامة. والمقولة "الجميع يرغبون في العمر المديد، لكن لا أحد يرغب في أن يكبر"، هي مقولة معروفة. أقرّت إحدى لجان الأمم المتّحدة أنّه في الأوّل من تشرين الأوّل من كلّ عام سيُحتفل باليوم العالمي للمسنّين، وذلك بهدف أن يُدرج موضوع رفاهيّة المسنّ والاهتمام باحتياجاته على جدول الأعمال العامّ. يتناول تقرير الرقابة الخاصّ هذا والمطروح على طاولة الكنيست والمعلن</w:t>
      </w:r>
      <w:r w:rsidRPr="00071F43">
        <w:rPr>
          <w:rFonts w:ascii="Tahoma" w:hAnsi="Tahoma" w:cs="Tahoma"/>
          <w:sz w:val="18"/>
          <w:szCs w:val="18"/>
          <w:rtl/>
        </w:rPr>
        <w:t xml:space="preserve"> </w:t>
      </w:r>
      <w:r w:rsidRPr="00071F43">
        <w:rPr>
          <w:rFonts w:ascii="Tahoma" w:hAnsi="Tahoma" w:cs="Tahoma"/>
          <w:sz w:val="18"/>
          <w:szCs w:val="18"/>
          <w:rtl/>
          <w:lang w:bidi="ar-SA"/>
        </w:rPr>
        <w:t>للجمهور، رعاية الدولة للمسنّين التمريضيّين المقيمين في منازلهم</w:t>
      </w:r>
      <w:r w:rsidRPr="00071F43">
        <w:rPr>
          <w:rFonts w:ascii="Tahoma" w:hAnsi="Tahoma" w:cs="Tahoma"/>
          <w:sz w:val="18"/>
          <w:szCs w:val="18"/>
          <w:rtl/>
        </w:rPr>
        <w:t xml:space="preserve"> </w:t>
      </w:r>
      <w:r w:rsidRPr="00071F43">
        <w:rPr>
          <w:rFonts w:ascii="Tahoma" w:hAnsi="Tahoma" w:cs="Tahoma"/>
          <w:sz w:val="18"/>
          <w:szCs w:val="18"/>
          <w:rtl/>
          <w:lang w:bidi="ar-SA"/>
        </w:rPr>
        <w:t>. تشكّل النتائج الواردة فيه بالتفصيل، إثباتًا للتحدّي الكبير الذي تواجه الدولة في كلّ ما يتعلّق تأمين</w:t>
      </w:r>
      <w:r w:rsidRPr="00071F43">
        <w:rPr>
          <w:rFonts w:ascii="Tahoma" w:hAnsi="Tahoma" w:cs="Tahoma"/>
          <w:sz w:val="18"/>
          <w:szCs w:val="18"/>
          <w:rtl/>
        </w:rPr>
        <w:t xml:space="preserve"> </w:t>
      </w:r>
      <w:r w:rsidRPr="00071F43">
        <w:rPr>
          <w:rFonts w:ascii="Tahoma" w:hAnsi="Tahoma" w:cs="Tahoma"/>
          <w:sz w:val="18"/>
          <w:szCs w:val="18"/>
          <w:rtl/>
          <w:lang w:bidi="ar-SA"/>
        </w:rPr>
        <w:t xml:space="preserve">الحقّ الأساسيّ للكبر بكرامة إنسانيّة. للأسف الشديد، الصورة التي تتبادر من خلال هذا التقرير مقلقة جدًّا. يشير التقرير إلى سلسلة طويلة من النواقص البارزة في مجال الرعاية التمريضيّة المقدّمة للمسنّين ومساعدة عائلاتهم. </w:t>
      </w:r>
    </w:p>
    <w:p w:rsidR="00071F43" w:rsidRPr="00071F43" w:rsidP="00D449A8">
      <w:pPr>
        <w:spacing w:after="180" w:line="360" w:lineRule="exact"/>
        <w:ind w:right="2268"/>
        <w:jc w:val="both"/>
        <w:rPr>
          <w:rFonts w:ascii="Tahoma" w:hAnsi="Tahoma" w:cs="Tahoma"/>
          <w:sz w:val="18"/>
          <w:szCs w:val="18"/>
          <w:rtl/>
          <w:lang w:bidi="ar-SA"/>
        </w:rPr>
      </w:pPr>
      <w:r w:rsidRPr="00071F43">
        <w:rPr>
          <w:rFonts w:ascii="Tahoma" w:hAnsi="Tahoma" w:cs="Tahoma"/>
          <w:sz w:val="18"/>
          <w:szCs w:val="18"/>
          <w:rtl/>
          <w:lang w:bidi="ar-SA"/>
        </w:rPr>
        <w:t xml:space="preserve">أشير إلى إنّه في هذه الرقابة الخاصّة تمّ استخدام أداة رقابة عصريّة، مميّزة ورائدة؛ وهي مشاركة الجمهور. كان هدف مشاركة الجمهور هو </w:t>
      </w:r>
      <w:r w:rsidRPr="00C1741A" w:rsidR="00275B96">
        <w:rPr>
          <w:rFonts w:ascii="Tahoma" w:hAnsi="Tahoma" w:cs="Tahoma" w:hint="cs"/>
          <w:sz w:val="18"/>
          <w:szCs w:val="18"/>
          <w:rtl/>
          <w:lang w:bidi="ar-SA"/>
        </w:rPr>
        <w:t>الاطلاع</w:t>
      </w:r>
      <w:r w:rsidRPr="00071F43">
        <w:rPr>
          <w:rFonts w:ascii="Tahoma" w:hAnsi="Tahoma" w:cs="Tahoma"/>
          <w:sz w:val="18"/>
          <w:szCs w:val="18"/>
          <w:rtl/>
          <w:lang w:bidi="ar-SA"/>
        </w:rPr>
        <w:t xml:space="preserve"> عن قرب</w:t>
      </w:r>
      <w:r w:rsidRPr="00071F43">
        <w:rPr>
          <w:rFonts w:ascii="Tahoma" w:hAnsi="Tahoma" w:cs="Tahoma"/>
          <w:sz w:val="18"/>
          <w:szCs w:val="18"/>
          <w:rtl/>
        </w:rPr>
        <w:t xml:space="preserve"> </w:t>
      </w:r>
      <w:r w:rsidRPr="00071F43">
        <w:rPr>
          <w:rFonts w:ascii="Tahoma" w:hAnsi="Tahoma" w:cs="Tahoma"/>
          <w:sz w:val="18"/>
          <w:szCs w:val="18"/>
          <w:rtl/>
          <w:lang w:bidi="ar-SA"/>
        </w:rPr>
        <w:t xml:space="preserve">على وجهات نظر الجمهور في كلّ ما يتعلّق بالرعاية المقدّمة للمسنّين التمريضيّين، وبالعبء الملقى على كاهل أفراد عائلاتهم الذين يقومون برعايتهم. في عمليّة مشاركة الجمهور التي اطّلع عليها </w:t>
      </w:r>
      <w:r w:rsidRPr="00071F43">
        <w:rPr>
          <w:rFonts w:ascii="Tahoma" w:hAnsi="Tahoma" w:cs="Tahoma"/>
          <w:sz w:val="18"/>
          <w:szCs w:val="18"/>
          <w:rtl/>
        </w:rPr>
        <w:t>300,000</w:t>
      </w:r>
      <w:r w:rsidRPr="00071F43">
        <w:rPr>
          <w:rFonts w:ascii="Tahoma" w:hAnsi="Tahoma" w:cs="Tahoma"/>
          <w:sz w:val="18"/>
          <w:szCs w:val="18"/>
          <w:lang w:bidi="ar-SA"/>
        </w:rPr>
        <w:t xml:space="preserve"> </w:t>
      </w:r>
      <w:r w:rsidRPr="00071F43">
        <w:rPr>
          <w:rFonts w:ascii="Tahoma" w:hAnsi="Tahoma" w:cs="Tahoma"/>
          <w:sz w:val="18"/>
          <w:szCs w:val="18"/>
          <w:rtl/>
          <w:lang w:bidi="ar-SA"/>
        </w:rPr>
        <w:t xml:space="preserve"> شخص، وشارك فيه فعليًّا 687 شخصًا، جرى استخدام مدمج لأدوات مشاركة نوعية</w:t>
      </w:r>
      <w:r w:rsidRPr="00071F43">
        <w:rPr>
          <w:rFonts w:ascii="Tahoma" w:hAnsi="Tahoma" w:cs="Tahoma"/>
          <w:sz w:val="18"/>
          <w:szCs w:val="18"/>
          <w:rtl/>
        </w:rPr>
        <w:t xml:space="preserve"> </w:t>
      </w:r>
      <w:r w:rsidRPr="00071F43">
        <w:rPr>
          <w:rFonts w:ascii="Tahoma" w:hAnsi="Tahoma" w:cs="Tahoma"/>
          <w:sz w:val="18"/>
          <w:szCs w:val="18"/>
          <w:rtl/>
          <w:lang w:bidi="ar-SA"/>
        </w:rPr>
        <w:t>وكمّيّة</w:t>
      </w:r>
      <w:r w:rsidRPr="00071F43">
        <w:rPr>
          <w:rFonts w:ascii="Tahoma" w:hAnsi="Tahoma" w:cs="Tahoma"/>
          <w:sz w:val="18"/>
          <w:szCs w:val="18"/>
          <w:rtl/>
        </w:rPr>
        <w:t xml:space="preserve"> </w:t>
      </w:r>
      <w:r w:rsidRPr="00071F43">
        <w:rPr>
          <w:rFonts w:ascii="Tahoma" w:hAnsi="Tahoma" w:cs="Tahoma"/>
          <w:sz w:val="18"/>
          <w:szCs w:val="18"/>
          <w:rtl/>
          <w:lang w:bidi="ar-SA"/>
        </w:rPr>
        <w:t xml:space="preserve">ايضًا. في إطار هذه العمليّة، عُقدت لقاءات مباشرة مع مسنّين وأفراد عائلاتهم. سمع طاقم الرقابة من منهم مباشرة عن الصعوبات التي يعانون منها. لقد استخدمت هذه الأداة العصريّة وفق السياسة التي حدّدتها، والتي حسبها مشاركة الجمهور في عمل مراقبة الدولة لا تتلخّص في نشر نتائج الرقابة للجمهور. وجهة النظر هذه، الآخذة في التجذّر في السنوات الأخيرة، تقول إنّ مشاركة الجمهور في مراحل متنوّعة من الرقابة، تعود بالفائدة على مؤسّسات مراقبة الدولة، كما أنّها تُسهم في تعزيز المسؤوليّة العامّة للموظّفين العامّين ومنتخبي الجمهور. </w:t>
      </w:r>
    </w:p>
    <w:p w:rsidR="00071F43" w:rsidRPr="00071F43" w:rsidP="00275B96">
      <w:pPr>
        <w:spacing w:after="180" w:line="360" w:lineRule="exact"/>
        <w:ind w:right="2268"/>
        <w:jc w:val="both"/>
        <w:rPr>
          <w:rFonts w:ascii="Tahoma" w:hAnsi="Tahoma" w:cs="Tahoma"/>
          <w:sz w:val="18"/>
          <w:szCs w:val="18"/>
          <w:rtl/>
          <w:lang w:bidi="ar-SA"/>
        </w:rPr>
      </w:pPr>
      <w:r w:rsidRPr="00071F43">
        <w:rPr>
          <w:rFonts w:ascii="Tahoma" w:hAnsi="Tahoma" w:cs="Tahoma"/>
          <w:sz w:val="18"/>
          <w:szCs w:val="18"/>
          <w:rtl/>
          <w:lang w:bidi="ar-SA"/>
        </w:rPr>
        <w:t>إنّ واجب الاهتمام بالمسنّين هو أحد الأسس التي تقوم عليها الحياة في مجتمع تقليديّ وسليم. انعكس اعتراف دول العالم بهذا الواجب في سلسلة طويلة من القرارات التي اتّخذتها الأمم المتّحدة والهيئات ذات الصلة بها. ففي سنة 1991 أصدرت الجمعيّة العموميّة للأمم المتّحدة قرارًا بشأن "</w:t>
      </w:r>
      <w:r w:rsidRPr="00071F43">
        <w:rPr>
          <w:rFonts w:ascii="Tahoma" w:hAnsi="Tahoma" w:cs="Tahoma"/>
          <w:b/>
          <w:bCs/>
          <w:sz w:val="18"/>
          <w:szCs w:val="18"/>
          <w:rtl/>
          <w:lang w:bidi="ar-SA"/>
        </w:rPr>
        <w:t>مبادئ الأمم المتّحدة للمسنّين</w:t>
      </w:r>
      <w:r w:rsidRPr="00071F43">
        <w:rPr>
          <w:rFonts w:ascii="Tahoma" w:hAnsi="Tahoma" w:cs="Tahoma"/>
          <w:sz w:val="18"/>
          <w:szCs w:val="18"/>
          <w:rtl/>
          <w:lang w:bidi="ar-SA"/>
        </w:rPr>
        <w:t>"</w:t>
      </w:r>
      <w:r>
        <w:rPr>
          <w:rStyle w:val="FootnoteReference0"/>
          <w:rFonts w:ascii="Tahoma" w:hAnsi="Tahoma" w:cs="Tahoma"/>
          <w:b/>
          <w:bCs/>
          <w:sz w:val="18"/>
          <w:szCs w:val="18"/>
          <w:rtl/>
        </w:rPr>
        <w:footnoteReference w:id="9"/>
      </w:r>
      <w:r w:rsidRPr="00071F43">
        <w:rPr>
          <w:rFonts w:ascii="Tahoma" w:hAnsi="Tahoma" w:cs="Tahoma"/>
          <w:sz w:val="18"/>
          <w:szCs w:val="18"/>
          <w:rtl/>
          <w:lang w:bidi="ar-SA"/>
        </w:rPr>
        <w:t>. بناءً على هذا القرار على الدول الأعضاء في الجمعيّة</w:t>
      </w:r>
      <w:r w:rsidRPr="00071F43">
        <w:rPr>
          <w:rFonts w:ascii="Tahoma" w:hAnsi="Tahoma" w:cs="Tahoma"/>
          <w:sz w:val="18"/>
          <w:szCs w:val="18"/>
          <w:rtl/>
          <w:lang w:bidi="ar-SA"/>
        </w:rPr>
        <w:t xml:space="preserve"> </w:t>
      </w:r>
      <w:r w:rsidRPr="00071F43">
        <w:rPr>
          <w:rFonts w:ascii="Tahoma" w:hAnsi="Tahoma" w:cs="Tahoma"/>
          <w:sz w:val="18"/>
          <w:szCs w:val="18"/>
          <w:rtl/>
          <w:lang w:bidi="ar-SA"/>
        </w:rPr>
        <w:t>، القيام</w:t>
      </w:r>
      <w:r w:rsidRPr="00071F43">
        <w:rPr>
          <w:rFonts w:ascii="Tahoma" w:hAnsi="Tahoma" w:cs="Tahoma"/>
          <w:sz w:val="18"/>
          <w:szCs w:val="18"/>
          <w:rtl/>
          <w:lang w:bidi="ar-SA"/>
        </w:rPr>
        <w:t xml:space="preserve"> </w:t>
      </w:r>
      <w:r w:rsidRPr="00C1741A" w:rsidR="00275B96">
        <w:rPr>
          <w:rFonts w:ascii="Tahoma" w:hAnsi="Tahoma" w:cs="Tahoma" w:hint="cs"/>
          <w:sz w:val="18"/>
          <w:szCs w:val="18"/>
          <w:rtl/>
          <w:lang w:bidi="ar-SA"/>
        </w:rPr>
        <w:t>بتشري</w:t>
      </w:r>
      <w:r w:rsidRPr="00C1741A" w:rsidR="00275B96">
        <w:rPr>
          <w:rFonts w:ascii="Tahoma" w:hAnsi="Tahoma" w:cs="Tahoma" w:hint="eastAsia"/>
          <w:sz w:val="18"/>
          <w:szCs w:val="18"/>
          <w:rtl/>
          <w:lang w:bidi="ar-SA"/>
        </w:rPr>
        <w:t>ع</w:t>
      </w:r>
      <w:r w:rsidRPr="00071F43">
        <w:rPr>
          <w:rFonts w:ascii="Tahoma" w:hAnsi="Tahoma" w:cs="Tahoma"/>
          <w:sz w:val="18"/>
          <w:szCs w:val="18"/>
          <w:rtl/>
        </w:rPr>
        <w:t xml:space="preserve"> </w:t>
      </w:r>
      <w:r w:rsidRPr="00071F43">
        <w:rPr>
          <w:rFonts w:ascii="Tahoma" w:hAnsi="Tahoma" w:cs="Tahoma"/>
          <w:sz w:val="18"/>
          <w:szCs w:val="18"/>
          <w:rtl/>
          <w:lang w:bidi="ar-SA"/>
        </w:rPr>
        <w:t>قوانين وسياستها الوطنيّة، وفقاً للمبادئ</w:t>
      </w:r>
      <w:r w:rsidRPr="00071F43">
        <w:rPr>
          <w:rFonts w:ascii="Tahoma" w:hAnsi="Tahoma" w:cs="Tahoma"/>
          <w:sz w:val="18"/>
          <w:szCs w:val="18"/>
          <w:rtl/>
        </w:rPr>
        <w:t xml:space="preserve"> </w:t>
      </w:r>
      <w:r w:rsidRPr="00071F43">
        <w:rPr>
          <w:rFonts w:ascii="Tahoma" w:hAnsi="Tahoma" w:cs="Tahoma"/>
          <w:sz w:val="18"/>
          <w:szCs w:val="18"/>
          <w:rtl/>
          <w:lang w:bidi="ar-SA"/>
        </w:rPr>
        <w:t>التالية: ضمان استقلاليّة المسنّين وضمان ظروف معيشة لائقة لهم؛ ضمان توفير الفرص المشاركة للمسنّ في المجتمع؛ رعاية المسنّ والاعتناء به؛ تقديم أدوات للمسنّ لتحقّيق ذاته وحفظ كرامته. إنّ تناول موضوع حقوق المسنّين في السنوات الأخيرة، وخاصّة تشكيل الجمعيّة العموميّة للأمم المتّحدة مجموعة عمل في هذا الموضوع في سنة 2010</w:t>
      </w:r>
      <w:r>
        <w:rPr>
          <w:rStyle w:val="FootnoteReference0"/>
          <w:rFonts w:ascii="Tahoma" w:hAnsi="Tahoma" w:cs="Tahoma"/>
          <w:sz w:val="18"/>
          <w:szCs w:val="18"/>
          <w:rtl/>
        </w:rPr>
        <w:footnoteReference w:id="10"/>
      </w:r>
      <w:r w:rsidRPr="00071F43">
        <w:rPr>
          <w:rFonts w:ascii="Tahoma" w:hAnsi="Tahoma" w:cs="Tahoma"/>
          <w:sz w:val="18"/>
          <w:szCs w:val="18"/>
          <w:rtl/>
          <w:lang w:bidi="ar-SA"/>
        </w:rPr>
        <w:t xml:space="preserve">، أدّت إلى المطالبة بوضع ميثاق دوليّ خاصّ لحماية حقوق المسنّين. لن يكن من </w:t>
      </w:r>
      <w:r w:rsidRPr="00071F43" w:rsidR="00275B96">
        <w:rPr>
          <w:rFonts w:ascii="Tahoma" w:hAnsi="Tahoma" w:cs="Tahoma" w:hint="cs"/>
          <w:sz w:val="18"/>
          <w:szCs w:val="18"/>
          <w:rtl/>
          <w:lang w:bidi="ar-SA"/>
        </w:rPr>
        <w:t>الخاط</w:t>
      </w:r>
      <w:r w:rsidRPr="00071F43" w:rsidR="00275B96">
        <w:rPr>
          <w:rFonts w:ascii="Tahoma" w:hAnsi="Tahoma" w:cs="Tahoma" w:hint="eastAsia"/>
          <w:sz w:val="18"/>
          <w:szCs w:val="18"/>
          <w:rtl/>
          <w:lang w:bidi="ar-SA"/>
        </w:rPr>
        <w:t>ئ</w:t>
      </w:r>
      <w:r w:rsidRPr="00071F43">
        <w:rPr>
          <w:rFonts w:ascii="Tahoma" w:hAnsi="Tahoma" w:cs="Tahoma"/>
          <w:sz w:val="18"/>
          <w:szCs w:val="18"/>
          <w:rtl/>
          <w:lang w:bidi="ar-SA"/>
        </w:rPr>
        <w:t xml:space="preserve"> التخمين بأنّه في السنوات القريبة سيُصاغ ميثاق من هذا النوع. </w:t>
      </w:r>
    </w:p>
    <w:p w:rsidR="00071F43" w:rsidRPr="00071F43" w:rsidP="00275B96">
      <w:pPr>
        <w:spacing w:after="180" w:line="360" w:lineRule="exact"/>
        <w:ind w:right="2268"/>
        <w:jc w:val="both"/>
        <w:rPr>
          <w:rFonts w:ascii="Tahoma" w:hAnsi="Tahoma" w:cs="Tahoma"/>
          <w:b/>
          <w:bCs/>
          <w:sz w:val="18"/>
          <w:szCs w:val="18"/>
          <w:rtl/>
          <w:lang w:bidi="ar-SA"/>
        </w:rPr>
      </w:pPr>
      <w:r w:rsidRPr="00071F43">
        <w:rPr>
          <w:rFonts w:ascii="Tahoma" w:hAnsi="Tahoma" w:cs="Tahoma"/>
          <w:sz w:val="18"/>
          <w:szCs w:val="18"/>
          <w:rtl/>
          <w:lang w:bidi="ar-SA"/>
        </w:rPr>
        <w:t xml:space="preserve">الجهود الدوليّة في السنوات الأخيرة لمواجهة </w:t>
      </w:r>
      <w:r w:rsidRPr="00C1741A" w:rsidR="00275B96">
        <w:rPr>
          <w:rFonts w:ascii="Tahoma" w:hAnsi="Tahoma" w:cs="Tahoma" w:hint="eastAsia"/>
          <w:sz w:val="18"/>
          <w:szCs w:val="18"/>
          <w:rtl/>
          <w:lang w:bidi="ar-SA"/>
        </w:rPr>
        <w:t>شيخوخة</w:t>
      </w:r>
      <w:r w:rsidRPr="00275B96" w:rsidR="00275B96">
        <w:rPr>
          <w:rFonts w:ascii="Tahoma" w:hAnsi="Tahoma" w:cs="Tahoma"/>
          <w:sz w:val="18"/>
          <w:szCs w:val="18"/>
          <w:rtl/>
          <w:lang w:bidi="ar-SA"/>
        </w:rPr>
        <w:t xml:space="preserve"> </w:t>
      </w:r>
      <w:r w:rsidRPr="00071F43">
        <w:rPr>
          <w:rFonts w:ascii="Tahoma" w:hAnsi="Tahoma" w:cs="Tahoma"/>
          <w:sz w:val="18"/>
          <w:szCs w:val="18"/>
          <w:rtl/>
          <w:lang w:bidi="ar-SA"/>
        </w:rPr>
        <w:t>السكّان، والتي تشارك فيها دولة إسرائيل أيضًا، تنعكس بشكل خاصّ في "</w:t>
      </w:r>
      <w:r w:rsidRPr="00071F43">
        <w:rPr>
          <w:rFonts w:ascii="Tahoma" w:hAnsi="Tahoma" w:cs="Tahoma"/>
          <w:b/>
          <w:bCs/>
          <w:sz w:val="18"/>
          <w:szCs w:val="18"/>
          <w:rtl/>
          <w:lang w:bidi="ar-SA"/>
        </w:rPr>
        <w:t xml:space="preserve">خطّة مدريد- خطّة عمل دوليّة في موضوع </w:t>
      </w:r>
      <w:r w:rsidRPr="00C1741A" w:rsidR="00275B96">
        <w:rPr>
          <w:rFonts w:ascii="Tahoma" w:hAnsi="Tahoma" w:cs="Tahoma" w:hint="eastAsia"/>
          <w:b/>
          <w:bCs/>
          <w:sz w:val="18"/>
          <w:szCs w:val="18"/>
          <w:rtl/>
          <w:lang w:bidi="ar-SA"/>
        </w:rPr>
        <w:t>شيخوخة</w:t>
      </w:r>
      <w:r w:rsidRPr="00071F43">
        <w:rPr>
          <w:rFonts w:ascii="Tahoma" w:hAnsi="Tahoma" w:cs="Tahoma"/>
          <w:b/>
          <w:bCs/>
          <w:sz w:val="18"/>
          <w:szCs w:val="18"/>
          <w:rtl/>
          <w:lang w:bidi="ar-SA"/>
        </w:rPr>
        <w:t xml:space="preserve"> السكّان</w:t>
      </w:r>
      <w:r w:rsidRPr="00071F43">
        <w:rPr>
          <w:rFonts w:ascii="Tahoma" w:hAnsi="Tahoma" w:cs="Tahoma"/>
          <w:sz w:val="18"/>
          <w:szCs w:val="18"/>
          <w:rtl/>
          <w:lang w:bidi="ar-SA"/>
        </w:rPr>
        <w:t>" التي تبنّتها الأمم المتّحدة في عام 2002</w:t>
      </w:r>
      <w:r>
        <w:rPr>
          <w:rStyle w:val="FootnoteReference0"/>
          <w:rFonts w:ascii="Tahoma" w:hAnsi="Tahoma" w:cs="Tahoma"/>
          <w:sz w:val="18"/>
          <w:szCs w:val="18"/>
          <w:rtl/>
        </w:rPr>
        <w:footnoteReference w:id="11"/>
      </w:r>
      <w:r w:rsidRPr="00071F43">
        <w:rPr>
          <w:rFonts w:ascii="Tahoma" w:hAnsi="Tahoma" w:cs="Tahoma"/>
          <w:sz w:val="18"/>
          <w:szCs w:val="18"/>
          <w:rtl/>
          <w:lang w:bidi="ar-SA"/>
        </w:rPr>
        <w:t xml:space="preserve">. أحد مبادئ خطّة العمل الدوليّة هذه هو </w:t>
      </w:r>
      <w:r w:rsidRPr="00071F43">
        <w:rPr>
          <w:rFonts w:ascii="Tahoma" w:hAnsi="Tahoma" w:cs="Tahoma"/>
          <w:sz w:val="18"/>
          <w:szCs w:val="18"/>
          <w:lang w:bidi="ar-SA"/>
        </w:rPr>
        <w:t>"Ageing in Place"</w:t>
      </w:r>
      <w:r w:rsidRPr="00071F43">
        <w:rPr>
          <w:rFonts w:ascii="Tahoma" w:hAnsi="Tahoma" w:cs="Tahoma"/>
          <w:sz w:val="18"/>
          <w:szCs w:val="18"/>
          <w:rtl/>
          <w:lang w:bidi="ar-SA"/>
        </w:rPr>
        <w:t xml:space="preserve">، أي منح الفرصة للمسنّين بأن </w:t>
      </w:r>
      <w:r w:rsidRPr="00C1741A" w:rsidR="00275B96">
        <w:rPr>
          <w:rFonts w:ascii="Tahoma" w:hAnsi="Tahoma" w:cs="Tahoma" w:hint="eastAsia"/>
          <w:sz w:val="18"/>
          <w:szCs w:val="18"/>
          <w:rtl/>
          <w:lang w:bidi="ar-SA"/>
        </w:rPr>
        <w:t>يكبروا</w:t>
      </w:r>
      <w:r w:rsidRPr="00071F43">
        <w:rPr>
          <w:rFonts w:ascii="Tahoma" w:hAnsi="Tahoma" w:cs="Tahoma"/>
          <w:sz w:val="18"/>
          <w:szCs w:val="18"/>
          <w:rtl/>
          <w:lang w:bidi="ar-SA"/>
        </w:rPr>
        <w:t xml:space="preserve"> بكرامة في بيوتهم وفي بيئتهم الطبيعيّة، بل وتشجيعهم على فعل ذلك</w:t>
      </w:r>
      <w:r w:rsidRPr="00071F43">
        <w:rPr>
          <w:rFonts w:ascii="Tahoma" w:hAnsi="Tahoma" w:cs="Tahoma"/>
          <w:b/>
          <w:bCs/>
          <w:sz w:val="18"/>
          <w:szCs w:val="18"/>
          <w:rtl/>
          <w:lang w:bidi="ar-SA"/>
        </w:rPr>
        <w:t xml:space="preserve">. </w:t>
      </w:r>
    </w:p>
    <w:p w:rsidR="00071F43" w:rsidRPr="00071F43" w:rsidP="00D449A8">
      <w:pPr>
        <w:spacing w:after="180" w:line="360" w:lineRule="exact"/>
        <w:ind w:right="2268"/>
        <w:jc w:val="both"/>
        <w:rPr>
          <w:rFonts w:ascii="Tahoma" w:hAnsi="Tahoma" w:cs="Tahoma"/>
          <w:sz w:val="18"/>
          <w:szCs w:val="18"/>
          <w:rtl/>
          <w:lang w:bidi="ar-SA"/>
        </w:rPr>
      </w:pPr>
      <w:r w:rsidRPr="00071F43">
        <w:rPr>
          <w:rFonts w:ascii="Tahoma" w:hAnsi="Tahoma" w:cs="Tahoma"/>
          <w:sz w:val="18"/>
          <w:szCs w:val="18"/>
          <w:rtl/>
          <w:lang w:bidi="ar-SA"/>
        </w:rPr>
        <w:t>اضف الى</w:t>
      </w:r>
      <w:r w:rsidRPr="00071F43">
        <w:rPr>
          <w:rFonts w:ascii="Tahoma" w:hAnsi="Tahoma" w:cs="Tahoma"/>
          <w:sz w:val="18"/>
          <w:szCs w:val="18"/>
          <w:rtl/>
          <w:lang w:bidi="ar-SA"/>
        </w:rPr>
        <w:t xml:space="preserve"> </w:t>
      </w:r>
      <w:r w:rsidRPr="00071F43">
        <w:rPr>
          <w:rFonts w:ascii="Tahoma" w:hAnsi="Tahoma" w:cs="Tahoma"/>
          <w:sz w:val="18"/>
          <w:szCs w:val="18"/>
          <w:rtl/>
          <w:lang w:bidi="ar-SA"/>
        </w:rPr>
        <w:t>الالتزام الدوليّ من جانب الدولة بدعم المسنّين وأفراد عائلاتهم، فإنّ هذا الواجب يبرز من خلال نسيج الإحكام والقرارات الداخليّة. واجب الدولة بضمان الحقوق الأساسيّة للمسنّين الذين يحتاجون إلى مساعدة تمريضيّة، يشتقّ بالأساس من الحقّ في الكرامة، وهو حقّ ذو مكانة دستوريّة فوق القانون. تنصّ المادّة 2 من قانون أساس: كرامة الإنسان وحرّيّته، على أنّه "يُحظر المسّ بحياة، جسد أو كرامة الإنسان كونه إنسانًا".</w:t>
      </w:r>
      <w:r w:rsidRPr="00071F43">
        <w:rPr>
          <w:rFonts w:ascii="Tahoma" w:hAnsi="Tahoma" w:cs="Tahoma"/>
          <w:sz w:val="18"/>
          <w:szCs w:val="18"/>
          <w:rtl/>
          <w:lang w:bidi="ar-SA"/>
        </w:rPr>
        <w:t>كذالك</w:t>
      </w:r>
      <w:r w:rsidRPr="00071F43">
        <w:rPr>
          <w:rFonts w:ascii="Tahoma" w:hAnsi="Tahoma" w:cs="Tahoma"/>
          <w:sz w:val="18"/>
          <w:szCs w:val="18"/>
          <w:rtl/>
          <w:lang w:bidi="ar-SA"/>
        </w:rPr>
        <w:t xml:space="preserve"> تنصّ المادّة 4 من قانون الأساس: على أنّه "يحقّ لكلّ إنسان حماية حياته، جسده وكرامته". </w:t>
      </w:r>
    </w:p>
    <w:p w:rsidR="00071F43" w:rsidRPr="00071F43" w:rsidP="00D449A8">
      <w:pPr>
        <w:spacing w:after="180" w:line="360" w:lineRule="exact"/>
        <w:ind w:right="2268"/>
        <w:jc w:val="both"/>
        <w:rPr>
          <w:rFonts w:ascii="Tahoma" w:hAnsi="Tahoma" w:cs="Tahoma"/>
          <w:sz w:val="18"/>
          <w:szCs w:val="18"/>
        </w:rPr>
      </w:pPr>
      <w:r w:rsidRPr="00071F43">
        <w:rPr>
          <w:rFonts w:ascii="Tahoma" w:hAnsi="Tahoma" w:cs="Tahoma"/>
          <w:sz w:val="18"/>
          <w:szCs w:val="18"/>
          <w:rtl/>
          <w:lang w:bidi="ar-SA"/>
        </w:rPr>
        <w:t>كما تطرّقت المحكمة العليا إلـى حقّ المسنّين في العيش بكرامة إنسانيّة، على النحو التالي:</w:t>
      </w:r>
    </w:p>
    <w:p w:rsidR="00071F43" w:rsidRPr="00071F43" w:rsidP="00D449A8">
      <w:pPr>
        <w:spacing w:after="180" w:line="360" w:lineRule="exact"/>
        <w:ind w:left="567" w:right="2268"/>
        <w:jc w:val="both"/>
        <w:rPr>
          <w:rFonts w:ascii="Tahoma" w:hAnsi="Tahoma" w:cs="Tahoma"/>
          <w:b/>
          <w:bCs/>
          <w:sz w:val="18"/>
          <w:szCs w:val="18"/>
          <w:rtl/>
          <w:lang w:bidi="ar-SA"/>
        </w:rPr>
      </w:pPr>
      <w:r w:rsidRPr="00071F43">
        <w:rPr>
          <w:rFonts w:ascii="Tahoma" w:hAnsi="Tahoma" w:cs="Tahoma"/>
          <w:sz w:val="18"/>
          <w:szCs w:val="18"/>
          <w:rtl/>
          <w:lang w:bidi="ar-SA"/>
        </w:rPr>
        <w:t xml:space="preserve">شيخوخة السكّان، والارتفاع الكبير في </w:t>
      </w:r>
      <w:r w:rsidRPr="00C1741A" w:rsidR="00275B96">
        <w:rPr>
          <w:rFonts w:ascii="Tahoma" w:hAnsi="Tahoma" w:cs="Tahoma" w:hint="cs"/>
          <w:sz w:val="18"/>
          <w:szCs w:val="18"/>
          <w:rtl/>
          <w:lang w:bidi="ar-SA"/>
        </w:rPr>
        <w:t>متوسط</w:t>
      </w:r>
      <w:r w:rsidRPr="00071F43">
        <w:rPr>
          <w:rFonts w:ascii="Tahoma" w:hAnsi="Tahoma" w:cs="Tahoma"/>
          <w:sz w:val="18"/>
          <w:szCs w:val="18"/>
          <w:rtl/>
          <w:lang w:bidi="ar-SA"/>
        </w:rPr>
        <w:t xml:space="preserve"> العمر المتوقّع، يضعان المجتمع والقضاء أمام تحدّيات جديدة. مبادئ التكافل بين الأجيال، المبنيّة على احترام المواطن المسنّ والاهتمام باحتياجاته، تستوجب ملاءمة النمط</w:t>
      </w:r>
      <w:r w:rsidRPr="00071F43">
        <w:rPr>
          <w:rFonts w:ascii="Tahoma" w:hAnsi="Tahoma" w:cs="Tahoma"/>
          <w:sz w:val="18"/>
          <w:szCs w:val="18"/>
          <w:rtl/>
        </w:rPr>
        <w:t xml:space="preserve"> </w:t>
      </w:r>
      <w:r w:rsidRPr="00071F43">
        <w:rPr>
          <w:rFonts w:ascii="Tahoma" w:hAnsi="Tahoma" w:cs="Tahoma"/>
          <w:sz w:val="18"/>
          <w:szCs w:val="18"/>
          <w:rtl/>
          <w:lang w:bidi="ar-SA"/>
        </w:rPr>
        <w:t>الاجتماعيّ والقضائيّ للواقع الديناميكيّ المتغيّر. تنعكس احتياجات الإنسان المسنّ في مجالات مختلفة في الحياة، لكنّ الأمر الأكثر أساسيّة من بينها هو ما يتعلّق بوسائل المعيشة المتبقّية لديه والتي تهدف إلى ضمان عيشه بكرامة في شيخوخته. إنّ الحقّ في العيش بكرامة إنسانيّة مرتبط بالحقّ في العيش بكرامة اقتصاديّة. الشخص الذي يُنتهك حقّه في العيش بكرامة اقتصاديّة عند</w:t>
      </w:r>
      <w:r w:rsidRPr="00071F43">
        <w:rPr>
          <w:rFonts w:ascii="Tahoma" w:hAnsi="Tahoma" w:cs="Tahoma"/>
          <w:b/>
          <w:bCs/>
          <w:sz w:val="18"/>
          <w:szCs w:val="18"/>
          <w:rtl/>
          <w:lang w:bidi="ar-SA"/>
        </w:rPr>
        <w:t xml:space="preserve"> </w:t>
      </w:r>
      <w:r w:rsidRPr="00071F43">
        <w:rPr>
          <w:rFonts w:ascii="Tahoma" w:hAnsi="Tahoma" w:cs="Tahoma"/>
          <w:sz w:val="18"/>
          <w:szCs w:val="18"/>
          <w:rtl/>
          <w:lang w:bidi="ar-SA"/>
        </w:rPr>
        <w:t>بلوغه سنًّا متقدّمًا، فإنّ حقّه الدستوريّ في العيش بكرامة إنسانيّة قد يُنتهك هو الآخر</w:t>
      </w:r>
      <w:r w:rsidRPr="00071F43">
        <w:rPr>
          <w:rFonts w:ascii="Tahoma" w:hAnsi="Tahoma" w:cs="Tahoma"/>
          <w:b/>
          <w:bCs/>
          <w:sz w:val="18"/>
          <w:szCs w:val="18"/>
          <w:rtl/>
          <w:lang w:bidi="ar-SA"/>
        </w:rPr>
        <w:t>"</w:t>
      </w:r>
      <w:r>
        <w:rPr>
          <w:rStyle w:val="FootnoteReference0"/>
          <w:rFonts w:ascii="Tahoma" w:hAnsi="Tahoma" w:cs="Tahoma"/>
          <w:sz w:val="18"/>
          <w:szCs w:val="18"/>
        </w:rPr>
        <w:footnoteReference w:id="12"/>
      </w:r>
      <w:r w:rsidRPr="00071F43">
        <w:rPr>
          <w:rFonts w:ascii="Tahoma" w:hAnsi="Tahoma" w:cs="Tahoma"/>
          <w:b/>
          <w:bCs/>
          <w:sz w:val="18"/>
          <w:szCs w:val="18"/>
          <w:rtl/>
          <w:lang w:bidi="ar-SA"/>
        </w:rPr>
        <w:t xml:space="preserve">. </w:t>
      </w:r>
    </w:p>
    <w:p w:rsidR="00071F43" w:rsidRPr="00071F43" w:rsidP="00D449A8">
      <w:pPr>
        <w:spacing w:after="180" w:line="360" w:lineRule="exact"/>
        <w:ind w:right="2268"/>
        <w:jc w:val="both"/>
        <w:rPr>
          <w:rFonts w:ascii="Tahoma" w:hAnsi="Tahoma" w:cs="Tahoma"/>
          <w:sz w:val="18"/>
          <w:szCs w:val="18"/>
          <w:rtl/>
        </w:rPr>
      </w:pPr>
      <w:r w:rsidRPr="00071F43">
        <w:rPr>
          <w:rFonts w:ascii="Tahoma" w:hAnsi="Tahoma" w:cs="Tahoma"/>
          <w:sz w:val="18"/>
          <w:szCs w:val="18"/>
          <w:rtl/>
          <w:lang w:bidi="ar-SA"/>
        </w:rPr>
        <w:t>لتنفيذ واجبها الدستوريّ بتوفير العيش بكرامة إنسانيّة للمسنّ، تتّخذ الدولة وسائل متنوّعة. الوسيلة الأساسيّة هي مخصّصات تمريض تدفعها مؤسّسة التأمين الوطنيّ للمسنّين المستحقّين لمساعدة الدولة بسبب أوضاعهم التمريضيّة. بيّنت الرقابة الحاليّة أنّه، عمليًّا، هذه الوسائل التي حدّدتها الدولة لا تفي بالغرض</w:t>
      </w:r>
      <w:r w:rsidRPr="00071F43">
        <w:rPr>
          <w:rFonts w:ascii="Tahoma" w:hAnsi="Tahoma" w:cs="Tahoma"/>
          <w:sz w:val="18"/>
          <w:szCs w:val="18"/>
          <w:rtl/>
          <w:lang w:bidi="ar-SA"/>
        </w:rPr>
        <w:t xml:space="preserve"> </w:t>
      </w:r>
      <w:r w:rsidRPr="00071F43">
        <w:rPr>
          <w:rFonts w:ascii="Tahoma" w:hAnsi="Tahoma" w:cs="Tahoma"/>
          <w:sz w:val="18"/>
          <w:szCs w:val="18"/>
          <w:rtl/>
          <w:lang w:bidi="ar-SA"/>
        </w:rPr>
        <w:t>في كثير من الحالات ،</w:t>
      </w:r>
      <w:r w:rsidRPr="00071F43">
        <w:rPr>
          <w:rFonts w:ascii="Tahoma" w:hAnsi="Tahoma" w:cs="Tahoma"/>
          <w:sz w:val="18"/>
          <w:szCs w:val="18"/>
          <w:rtl/>
        </w:rPr>
        <w:t xml:space="preserve"> </w:t>
      </w:r>
      <w:r w:rsidRPr="00071F43">
        <w:rPr>
          <w:rFonts w:ascii="Tahoma" w:hAnsi="Tahoma" w:cs="Tahoma"/>
          <w:sz w:val="18"/>
          <w:szCs w:val="18"/>
          <w:rtl/>
          <w:lang w:bidi="ar-SA"/>
        </w:rPr>
        <w:t xml:space="preserve">ومنها تقديم المساعدة التمريضيّة اللائقة للمسنّين الذين يحتاجونها. كنّا نتوقّع أن المسنّون </w:t>
      </w:r>
      <w:r w:rsidRPr="00C1741A" w:rsidR="00275B96">
        <w:rPr>
          <w:rFonts w:ascii="Tahoma" w:hAnsi="Tahoma" w:cs="Tahoma" w:hint="cs"/>
          <w:sz w:val="18"/>
          <w:szCs w:val="18"/>
          <w:rtl/>
          <w:lang w:bidi="ar-SA"/>
        </w:rPr>
        <w:t>التمريضين</w:t>
      </w:r>
      <w:r w:rsidRPr="00071F43">
        <w:rPr>
          <w:rFonts w:ascii="Tahoma" w:hAnsi="Tahoma" w:cs="Tahoma"/>
          <w:sz w:val="18"/>
          <w:szCs w:val="18"/>
          <w:rtl/>
          <w:lang w:bidi="ar-SA"/>
        </w:rPr>
        <w:t xml:space="preserve"> حصول على رعاية تمريضيّة بجودة لائقة، إلّا إنّ نتائج الرقابة أشارت إلى الكثير من النواقص </w:t>
      </w:r>
      <w:r w:rsidRPr="00C1741A" w:rsidR="00275B96">
        <w:rPr>
          <w:rFonts w:ascii="Tahoma" w:hAnsi="Tahoma" w:cs="Tahoma" w:hint="cs"/>
          <w:sz w:val="18"/>
          <w:szCs w:val="18"/>
          <w:rtl/>
          <w:lang w:bidi="ar-SA"/>
        </w:rPr>
        <w:t>الخطيرة</w:t>
      </w:r>
      <w:r w:rsidRPr="00071F43">
        <w:rPr>
          <w:rFonts w:ascii="Tahoma" w:hAnsi="Tahoma" w:cs="Tahoma"/>
          <w:sz w:val="18"/>
          <w:szCs w:val="18"/>
          <w:rtl/>
          <w:lang w:bidi="ar-SA"/>
        </w:rPr>
        <w:t xml:space="preserve"> بالنسبة لجودة الرعاية المنزليّة التي تُقدّم لحوالي </w:t>
      </w:r>
      <w:r w:rsidRPr="00071F43">
        <w:rPr>
          <w:rFonts w:ascii="Tahoma" w:hAnsi="Tahoma" w:cs="Tahoma"/>
          <w:sz w:val="18"/>
          <w:szCs w:val="18"/>
          <w:rtl/>
        </w:rPr>
        <w:t xml:space="preserve">165,000 </w:t>
      </w:r>
      <w:r w:rsidRPr="00071F43">
        <w:rPr>
          <w:rFonts w:ascii="Tahoma" w:hAnsi="Tahoma" w:cs="Tahoma"/>
          <w:sz w:val="18"/>
          <w:szCs w:val="18"/>
          <w:rtl/>
          <w:lang w:bidi="ar-SA"/>
        </w:rPr>
        <w:t xml:space="preserve">مسنّ، وفي بعض الأحيان قد تبلغ هذه النواقص حدّ الإهمال. كما تشير النتائج إلى الصعوبة الكبيرة التي تواجه أفراد العائلات الذين يتحمّلون العبء الكبير المتعلّق برعاية المسنّين التمريضيّين. سلطات الدولة لم تتعامل كما ينبغي مع الحاجة إلى دعم أفراد العائلات الذين يقومون برعاية المسنّين التمريضيّين، وعمليًّا أهملت أو تركت أفراد هذه العائلات ليتعاملوا وحدهم مع العبء الثقيل المنوط برعاية المسنّين التمريضيّين. تدلّ نتائج هذا التقرير، إذًا، على أنّ الدولة لا تقوم بما هو كافٍ لتطبيق المبدأ الرئيسيّ في </w:t>
      </w:r>
      <w:r w:rsidRPr="00071F43">
        <w:rPr>
          <w:rFonts w:ascii="Tahoma" w:hAnsi="Tahoma" w:cs="Tahoma"/>
          <w:sz w:val="18"/>
          <w:szCs w:val="18"/>
          <w:lang w:bidi="ar-SA"/>
        </w:rPr>
        <w:t>"Ageing in Place"</w:t>
      </w:r>
      <w:r w:rsidRPr="00071F43">
        <w:rPr>
          <w:rFonts w:ascii="Tahoma" w:hAnsi="Tahoma" w:cs="Tahoma"/>
          <w:sz w:val="18"/>
          <w:szCs w:val="18"/>
          <w:rtl/>
        </w:rPr>
        <w:t>,</w:t>
      </w:r>
      <w:r w:rsidRPr="00071F43">
        <w:rPr>
          <w:rFonts w:ascii="Tahoma" w:hAnsi="Tahoma" w:cs="Tahoma"/>
          <w:sz w:val="18"/>
          <w:szCs w:val="18"/>
          <w:rtl/>
          <w:lang w:bidi="ar-SA"/>
        </w:rPr>
        <w:t xml:space="preserve"> ولذا فهي</w:t>
      </w:r>
      <w:r w:rsidRPr="00071F43">
        <w:rPr>
          <w:rFonts w:ascii="Tahoma" w:hAnsi="Tahoma" w:cs="Tahoma"/>
          <w:sz w:val="18"/>
          <w:szCs w:val="18"/>
          <w:rtl/>
        </w:rPr>
        <w:t xml:space="preserve"> </w:t>
      </w:r>
      <w:r w:rsidRPr="00071F43">
        <w:rPr>
          <w:rFonts w:ascii="Tahoma" w:hAnsi="Tahoma" w:cs="Tahoma"/>
          <w:sz w:val="18"/>
          <w:szCs w:val="18"/>
          <w:rtl/>
          <w:lang w:bidi="ar-SA"/>
        </w:rPr>
        <w:t xml:space="preserve">لا تقوم بواجبها لضمان حق المسنّين في العيش بكرامة إنسانيّة واقتصاديّة، مع تقديم مساعدة لائقة لأفراد عائلاتهم. هذا الواجب راسخ في المواثيق الدوليّة التي وقّعت عليها الدولة؛ في الوثائق الدوليّة التي شاركت الدولة في صياغتها، في قانون أساس: كرامة الإنسان وحرّيّته وفي قرارات الحكم التي أصدرتها المحكمة العليا. </w:t>
      </w:r>
    </w:p>
    <w:p w:rsidR="00071F43" w:rsidRPr="00071F43" w:rsidP="00275B96">
      <w:pPr>
        <w:spacing w:after="180" w:line="360" w:lineRule="exact"/>
        <w:ind w:right="2268"/>
        <w:jc w:val="both"/>
        <w:rPr>
          <w:rFonts w:ascii="Tahoma" w:hAnsi="Tahoma" w:cs="Tahoma"/>
          <w:sz w:val="18"/>
          <w:szCs w:val="18"/>
          <w:rtl/>
          <w:lang w:bidi="ar-SA"/>
        </w:rPr>
      </w:pPr>
      <w:r w:rsidRPr="00C1741A">
        <w:rPr>
          <w:rFonts w:ascii="Tahoma" w:hAnsi="Tahoma" w:cs="Tahoma" w:hint="cs"/>
          <w:sz w:val="18"/>
          <w:szCs w:val="18"/>
          <w:rtl/>
          <w:lang w:bidi="ar-SA"/>
        </w:rPr>
        <w:t>نتجه</w:t>
      </w:r>
      <w:r w:rsidRPr="00071F43">
        <w:rPr>
          <w:rFonts w:ascii="Tahoma" w:hAnsi="Tahoma" w:cs="Tahoma"/>
          <w:sz w:val="18"/>
          <w:szCs w:val="18"/>
          <w:rtl/>
          <w:lang w:bidi="ar-SA"/>
        </w:rPr>
        <w:t xml:space="preserve"> لهذا الوضع</w:t>
      </w:r>
      <w:r w:rsidRPr="00071F43">
        <w:rPr>
          <w:rFonts w:ascii="Tahoma" w:hAnsi="Tahoma" w:cs="Tahoma"/>
          <w:sz w:val="18"/>
          <w:szCs w:val="18"/>
          <w:rtl/>
        </w:rPr>
        <w:t xml:space="preserve"> </w:t>
      </w:r>
      <w:r w:rsidRPr="00071F43">
        <w:rPr>
          <w:rFonts w:ascii="Tahoma" w:hAnsi="Tahoma" w:cs="Tahoma"/>
          <w:sz w:val="18"/>
          <w:szCs w:val="18"/>
          <w:rtl/>
          <w:lang w:bidi="ar-SA"/>
        </w:rPr>
        <w:t xml:space="preserve">، على السلطات المعنيّة دراسة هذا التقرير والعمل على إصلاح النواقص التي كشف عنها، من منطلق تطبيق فريضة " </w:t>
      </w:r>
      <w:r w:rsidRPr="00071F43">
        <w:rPr>
          <w:rFonts w:ascii="Tahoma" w:hAnsi="Tahoma" w:cs="Tahoma"/>
          <w:b/>
          <w:bCs/>
          <w:sz w:val="18"/>
          <w:szCs w:val="18"/>
          <w:rtl/>
          <w:lang w:bidi="ar-SA"/>
        </w:rPr>
        <w:t>إِحْتْرِمْ</w:t>
      </w:r>
      <w:r w:rsidRPr="00071F43">
        <w:rPr>
          <w:rFonts w:ascii="Tahoma" w:hAnsi="Tahoma" w:cs="Tahoma"/>
          <w:b/>
          <w:bCs/>
          <w:sz w:val="18"/>
          <w:szCs w:val="18"/>
          <w:rtl/>
        </w:rPr>
        <w:t xml:space="preserve"> </w:t>
      </w:r>
      <w:r w:rsidRPr="00071F43">
        <w:rPr>
          <w:rFonts w:ascii="Tahoma" w:hAnsi="Tahoma" w:cs="Tahoma"/>
          <w:b/>
          <w:bCs/>
          <w:sz w:val="18"/>
          <w:szCs w:val="18"/>
          <w:rtl/>
          <w:lang w:bidi="ar-SA"/>
        </w:rPr>
        <w:t>وَجْهَ</w:t>
      </w:r>
      <w:r w:rsidRPr="00071F43">
        <w:rPr>
          <w:rFonts w:ascii="Tahoma" w:hAnsi="Tahoma" w:cs="Tahoma"/>
          <w:b/>
          <w:bCs/>
          <w:sz w:val="18"/>
          <w:szCs w:val="18"/>
          <w:rtl/>
        </w:rPr>
        <w:t xml:space="preserve"> </w:t>
      </w:r>
      <w:r w:rsidRPr="00071F43">
        <w:rPr>
          <w:rFonts w:ascii="Tahoma" w:hAnsi="Tahoma" w:cs="Tahoma"/>
          <w:b/>
          <w:bCs/>
          <w:sz w:val="18"/>
          <w:szCs w:val="18"/>
          <w:rtl/>
          <w:lang w:bidi="ar-SA"/>
        </w:rPr>
        <w:t>الشَّيْخِ</w:t>
      </w:r>
      <w:r w:rsidRPr="00071F43">
        <w:rPr>
          <w:rFonts w:ascii="Tahoma" w:hAnsi="Tahoma" w:cs="Tahoma"/>
          <w:sz w:val="18"/>
          <w:szCs w:val="18"/>
          <w:rtl/>
          <w:lang w:bidi="ar-SA"/>
        </w:rPr>
        <w:t>" (سفر اللاويّين</w:t>
      </w:r>
      <w:r w:rsidRPr="00071F43">
        <w:rPr>
          <w:rFonts w:ascii="Tahoma" w:hAnsi="Tahoma" w:cs="Tahoma"/>
          <w:sz w:val="18"/>
          <w:szCs w:val="18"/>
          <w:rtl/>
        </w:rPr>
        <w:t xml:space="preserve"> </w:t>
      </w:r>
      <w:r w:rsidRPr="00071F43">
        <w:rPr>
          <w:rFonts w:ascii="Tahoma" w:hAnsi="Tahoma" w:cs="Tahoma"/>
          <w:sz w:val="18"/>
          <w:szCs w:val="18"/>
          <w:rtl/>
          <w:lang w:bidi="ar-SA"/>
        </w:rPr>
        <w:t>(</w:t>
      </w:r>
      <w:r w:rsidRPr="00071F43">
        <w:rPr>
          <w:rFonts w:ascii="Tahoma" w:hAnsi="Tahoma" w:cs="Tahoma"/>
          <w:sz w:val="18"/>
          <w:szCs w:val="18"/>
          <w:rtl/>
        </w:rPr>
        <w:t>וַיִּקְרָא)</w:t>
      </w:r>
      <w:r w:rsidRPr="00071F43">
        <w:rPr>
          <w:rFonts w:ascii="Tahoma" w:hAnsi="Tahoma" w:cs="Tahoma"/>
          <w:sz w:val="18"/>
          <w:szCs w:val="18"/>
          <w:rtl/>
          <w:lang w:bidi="ar-SA"/>
        </w:rPr>
        <w:t xml:space="preserve">، جزء 19ك الآية 32) على أرض الواقع. كما سبق وأن أشرت في فرص مختلفة منذ أن تولّيت مهامّ منصبي، فإنّني </w:t>
      </w:r>
      <w:r w:rsidRPr="00C1741A">
        <w:rPr>
          <w:rFonts w:ascii="Tahoma" w:hAnsi="Tahoma" w:cs="Tahoma" w:hint="cs"/>
          <w:sz w:val="18"/>
          <w:szCs w:val="18"/>
          <w:rtl/>
          <w:lang w:bidi="ar-SA"/>
        </w:rPr>
        <w:t>أعتبر</w:t>
      </w:r>
      <w:r w:rsidRPr="00C1741A">
        <w:rPr>
          <w:rFonts w:ascii="Tahoma" w:hAnsi="Tahoma" w:cs="Tahoma"/>
          <w:sz w:val="18"/>
          <w:szCs w:val="18"/>
          <w:rtl/>
          <w:lang w:bidi="ar-SA"/>
        </w:rPr>
        <w:t xml:space="preserve"> </w:t>
      </w:r>
      <w:r w:rsidRPr="00C1741A">
        <w:rPr>
          <w:rFonts w:ascii="Tahoma" w:hAnsi="Tahoma" w:cs="Tahoma" w:hint="cs"/>
          <w:sz w:val="18"/>
          <w:szCs w:val="18"/>
          <w:rtl/>
          <w:lang w:bidi="ar-SA"/>
        </w:rPr>
        <w:t>مؤسسة</w:t>
      </w:r>
      <w:r w:rsidRPr="00071F43">
        <w:rPr>
          <w:rFonts w:ascii="Tahoma" w:hAnsi="Tahoma" w:cs="Tahoma"/>
          <w:sz w:val="18"/>
          <w:szCs w:val="18"/>
          <w:rtl/>
          <w:lang w:bidi="ar-SA"/>
        </w:rPr>
        <w:t xml:space="preserve"> مراقب الدولة ومندوب شكاوى الجمهور، هيئة تدافع عن </w:t>
      </w:r>
      <w:r w:rsidRPr="00C1741A">
        <w:rPr>
          <w:rFonts w:ascii="Tahoma" w:hAnsi="Tahoma" w:cs="Tahoma"/>
          <w:sz w:val="18"/>
          <w:szCs w:val="18"/>
          <w:rtl/>
          <w:lang w:bidi="ar-SA"/>
        </w:rPr>
        <w:t>حق</w:t>
      </w:r>
      <w:r w:rsidRPr="00C1741A">
        <w:rPr>
          <w:rFonts w:ascii="Tahoma" w:hAnsi="Tahoma" w:cs="Tahoma"/>
          <w:sz w:val="18"/>
          <w:szCs w:val="18"/>
          <w:rtl/>
          <w:lang w:bidi="ar-SA"/>
        </w:rPr>
        <w:t>و</w:t>
      </w:r>
      <w:r w:rsidRPr="00C1741A">
        <w:rPr>
          <w:rFonts w:ascii="Tahoma" w:hAnsi="Tahoma" w:cs="Tahoma"/>
          <w:sz w:val="18"/>
          <w:szCs w:val="18"/>
          <w:rtl/>
          <w:lang w:bidi="ar-SA"/>
        </w:rPr>
        <w:t>ق</w:t>
      </w:r>
      <w:r w:rsidRPr="00071F43">
        <w:rPr>
          <w:rFonts w:ascii="Tahoma" w:hAnsi="Tahoma" w:cs="Tahoma"/>
          <w:sz w:val="18"/>
          <w:szCs w:val="18"/>
          <w:rtl/>
          <w:lang w:bidi="ar-SA"/>
        </w:rPr>
        <w:t xml:space="preserve"> الإنسان في دولة إسرائيل. هذا التقرير الذي يتناول تحقيق أحد الحقوق الاجتماعيّة الأساسيّة في ظلّ نظام حكم ديمقراطيّ، وهو </w:t>
      </w:r>
      <w:r w:rsidRPr="00071F43">
        <w:rPr>
          <w:rFonts w:ascii="Tahoma" w:hAnsi="Tahoma" w:cs="Tahoma"/>
          <w:sz w:val="18"/>
          <w:szCs w:val="18"/>
          <w:rtl/>
          <w:lang w:bidi="ar-SA"/>
        </w:rPr>
        <w:t>الحياة بكرامة إنسانيّة، هو نتيجة مباشرة لسياساتي الرامية إلى التأكيد أمام الهيئات الخاضعة للرقابة على أنّ واجبات دولة ٌ</w:t>
      </w:r>
      <w:r w:rsidRPr="00C1741A">
        <w:rPr>
          <w:rFonts w:ascii="Tahoma" w:hAnsi="Tahoma" w:cs="Tahoma" w:hint="cs"/>
          <w:sz w:val="18"/>
          <w:szCs w:val="18"/>
          <w:rtl/>
          <w:lang w:bidi="ar-SA"/>
        </w:rPr>
        <w:t>إسرائي</w:t>
      </w:r>
      <w:r w:rsidRPr="00C1741A">
        <w:rPr>
          <w:rFonts w:ascii="Tahoma" w:hAnsi="Tahoma" w:cs="Tahoma" w:hint="eastAsia"/>
          <w:sz w:val="18"/>
          <w:szCs w:val="18"/>
          <w:rtl/>
          <w:lang w:bidi="ar-SA"/>
        </w:rPr>
        <w:t>ل</w:t>
      </w:r>
      <w:r w:rsidRPr="00071F43">
        <w:rPr>
          <w:rFonts w:ascii="Tahoma" w:hAnsi="Tahoma" w:cs="Tahoma"/>
          <w:sz w:val="18"/>
          <w:szCs w:val="18"/>
          <w:rtl/>
          <w:lang w:bidi="ar-SA"/>
        </w:rPr>
        <w:t xml:space="preserve"> التي تستند إلى قانون أساس: كرامة الإنسان وحرّيّته،</w:t>
      </w:r>
      <w:r w:rsidRPr="00071F43">
        <w:rPr>
          <w:rFonts w:ascii="Tahoma" w:hAnsi="Tahoma" w:cs="Tahoma"/>
          <w:sz w:val="18"/>
          <w:szCs w:val="18"/>
          <w:rtl/>
        </w:rPr>
        <w:t xml:space="preserve"> </w:t>
      </w:r>
      <w:r w:rsidRPr="00071F43">
        <w:rPr>
          <w:rFonts w:ascii="Tahoma" w:hAnsi="Tahoma" w:cs="Tahoma"/>
          <w:sz w:val="18"/>
          <w:szCs w:val="18"/>
          <w:rtl/>
          <w:lang w:bidi="ar-SA"/>
        </w:rPr>
        <w:t xml:space="preserve">وإلى المواثيق الدوليّة في مجال حقوق الإنسان والتي وقّعت عليها الدولة، ليست من باب المثاليّات، بل إنّها هدف سامٍ. هذه الواجبات هي واجبات دستوريّة مصحوبة بالتزام دوليّ يفرض على هيئات السلطة واجبات قضائيّة. هناك التزام من جانب الدولة بتخصيص القدر المناسب من الموارد لضمان حقّ </w:t>
      </w:r>
      <w:r w:rsidRPr="00071F43">
        <w:rPr>
          <w:rFonts w:ascii="Tahoma" w:hAnsi="Tahoma" w:cs="Tahoma"/>
          <w:b/>
          <w:bCs/>
          <w:sz w:val="18"/>
          <w:szCs w:val="18"/>
          <w:rtl/>
          <w:lang w:bidi="ar-SA"/>
        </w:rPr>
        <w:t>المسنّين</w:t>
      </w:r>
      <w:r w:rsidRPr="00071F43">
        <w:rPr>
          <w:rFonts w:ascii="Tahoma" w:hAnsi="Tahoma" w:cs="Tahoma"/>
          <w:sz w:val="18"/>
          <w:szCs w:val="18"/>
          <w:rtl/>
          <w:lang w:bidi="ar-SA"/>
        </w:rPr>
        <w:t xml:space="preserve"> في الحياة الكريمة إنسانيًّا واقتصاديًّا، مع تقديم المساعدة اللائقة لأفراد عائلات </w:t>
      </w:r>
      <w:r w:rsidRPr="00071F43">
        <w:rPr>
          <w:rFonts w:ascii="Tahoma" w:hAnsi="Tahoma" w:cs="Tahoma"/>
          <w:b/>
          <w:bCs/>
          <w:sz w:val="18"/>
          <w:szCs w:val="18"/>
          <w:rtl/>
          <w:lang w:bidi="ar-SA"/>
        </w:rPr>
        <w:t>المسنّين</w:t>
      </w:r>
      <w:r w:rsidRPr="00071F43">
        <w:rPr>
          <w:rFonts w:ascii="Tahoma" w:hAnsi="Tahoma" w:cs="Tahoma"/>
          <w:sz w:val="18"/>
          <w:szCs w:val="18"/>
          <w:rtl/>
          <w:lang w:bidi="ar-SA"/>
        </w:rPr>
        <w:t xml:space="preserve">، ووضع سياسات تحقّق هذا الالتزام. </w:t>
      </w:r>
    </w:p>
    <w:p w:rsidR="00071F43" w:rsidRPr="00071F43" w:rsidP="00D449A8">
      <w:pPr>
        <w:spacing w:after="180" w:line="360" w:lineRule="exact"/>
        <w:ind w:right="2268"/>
        <w:jc w:val="both"/>
        <w:rPr>
          <w:rFonts w:ascii="Tahoma" w:hAnsi="Tahoma" w:cs="Tahoma"/>
          <w:sz w:val="18"/>
          <w:szCs w:val="18"/>
          <w:rtl/>
          <w:lang w:bidi="ar-SA"/>
        </w:rPr>
      </w:pPr>
      <w:r w:rsidRPr="00071F43">
        <w:rPr>
          <w:rFonts w:ascii="Tahoma" w:hAnsi="Tahoma" w:cs="Tahoma"/>
          <w:sz w:val="18"/>
          <w:szCs w:val="18"/>
          <w:rtl/>
          <w:lang w:bidi="ar-SA"/>
        </w:rPr>
        <w:t xml:space="preserve">قال قاضي المحكمة العليا نيل هندل في أحد قرارات الحكم التي أصدرها: </w:t>
      </w:r>
    </w:p>
    <w:p w:rsidR="00071F43" w:rsidRPr="00071F43" w:rsidP="00D449A8">
      <w:pPr>
        <w:bidi w:val="0"/>
        <w:spacing w:line="360" w:lineRule="exact"/>
        <w:ind w:left="2268" w:right="567"/>
        <w:jc w:val="both"/>
        <w:rPr>
          <w:rFonts w:ascii="Tahoma" w:hAnsi="Tahoma" w:cs="Tahoma"/>
          <w:sz w:val="18"/>
          <w:szCs w:val="18"/>
          <w:rtl/>
        </w:rPr>
      </w:pPr>
      <w:r w:rsidRPr="00071F43">
        <w:rPr>
          <w:rFonts w:ascii="Tahoma" w:hAnsi="Tahoma" w:cs="Tahoma"/>
          <w:sz w:val="18"/>
          <w:szCs w:val="18"/>
        </w:rPr>
        <w:t>"Aging is what we all hope for, and all fear. Let there be more hope and less fear"</w:t>
      </w:r>
      <w:r w:rsidRPr="00071F43">
        <w:rPr>
          <w:rFonts w:ascii="Tahoma" w:hAnsi="Tahoma" w:cs="Tahoma"/>
          <w:sz w:val="18"/>
          <w:szCs w:val="18"/>
          <w:rtl/>
        </w:rPr>
        <w:t xml:space="preserve">. </w:t>
      </w:r>
    </w:p>
    <w:p w:rsidR="00071F43" w:rsidRPr="00071F43" w:rsidP="00D449A8">
      <w:pPr>
        <w:spacing w:after="180" w:line="360" w:lineRule="exact"/>
        <w:ind w:right="2268"/>
        <w:jc w:val="both"/>
        <w:rPr>
          <w:rFonts w:ascii="Tahoma" w:hAnsi="Tahoma" w:cs="Tahoma"/>
          <w:sz w:val="18"/>
          <w:szCs w:val="18"/>
          <w:rtl/>
          <w:lang w:bidi="ar-SA"/>
        </w:rPr>
      </w:pPr>
      <w:r w:rsidRPr="00071F43">
        <w:rPr>
          <w:rFonts w:ascii="Tahoma" w:hAnsi="Tahoma" w:cs="Tahoma"/>
          <w:sz w:val="18"/>
          <w:szCs w:val="18"/>
          <w:rtl/>
          <w:lang w:bidi="ar-SA"/>
        </w:rPr>
        <w:t xml:space="preserve">آمل أن اتّخاذ خطوة فعليّة وسريعة لتطبيق التوصيات </w:t>
      </w:r>
      <w:r w:rsidRPr="00C1741A" w:rsidR="00275B96">
        <w:rPr>
          <w:rFonts w:ascii="Tahoma" w:hAnsi="Tahoma" w:cs="Tahoma" w:hint="cs"/>
          <w:sz w:val="18"/>
          <w:szCs w:val="18"/>
          <w:rtl/>
          <w:lang w:bidi="ar-SA"/>
        </w:rPr>
        <w:t>الواردة</w:t>
      </w:r>
      <w:r w:rsidRPr="00071F43">
        <w:rPr>
          <w:rFonts w:ascii="Tahoma" w:hAnsi="Tahoma" w:cs="Tahoma"/>
          <w:sz w:val="18"/>
          <w:szCs w:val="18"/>
          <w:rtl/>
          <w:lang w:bidi="ar-SA"/>
        </w:rPr>
        <w:t xml:space="preserve"> في تقرير الرقابة الحاليّ، سيضمن لفئة المسنّين التمريضيّين في الدولة قدر</w:t>
      </w:r>
      <w:r w:rsidRPr="00071F43">
        <w:rPr>
          <w:rFonts w:ascii="Tahoma" w:hAnsi="Tahoma" w:cs="Tahoma"/>
          <w:sz w:val="18"/>
          <w:szCs w:val="18"/>
          <w:rtl/>
        </w:rPr>
        <w:t xml:space="preserve"> </w:t>
      </w:r>
      <w:r w:rsidRPr="00071F43">
        <w:rPr>
          <w:rFonts w:ascii="Tahoma" w:hAnsi="Tahoma" w:cs="Tahoma"/>
          <w:sz w:val="18"/>
          <w:szCs w:val="18"/>
          <w:rtl/>
          <w:lang w:bidi="ar-SA"/>
        </w:rPr>
        <w:t>أقلّ من مخاوف</w:t>
      </w:r>
      <w:r w:rsidRPr="00071F43">
        <w:rPr>
          <w:rFonts w:ascii="Tahoma" w:hAnsi="Tahoma" w:cs="Tahoma"/>
          <w:sz w:val="18"/>
          <w:szCs w:val="18"/>
          <w:rtl/>
        </w:rPr>
        <w:t xml:space="preserve"> </w:t>
      </w:r>
      <w:r w:rsidRPr="00071F43">
        <w:rPr>
          <w:rFonts w:ascii="Tahoma" w:hAnsi="Tahoma" w:cs="Tahoma"/>
          <w:sz w:val="18"/>
          <w:szCs w:val="18"/>
          <w:rtl/>
          <w:lang w:bidi="ar-SA"/>
        </w:rPr>
        <w:t xml:space="preserve">الشيخوخة، والأهمّ من ذلك الحياة بكرامة إنسانيّة". </w:t>
      </w:r>
    </w:p>
    <w:p w:rsidR="00071F43" w:rsidRPr="00071F43" w:rsidP="00D449A8">
      <w:pPr>
        <w:spacing w:after="180" w:line="360" w:lineRule="exact"/>
        <w:ind w:right="2268"/>
        <w:jc w:val="both"/>
        <w:rPr>
          <w:rFonts w:ascii="Tahoma" w:hAnsi="Tahoma" w:cs="Tahoma"/>
          <w:sz w:val="18"/>
          <w:szCs w:val="18"/>
          <w:rtl/>
          <w:lang w:bidi="ar-SA"/>
        </w:rPr>
      </w:pPr>
      <w:r w:rsidRPr="00071F43">
        <w:rPr>
          <w:rFonts w:ascii="Tahoma" w:hAnsi="Tahoma" w:cs="Tahoma"/>
          <w:sz w:val="18"/>
          <w:szCs w:val="18"/>
          <w:rtl/>
          <w:lang w:bidi="ar-SA"/>
        </w:rPr>
        <w:t xml:space="preserve">عسى أن يتحقّق ذلك. </w:t>
      </w:r>
    </w:p>
    <w:p w:rsidR="00071F43" w:rsidRPr="00071F43" w:rsidP="00D449A8">
      <w:pPr>
        <w:spacing w:after="180" w:line="360" w:lineRule="exact"/>
        <w:ind w:right="2268"/>
        <w:jc w:val="both"/>
        <w:rPr>
          <w:rFonts w:ascii="Tahoma" w:hAnsi="Tahoma" w:cs="Tahoma"/>
          <w:sz w:val="18"/>
          <w:szCs w:val="18"/>
          <w:rtl/>
          <w:lang w:bidi="ar-SA"/>
        </w:rPr>
      </w:pPr>
      <w:r w:rsidRPr="00071F43">
        <w:rPr>
          <w:rFonts w:ascii="Tahoma" w:hAnsi="Tahoma" w:cs="Tahoma"/>
          <w:sz w:val="18"/>
          <w:szCs w:val="18"/>
          <w:rtl/>
          <w:lang w:bidi="ar-SA"/>
        </w:rPr>
        <w:t xml:space="preserve">بسنّي المتقدّم، أقول بنغمة شخصيّة ما يلي: شابّ اليوم هو كهل الغد. </w:t>
      </w:r>
    </w:p>
    <w:p w:rsidR="00071F43" w:rsidP="00D449A8">
      <w:pPr>
        <w:spacing w:after="180" w:line="360" w:lineRule="exact"/>
        <w:ind w:right="2268"/>
        <w:jc w:val="both"/>
        <w:rPr>
          <w:rFonts w:ascii="Tahoma" w:hAnsi="Tahoma" w:cs="Tahoma"/>
          <w:sz w:val="18"/>
          <w:szCs w:val="18"/>
        </w:rPr>
      </w:pPr>
      <w:r w:rsidRPr="00071F43">
        <w:rPr>
          <w:rFonts w:ascii="Tahoma" w:hAnsi="Tahoma" w:cs="Tahoma"/>
          <w:sz w:val="18"/>
          <w:szCs w:val="18"/>
          <w:rtl/>
          <w:lang w:bidi="ar-SA"/>
        </w:rPr>
        <w:t>مع تمنّياتي بوافر الصحّة، والمزيد من العمر حتى</w:t>
      </w:r>
      <w:r w:rsidRPr="00071F43">
        <w:rPr>
          <w:rFonts w:ascii="Tahoma" w:hAnsi="Tahoma" w:cs="Tahoma"/>
          <w:sz w:val="18"/>
          <w:szCs w:val="18"/>
          <w:rtl/>
        </w:rPr>
        <w:t xml:space="preserve"> </w:t>
      </w:r>
      <w:r w:rsidRPr="00071F43">
        <w:rPr>
          <w:rFonts w:ascii="Tahoma" w:hAnsi="Tahoma" w:cs="Tahoma"/>
          <w:sz w:val="18"/>
          <w:szCs w:val="18"/>
          <w:rtl/>
          <w:lang w:bidi="ar-SA"/>
        </w:rPr>
        <w:t xml:space="preserve">الـ </w:t>
      </w:r>
      <w:r w:rsidRPr="00071F43">
        <w:rPr>
          <w:rFonts w:ascii="Tahoma" w:hAnsi="Tahoma" w:cs="Tahoma"/>
          <w:sz w:val="18"/>
          <w:szCs w:val="18"/>
          <w:rtl/>
        </w:rPr>
        <w:t xml:space="preserve">120! </w:t>
      </w:r>
    </w:p>
    <w:p w:rsidR="00071F43" w:rsidRPr="00071F43" w:rsidP="00071F43">
      <w:pPr>
        <w:spacing w:after="180" w:line="380" w:lineRule="exact"/>
        <w:ind w:right="2268"/>
        <w:jc w:val="both"/>
        <w:rPr>
          <w:rFonts w:ascii="Tahoma" w:hAnsi="Tahoma" w:cs="Tahoma"/>
          <w:sz w:val="18"/>
          <w:szCs w:val="18"/>
          <w:rtl/>
        </w:rPr>
      </w:pPr>
    </w:p>
    <w:p w:rsidR="00DA321E" w:rsidRPr="00170230" w:rsidP="00DA321E">
      <w:pPr>
        <w:tabs>
          <w:tab w:val="center" w:pos="4393"/>
        </w:tabs>
        <w:spacing w:line="240" w:lineRule="atLeast"/>
        <w:rPr>
          <w:rFonts w:ascii="Tahoma" w:hAnsi="Tahoma" w:cs="Tahoma"/>
          <w:sz w:val="20"/>
          <w:szCs w:val="18"/>
          <w:rtl/>
        </w:rPr>
      </w:pPr>
      <w:r>
        <w:rPr>
          <w:rFonts w:ascii="Tahoma" w:hAnsi="Tahoma" w:cs="Tahoma"/>
          <w:sz w:val="20"/>
          <w:szCs w:val="18"/>
        </w:rPr>
        <w:tab/>
      </w:r>
      <w:r>
        <w:rPr>
          <w:rFonts w:ascii="Tahoma" w:hAnsi="Tahoma" w:cs="Tahoma"/>
          <w:noProof/>
          <w:sz w:val="20"/>
          <w:szCs w:val="18"/>
          <w:rtl/>
        </w:rPr>
        <w:drawing>
          <wp:inline distT="0" distB="0" distL="0" distR="0">
            <wp:extent cx="1368000" cy="55919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454583" name="Shapira_Sign.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8000" cy="559197"/>
                    </a:xfrm>
                    <a:prstGeom prst="rect">
                      <a:avLst/>
                    </a:prstGeom>
                  </pic:spPr>
                </pic:pic>
              </a:graphicData>
            </a:graphic>
          </wp:inline>
        </w:drawing>
      </w:r>
    </w:p>
    <w:p w:rsidR="00DA321E" w:rsidRPr="00D70CA7" w:rsidP="00DA321E">
      <w:pPr>
        <w:widowControl w:val="0"/>
        <w:tabs>
          <w:tab w:val="center" w:pos="4394"/>
        </w:tabs>
        <w:spacing w:after="0" w:line="280" w:lineRule="exact"/>
        <w:rPr>
          <w:rFonts w:ascii="Tahoma" w:hAnsi="Tahoma" w:cs="Tahoma"/>
          <w:b/>
          <w:bCs/>
          <w:sz w:val="18"/>
          <w:szCs w:val="18"/>
          <w:rtl/>
          <w:lang w:bidi="ar-AE"/>
        </w:rPr>
      </w:pPr>
      <w:r w:rsidRPr="00D70CA7">
        <w:rPr>
          <w:rFonts w:ascii="Tahoma" w:hAnsi="Tahoma" w:cs="Tahoma"/>
          <w:b/>
          <w:bCs/>
          <w:sz w:val="18"/>
          <w:szCs w:val="18"/>
          <w:lang w:bidi="ar-SA"/>
        </w:rPr>
        <w:tab/>
      </w:r>
      <w:r w:rsidRPr="00D70CA7">
        <w:rPr>
          <w:rFonts w:ascii="Tahoma" w:hAnsi="Tahoma" w:cs="Tahoma"/>
          <w:b/>
          <w:bCs/>
          <w:sz w:val="18"/>
          <w:szCs w:val="18"/>
          <w:rtl/>
          <w:lang w:bidi="ar-SA"/>
        </w:rPr>
        <w:t xml:space="preserve">يوسف حاييم شفيرا, قاض </w:t>
      </w:r>
      <w:r w:rsidRPr="00D70CA7">
        <w:rPr>
          <w:rFonts w:ascii="Tahoma" w:hAnsi="Tahoma" w:cs="Tahoma"/>
          <w:b/>
          <w:bCs/>
          <w:sz w:val="18"/>
          <w:szCs w:val="18"/>
          <w:rtl/>
          <w:lang w:bidi="ar-AE"/>
        </w:rPr>
        <w:t>(متقاعد)</w:t>
      </w:r>
    </w:p>
    <w:p w:rsidR="00DA321E" w:rsidRPr="00D70CA7" w:rsidP="00DA321E">
      <w:pPr>
        <w:widowControl w:val="0"/>
        <w:tabs>
          <w:tab w:val="center" w:pos="4394"/>
        </w:tabs>
        <w:spacing w:after="0" w:line="280" w:lineRule="exact"/>
        <w:rPr>
          <w:rFonts w:ascii="Tahoma" w:hAnsi="Tahoma" w:cs="Tahoma"/>
          <w:sz w:val="18"/>
          <w:szCs w:val="18"/>
          <w:lang w:bidi="ar-SA"/>
        </w:rPr>
      </w:pPr>
      <w:r w:rsidRPr="00D70CA7">
        <w:rPr>
          <w:rFonts w:ascii="Tahoma" w:hAnsi="Tahoma" w:cs="Tahoma"/>
          <w:sz w:val="18"/>
          <w:szCs w:val="18"/>
          <w:lang w:bidi="ar-SA"/>
        </w:rPr>
        <w:tab/>
      </w:r>
      <w:r w:rsidRPr="00D70CA7">
        <w:rPr>
          <w:rFonts w:ascii="Tahoma" w:hAnsi="Tahoma" w:cs="Tahoma"/>
          <w:sz w:val="18"/>
          <w:szCs w:val="18"/>
          <w:rtl/>
          <w:lang w:bidi="ar-SA"/>
        </w:rPr>
        <w:t>مراقب الدولة</w:t>
      </w:r>
    </w:p>
    <w:p w:rsidR="00DA321E" w:rsidRPr="00D70CA7" w:rsidP="00DA321E">
      <w:pPr>
        <w:widowControl w:val="0"/>
        <w:tabs>
          <w:tab w:val="center" w:pos="4394"/>
        </w:tabs>
        <w:spacing w:after="0" w:line="280" w:lineRule="exact"/>
        <w:rPr>
          <w:rFonts w:ascii="Tahoma" w:hAnsi="Tahoma" w:cs="Tahoma"/>
          <w:sz w:val="18"/>
          <w:szCs w:val="18"/>
          <w:lang w:bidi="ar-SA"/>
        </w:rPr>
      </w:pPr>
      <w:r w:rsidRPr="00D70CA7">
        <w:rPr>
          <w:rFonts w:ascii="Tahoma" w:hAnsi="Tahoma" w:cs="Tahoma"/>
          <w:sz w:val="18"/>
          <w:szCs w:val="18"/>
          <w:lang w:bidi="ar-SA"/>
        </w:rPr>
        <w:tab/>
      </w:r>
      <w:r w:rsidRPr="00D70CA7">
        <w:rPr>
          <w:rFonts w:ascii="Tahoma" w:hAnsi="Tahoma" w:cs="Tahoma"/>
          <w:sz w:val="18"/>
          <w:szCs w:val="18"/>
          <w:rtl/>
          <w:lang w:bidi="ar-SA"/>
        </w:rPr>
        <w:t>ومندوب شكاوى الجمهور</w:t>
      </w:r>
    </w:p>
    <w:p w:rsidR="00DA321E" w:rsidRPr="00D70CA7" w:rsidP="00DA321E">
      <w:pPr>
        <w:widowControl w:val="0"/>
        <w:tabs>
          <w:tab w:val="center" w:pos="4746"/>
        </w:tabs>
        <w:spacing w:after="0" w:line="280" w:lineRule="exact"/>
        <w:rPr>
          <w:rFonts w:ascii="Tahoma" w:hAnsi="Tahoma" w:cs="Tahoma"/>
          <w:sz w:val="18"/>
          <w:szCs w:val="18"/>
          <w:rtl/>
          <w:lang w:bidi="ar-SA"/>
        </w:rPr>
      </w:pPr>
    </w:p>
    <w:p w:rsidR="00071F43" w:rsidRPr="00071F43" w:rsidP="00071F43">
      <w:pPr>
        <w:widowControl w:val="0"/>
        <w:tabs>
          <w:tab w:val="center" w:pos="4746"/>
        </w:tabs>
        <w:spacing w:after="0" w:line="280" w:lineRule="exact"/>
        <w:rPr>
          <w:rFonts w:ascii="Tahoma" w:hAnsi="Tahoma" w:cs="Tahoma"/>
          <w:sz w:val="18"/>
          <w:szCs w:val="18"/>
          <w:rtl/>
          <w:lang w:bidi="ar-SA"/>
        </w:rPr>
      </w:pPr>
      <w:bookmarkEnd w:id="0"/>
      <w:bookmarkEnd w:id="1"/>
      <w:bookmarkEnd w:id="2"/>
      <w:bookmarkEnd w:id="3"/>
      <w:bookmarkEnd w:id="4"/>
      <w:r w:rsidRPr="00071F43">
        <w:rPr>
          <w:rFonts w:ascii="Tahoma" w:hAnsi="Tahoma" w:cs="Tahoma" w:hint="cs"/>
          <w:sz w:val="18"/>
          <w:szCs w:val="18"/>
          <w:rtl/>
          <w:lang w:bidi="ar-SA"/>
        </w:rPr>
        <w:t xml:space="preserve">أورشليم </w:t>
      </w:r>
      <w:r w:rsidRPr="00071F43">
        <w:rPr>
          <w:rFonts w:ascii="Tahoma" w:hAnsi="Tahoma" w:cs="Tahoma"/>
          <w:sz w:val="18"/>
          <w:szCs w:val="18"/>
          <w:rtl/>
          <w:lang w:bidi="ar-SA"/>
        </w:rPr>
        <w:t xml:space="preserve">القدس، تشرين الأوّل </w:t>
      </w:r>
      <w:r w:rsidRPr="00071F43">
        <w:rPr>
          <w:rFonts w:ascii="Tahoma" w:hAnsi="Tahoma" w:cs="Tahoma"/>
          <w:sz w:val="18"/>
          <w:szCs w:val="18"/>
          <w:lang w:bidi="ar-SA"/>
        </w:rPr>
        <w:t>2017</w:t>
      </w:r>
    </w:p>
    <w:p w:rsidR="001E35D7" w:rsidP="00935CC6">
      <w:pPr>
        <w:rPr>
          <w:rtl/>
        </w:rPr>
        <w:sectPr w:rsidSect="00771787">
          <w:headerReference w:type="even" r:id="rId13"/>
          <w:headerReference w:type="default" r:id="rId14"/>
          <w:headerReference w:type="first" r:id="rId15"/>
          <w:footnotePr>
            <w:numRestart w:val="eachSect"/>
          </w:footnotePr>
          <w:pgSz w:w="11906" w:h="16838" w:code="9"/>
          <w:pgMar w:top="3402" w:right="1701" w:bottom="2835" w:left="1701" w:header="1559" w:footer="709" w:gutter="0"/>
          <w:cols w:space="708"/>
          <w:bidi/>
          <w:rtlGutter/>
          <w:docGrid w:linePitch="360"/>
        </w:sectPr>
      </w:pPr>
    </w:p>
    <w:p w:rsidR="00935CC6" w:rsidRPr="00682ADB" w:rsidP="00935CC6">
      <w:pPr>
        <w:rPr>
          <w:rtl/>
        </w:rPr>
      </w:pPr>
      <w:bookmarkStart w:id="5" w:name="_GoBack"/>
      <w:bookmarkEnd w:id="5"/>
    </w:p>
    <w:sectPr w:rsidSect="001E35D7">
      <w:footnotePr>
        <w:numRestart w:val="eachSect"/>
      </w:footnotePr>
      <w:pgSz w:w="11906" w:h="16838" w:code="9"/>
      <w:pgMar w:top="3402" w:right="1701" w:bottom="2835" w:left="1701" w:header="155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04456" w:rsidRPr="008A007A" w:rsidP="008A007A">
      <w:pPr>
        <w:pStyle w:val="Footer"/>
      </w:pPr>
    </w:p>
  </w:footnote>
  <w:footnote w:type="continuationSeparator" w:id="1">
    <w:p w:rsidR="00404456" w:rsidP="00CB3322">
      <w:pPr>
        <w:spacing w:after="0" w:line="240" w:lineRule="auto"/>
      </w:pPr>
      <w:r>
        <w:continuationSeparator/>
      </w:r>
    </w:p>
    <w:p w:rsidR="00404456"/>
  </w:footnote>
  <w:footnote w:id="2">
    <w:p w:rsidR="00B5008B" w:rsidRPr="00935CC6" w:rsidP="00935CC6">
      <w:pPr>
        <w:pStyle w:val="FootnoteText"/>
        <w:ind w:right="2268"/>
        <w:rPr>
          <w:rFonts w:ascii="Tahoma" w:hAnsi="Tahoma" w:cs="Tahoma"/>
          <w:sz w:val="14"/>
          <w:szCs w:val="14"/>
          <w:rtl/>
        </w:rPr>
      </w:pPr>
      <w:r w:rsidRPr="00935CC6">
        <w:rPr>
          <w:rStyle w:val="FootnoteReference0"/>
          <w:rFonts w:ascii="Tahoma" w:hAnsi="Tahoma" w:cs="Tahoma"/>
          <w:sz w:val="14"/>
          <w:szCs w:val="14"/>
          <w:vertAlign w:val="baseline"/>
        </w:rPr>
        <w:footnoteRef/>
      </w:r>
      <w:r w:rsidRPr="00935CC6">
        <w:rPr>
          <w:rFonts w:ascii="Tahoma" w:hAnsi="Tahoma" w:cs="Tahoma"/>
          <w:sz w:val="14"/>
          <w:szCs w:val="14"/>
          <w:rtl/>
        </w:rPr>
        <w:t xml:space="preserve"> </w:t>
      </w:r>
      <w:r w:rsidRPr="00935CC6">
        <w:rPr>
          <w:rFonts w:ascii="Tahoma" w:hAnsi="Tahoma" w:cs="Tahoma"/>
          <w:sz w:val="14"/>
          <w:szCs w:val="14"/>
          <w:rtl/>
        </w:rPr>
        <w:tab/>
        <w:t xml:space="preserve">בג"ץ 9134/12 </w:t>
      </w:r>
      <w:r w:rsidRPr="00935CC6">
        <w:rPr>
          <w:rFonts w:ascii="Tahoma" w:hAnsi="Tahoma" w:cs="Tahoma"/>
          <w:b/>
          <w:bCs/>
          <w:sz w:val="14"/>
          <w:szCs w:val="14"/>
          <w:rtl/>
        </w:rPr>
        <w:t>גביש נ' הכנסת</w:t>
      </w:r>
      <w:r w:rsidRPr="00935CC6">
        <w:rPr>
          <w:rFonts w:ascii="Tahoma" w:hAnsi="Tahoma" w:cs="Tahoma"/>
          <w:sz w:val="14"/>
          <w:szCs w:val="14"/>
          <w:rtl/>
        </w:rPr>
        <w:t>, פסקה ב' לפסק הדין (פורסם במאגר ממוחשב, 21.4.16).</w:t>
      </w:r>
    </w:p>
  </w:footnote>
  <w:footnote w:id="3">
    <w:p w:rsidR="00B5008B" w:rsidRPr="00935CC6" w:rsidP="00935CC6">
      <w:pPr>
        <w:pStyle w:val="FootnoteText"/>
        <w:ind w:right="2268"/>
        <w:jc w:val="both"/>
        <w:rPr>
          <w:rFonts w:ascii="Tahoma" w:hAnsi="Tahoma" w:cs="Tahoma"/>
          <w:sz w:val="14"/>
          <w:szCs w:val="14"/>
          <w:rtl/>
        </w:rPr>
      </w:pPr>
      <w:r w:rsidRPr="00935CC6">
        <w:rPr>
          <w:rStyle w:val="FootnoteReference0"/>
          <w:rFonts w:ascii="Tahoma" w:hAnsi="Tahoma" w:cs="Tahoma"/>
          <w:sz w:val="14"/>
          <w:szCs w:val="14"/>
          <w:vertAlign w:val="baseline"/>
        </w:rPr>
        <w:footnoteRef/>
      </w:r>
      <w:r w:rsidRPr="00935CC6">
        <w:rPr>
          <w:rFonts w:ascii="Tahoma" w:hAnsi="Tahoma" w:cs="Tahoma"/>
          <w:sz w:val="14"/>
          <w:szCs w:val="14"/>
          <w:rtl/>
        </w:rPr>
        <w:t xml:space="preserve"> </w:t>
      </w:r>
      <w:r w:rsidRPr="00935CC6">
        <w:rPr>
          <w:rFonts w:ascii="Tahoma" w:hAnsi="Tahoma" w:cs="Tahoma"/>
          <w:sz w:val="14"/>
          <w:szCs w:val="14"/>
          <w:rtl/>
        </w:rPr>
        <w:tab/>
        <w:t>ראו:</w:t>
      </w:r>
    </w:p>
    <w:p w:rsidR="00B5008B" w:rsidRPr="00935CC6" w:rsidP="00935CC6">
      <w:pPr>
        <w:pStyle w:val="FootnoteText"/>
        <w:bidi w:val="0"/>
        <w:ind w:left="2268" w:right="397"/>
        <w:jc w:val="both"/>
        <w:rPr>
          <w:rStyle w:val="FootnoteReference0"/>
          <w:rFonts w:ascii="Tahoma" w:hAnsi="Tahoma" w:cs="Tahoma"/>
          <w:sz w:val="14"/>
          <w:szCs w:val="14"/>
          <w:vertAlign w:val="baseline"/>
        </w:rPr>
      </w:pPr>
      <w:r w:rsidRPr="00935CC6">
        <w:rPr>
          <w:rStyle w:val="FootnoteReference0"/>
          <w:rFonts w:ascii="Tahoma" w:hAnsi="Tahoma" w:cs="Tahoma"/>
          <w:sz w:val="14"/>
          <w:szCs w:val="14"/>
          <w:vertAlign w:val="baseline"/>
        </w:rPr>
        <w:t>"United Nations Principles for Older Persons", Adopted by General Assembly</w:t>
      </w:r>
      <w:r w:rsidR="00935CC6">
        <w:rPr>
          <w:rFonts w:ascii="Tahoma" w:hAnsi="Tahoma" w:cs="Tahoma"/>
          <w:sz w:val="14"/>
          <w:szCs w:val="14"/>
        </w:rPr>
        <w:t xml:space="preserve"> </w:t>
      </w:r>
      <w:r w:rsidRPr="00935CC6">
        <w:rPr>
          <w:rStyle w:val="FootnoteReference0"/>
          <w:rFonts w:ascii="Tahoma" w:hAnsi="Tahoma" w:cs="Tahoma"/>
          <w:sz w:val="14"/>
          <w:szCs w:val="14"/>
          <w:vertAlign w:val="baseline"/>
        </w:rPr>
        <w:t xml:space="preserve"> resolution 46/91 of 16 December 1991</w:t>
      </w:r>
      <w:r w:rsidRPr="00935CC6">
        <w:rPr>
          <w:rStyle w:val="FootnoteReference0"/>
          <w:rFonts w:ascii="Tahoma" w:hAnsi="Tahoma" w:cs="Tahoma"/>
          <w:sz w:val="14"/>
          <w:szCs w:val="14"/>
          <w:vertAlign w:val="baseline"/>
          <w:rtl/>
        </w:rPr>
        <w:t>.</w:t>
      </w:r>
    </w:p>
  </w:footnote>
  <w:footnote w:id="4">
    <w:p w:rsidR="00B5008B" w:rsidRPr="00935CC6" w:rsidP="00935CC6">
      <w:pPr>
        <w:pStyle w:val="FootnoteText"/>
        <w:ind w:right="2268"/>
        <w:jc w:val="both"/>
        <w:rPr>
          <w:rStyle w:val="FootnoteReference0"/>
          <w:rFonts w:ascii="Tahoma" w:hAnsi="Tahoma" w:cs="Tahoma"/>
          <w:sz w:val="14"/>
          <w:szCs w:val="14"/>
          <w:vertAlign w:val="baseline"/>
        </w:rPr>
      </w:pPr>
      <w:r w:rsidRPr="00935CC6">
        <w:rPr>
          <w:rStyle w:val="FootnoteReference0"/>
          <w:rFonts w:ascii="Tahoma" w:hAnsi="Tahoma" w:cs="Tahoma"/>
          <w:sz w:val="14"/>
          <w:szCs w:val="14"/>
          <w:vertAlign w:val="baseline"/>
        </w:rPr>
        <w:footnoteRef/>
      </w:r>
      <w:r w:rsidRPr="00935CC6">
        <w:rPr>
          <w:rStyle w:val="FootnoteReference0"/>
          <w:rFonts w:ascii="Tahoma" w:hAnsi="Tahoma" w:cs="Tahoma"/>
          <w:sz w:val="14"/>
          <w:szCs w:val="14"/>
          <w:vertAlign w:val="baseline"/>
          <w:rtl/>
        </w:rPr>
        <w:t xml:space="preserve"> </w:t>
      </w:r>
      <w:r w:rsidRPr="00935CC6">
        <w:rPr>
          <w:rStyle w:val="FootnoteReference0"/>
          <w:rFonts w:ascii="Tahoma" w:hAnsi="Tahoma" w:cs="Tahoma" w:hint="cs"/>
          <w:sz w:val="14"/>
          <w:szCs w:val="14"/>
          <w:vertAlign w:val="baseline"/>
          <w:rtl/>
        </w:rPr>
        <w:tab/>
        <w:t>ראו:</w:t>
      </w:r>
    </w:p>
    <w:p w:rsidR="00B5008B" w:rsidRPr="00935CC6" w:rsidP="00935CC6">
      <w:pPr>
        <w:pStyle w:val="FootnoteText"/>
        <w:bidi w:val="0"/>
        <w:ind w:left="2268" w:right="397"/>
        <w:jc w:val="both"/>
        <w:rPr>
          <w:rStyle w:val="FootnoteReference0"/>
          <w:rFonts w:ascii="Tahoma" w:hAnsi="Tahoma" w:cs="Tahoma"/>
          <w:sz w:val="14"/>
          <w:szCs w:val="14"/>
          <w:vertAlign w:val="baseline"/>
          <w:rtl/>
        </w:rPr>
      </w:pPr>
      <w:r w:rsidRPr="00935CC6">
        <w:rPr>
          <w:rStyle w:val="FootnoteReference0"/>
          <w:rFonts w:ascii="Tahoma" w:hAnsi="Tahoma" w:cs="Tahoma"/>
          <w:sz w:val="14"/>
          <w:szCs w:val="14"/>
          <w:vertAlign w:val="baseline"/>
        </w:rPr>
        <w:t>"Follow-up to the Second World Assembly on Ageing", General Assembly</w:t>
      </w:r>
      <w:r w:rsidR="008B009E">
        <w:rPr>
          <w:rFonts w:ascii="Tahoma" w:hAnsi="Tahoma" w:cs="Tahoma"/>
          <w:sz w:val="14"/>
          <w:szCs w:val="14"/>
        </w:rPr>
        <w:t xml:space="preserve"> </w:t>
      </w:r>
      <w:r w:rsidRPr="00935CC6">
        <w:rPr>
          <w:rStyle w:val="FootnoteReference0"/>
          <w:rFonts w:ascii="Tahoma" w:hAnsi="Tahoma" w:cs="Tahoma"/>
          <w:sz w:val="14"/>
          <w:szCs w:val="14"/>
          <w:vertAlign w:val="baseline"/>
        </w:rPr>
        <w:t>resolution A/RES/65/182 (2010)</w:t>
      </w:r>
      <w:r w:rsidRPr="00935CC6">
        <w:rPr>
          <w:rStyle w:val="FootnoteReference0"/>
          <w:rFonts w:ascii="Tahoma" w:hAnsi="Tahoma" w:cs="Tahoma"/>
          <w:sz w:val="14"/>
          <w:szCs w:val="14"/>
          <w:vertAlign w:val="baseline"/>
          <w:rtl/>
        </w:rPr>
        <w:t>.</w:t>
      </w:r>
    </w:p>
  </w:footnote>
  <w:footnote w:id="5">
    <w:p w:rsidR="00B5008B" w:rsidRPr="00935CC6" w:rsidP="00935CC6">
      <w:pPr>
        <w:pStyle w:val="FootnoteText"/>
        <w:ind w:right="2268"/>
        <w:jc w:val="both"/>
        <w:rPr>
          <w:rFonts w:ascii="Tahoma" w:hAnsi="Tahoma" w:cs="Tahoma"/>
          <w:sz w:val="14"/>
          <w:szCs w:val="14"/>
          <w:rtl/>
        </w:rPr>
      </w:pPr>
      <w:r w:rsidRPr="00935CC6">
        <w:rPr>
          <w:rStyle w:val="FootnoteReference0"/>
          <w:rFonts w:ascii="Tahoma" w:hAnsi="Tahoma" w:cs="Tahoma"/>
          <w:sz w:val="14"/>
          <w:szCs w:val="14"/>
          <w:vertAlign w:val="baseline"/>
        </w:rPr>
        <w:footnoteRef/>
      </w:r>
      <w:r w:rsidRPr="00935CC6">
        <w:rPr>
          <w:rFonts w:ascii="Tahoma" w:hAnsi="Tahoma" w:cs="Tahoma"/>
          <w:sz w:val="14"/>
          <w:szCs w:val="14"/>
          <w:rtl/>
        </w:rPr>
        <w:tab/>
        <w:t>ראו:</w:t>
      </w:r>
    </w:p>
    <w:p w:rsidR="00B5008B" w:rsidRPr="008B009E" w:rsidP="009B355B">
      <w:pPr>
        <w:pStyle w:val="FootnoteText"/>
        <w:bidi w:val="0"/>
        <w:ind w:left="2268" w:right="397"/>
        <w:jc w:val="both"/>
        <w:rPr>
          <w:rStyle w:val="FootnoteReference0"/>
          <w:rFonts w:ascii="Tahoma" w:hAnsi="Tahoma" w:cs="Tahoma"/>
          <w:spacing w:val="-2"/>
          <w:sz w:val="14"/>
          <w:szCs w:val="14"/>
          <w:vertAlign w:val="baseline"/>
        </w:rPr>
      </w:pPr>
      <w:r w:rsidRPr="008B009E">
        <w:rPr>
          <w:rFonts w:ascii="Tahoma" w:hAnsi="Tahoma" w:cs="Tahoma"/>
          <w:spacing w:val="-2"/>
          <w:sz w:val="14"/>
          <w:szCs w:val="14"/>
        </w:rPr>
        <w:t>"Political Declaration and Madrid International Plan of Action on Ageing",</w:t>
      </w:r>
      <w:r w:rsidRPr="008B009E" w:rsidR="008B009E">
        <w:rPr>
          <w:rFonts w:ascii="Tahoma" w:hAnsi="Tahoma" w:cs="Tahoma"/>
          <w:spacing w:val="-2"/>
          <w:sz w:val="14"/>
          <w:szCs w:val="14"/>
        </w:rPr>
        <w:t xml:space="preserve"> </w:t>
      </w:r>
      <w:r w:rsidRPr="008B009E">
        <w:rPr>
          <w:rStyle w:val="FootnoteReference0"/>
          <w:rFonts w:ascii="Tahoma" w:hAnsi="Tahoma" w:cs="Tahoma"/>
          <w:spacing w:val="-2"/>
          <w:sz w:val="14"/>
          <w:szCs w:val="14"/>
          <w:vertAlign w:val="baseline"/>
        </w:rPr>
        <w:t>United Nations, 2002</w:t>
      </w:r>
      <w:r w:rsidR="00D449A8">
        <w:rPr>
          <w:rStyle w:val="FootnoteReference0"/>
          <w:rFonts w:ascii="Tahoma" w:hAnsi="Tahoma" w:cs="Tahoma"/>
          <w:spacing w:val="-2"/>
          <w:sz w:val="14"/>
          <w:szCs w:val="14"/>
          <w:vertAlign w:val="baseline"/>
          <w:rtl/>
        </w:rPr>
        <w:t>.</w:t>
      </w:r>
    </w:p>
  </w:footnote>
  <w:footnote w:id="6">
    <w:p w:rsidR="00B5008B" w:rsidRPr="00935CC6" w:rsidP="00935CC6">
      <w:pPr>
        <w:pStyle w:val="FootnoteText"/>
        <w:ind w:left="397" w:right="2268" w:hanging="397"/>
        <w:jc w:val="both"/>
        <w:rPr>
          <w:rFonts w:ascii="Tahoma" w:hAnsi="Tahoma" w:cs="Tahoma"/>
          <w:sz w:val="14"/>
          <w:szCs w:val="14"/>
          <w:rtl/>
        </w:rPr>
      </w:pPr>
      <w:r w:rsidRPr="00935CC6">
        <w:rPr>
          <w:rStyle w:val="FootnoteReference0"/>
          <w:rFonts w:ascii="Tahoma" w:hAnsi="Tahoma" w:cs="Tahoma"/>
          <w:sz w:val="14"/>
          <w:szCs w:val="14"/>
          <w:vertAlign w:val="baseline"/>
        </w:rPr>
        <w:footnoteRef/>
      </w:r>
      <w:r w:rsidRPr="00935CC6">
        <w:rPr>
          <w:rFonts w:ascii="Tahoma" w:hAnsi="Tahoma" w:cs="Tahoma"/>
          <w:sz w:val="14"/>
          <w:szCs w:val="14"/>
          <w:rtl/>
        </w:rPr>
        <w:t xml:space="preserve"> </w:t>
      </w:r>
      <w:r w:rsidRPr="00935CC6">
        <w:rPr>
          <w:rFonts w:ascii="Tahoma" w:hAnsi="Tahoma" w:cs="Tahoma"/>
          <w:sz w:val="14"/>
          <w:szCs w:val="14"/>
          <w:rtl/>
        </w:rPr>
        <w:tab/>
      </w:r>
      <w:r w:rsidRPr="00935CC6">
        <w:rPr>
          <w:rStyle w:val="FootnoteReference0"/>
          <w:rFonts w:ascii="Tahoma" w:hAnsi="Tahoma" w:cs="Tahoma"/>
          <w:sz w:val="14"/>
          <w:szCs w:val="14"/>
          <w:vertAlign w:val="baseline"/>
          <w:rtl/>
        </w:rPr>
        <w:t>בג</w:t>
      </w:r>
      <w:r w:rsidRPr="00935CC6">
        <w:rPr>
          <w:rFonts w:ascii="Tahoma" w:hAnsi="Tahoma" w:cs="Tahoma"/>
          <w:sz w:val="14"/>
          <w:szCs w:val="14"/>
          <w:rtl/>
        </w:rPr>
        <w:t>"ץ</w:t>
      </w:r>
      <w:r w:rsidR="00935CC6">
        <w:rPr>
          <w:rFonts w:ascii="Tahoma" w:hAnsi="Tahoma" w:cs="Tahoma" w:hint="cs"/>
          <w:sz w:val="14"/>
          <w:szCs w:val="14"/>
          <w:rtl/>
        </w:rPr>
        <w:t xml:space="preserve"> </w:t>
      </w:r>
      <w:r w:rsidRPr="00935CC6">
        <w:rPr>
          <w:rFonts w:ascii="Tahoma" w:hAnsi="Tahoma" w:cs="Tahoma"/>
          <w:sz w:val="14"/>
          <w:szCs w:val="14"/>
          <w:rtl/>
        </w:rPr>
        <w:t>1181/03 ‏</w:t>
      </w:r>
      <w:r w:rsidRPr="00935CC6">
        <w:rPr>
          <w:rFonts w:ascii="Tahoma" w:hAnsi="Tahoma" w:cs="Tahoma"/>
          <w:b/>
          <w:bCs/>
          <w:sz w:val="14"/>
          <w:szCs w:val="14"/>
          <w:rtl/>
        </w:rPr>
        <w:t>אוניברסיטת בר-אילן נ' בית הדין הארצי לעבודה</w:t>
      </w:r>
      <w:r w:rsidRPr="00935CC6">
        <w:rPr>
          <w:rFonts w:ascii="Tahoma" w:hAnsi="Tahoma" w:cs="Tahoma"/>
          <w:sz w:val="14"/>
          <w:szCs w:val="14"/>
          <w:rtl/>
        </w:rPr>
        <w:t xml:space="preserve">, </w:t>
      </w:r>
      <w:r w:rsidRPr="00935CC6">
        <w:rPr>
          <w:rFonts w:ascii="Tahoma" w:hAnsi="Tahoma" w:cs="Tahoma"/>
          <w:sz w:val="14"/>
          <w:szCs w:val="14"/>
          <w:rtl/>
        </w:rPr>
        <w:t>פ''ד</w:t>
      </w:r>
      <w:r w:rsidRPr="00935CC6">
        <w:rPr>
          <w:rFonts w:ascii="Tahoma" w:hAnsi="Tahoma" w:cs="Tahoma"/>
          <w:sz w:val="14"/>
          <w:szCs w:val="14"/>
          <w:rtl/>
        </w:rPr>
        <w:t xml:space="preserve"> סד(3), 204, 238 (2011). </w:t>
      </w:r>
    </w:p>
  </w:footnote>
  <w:footnote w:id="7">
    <w:p w:rsidR="00B5008B" w:rsidRPr="00935CC6" w:rsidP="00935CC6">
      <w:pPr>
        <w:pStyle w:val="FootnoteText"/>
        <w:ind w:left="397" w:right="2268" w:hanging="397"/>
        <w:jc w:val="both"/>
        <w:rPr>
          <w:rFonts w:ascii="Tahoma" w:hAnsi="Tahoma" w:cs="Tahoma"/>
          <w:sz w:val="14"/>
          <w:szCs w:val="14"/>
        </w:rPr>
      </w:pPr>
      <w:r w:rsidRPr="00935CC6">
        <w:rPr>
          <w:rStyle w:val="FootnoteReference0"/>
          <w:rFonts w:ascii="Tahoma" w:hAnsi="Tahoma" w:cs="Tahoma"/>
          <w:sz w:val="14"/>
          <w:szCs w:val="14"/>
          <w:vertAlign w:val="baseline"/>
        </w:rPr>
        <w:footnoteRef/>
      </w:r>
      <w:r w:rsidRPr="00935CC6">
        <w:rPr>
          <w:rFonts w:ascii="Tahoma" w:hAnsi="Tahoma" w:cs="Tahoma"/>
          <w:sz w:val="14"/>
          <w:szCs w:val="14"/>
          <w:rtl/>
        </w:rPr>
        <w:t xml:space="preserve"> </w:t>
      </w:r>
      <w:r w:rsidRPr="00935CC6">
        <w:rPr>
          <w:rFonts w:ascii="Tahoma" w:hAnsi="Tahoma" w:cs="Tahoma"/>
          <w:sz w:val="14"/>
          <w:szCs w:val="14"/>
          <w:rtl/>
        </w:rPr>
        <w:tab/>
        <w:t xml:space="preserve">בג"ץ 9134/12 </w:t>
      </w:r>
      <w:r w:rsidRPr="00935CC6">
        <w:rPr>
          <w:rFonts w:ascii="Tahoma" w:hAnsi="Tahoma" w:cs="Tahoma"/>
          <w:b/>
          <w:bCs/>
          <w:sz w:val="14"/>
          <w:szCs w:val="14"/>
          <w:rtl/>
        </w:rPr>
        <w:t>גביש נ' הכנסת</w:t>
      </w:r>
      <w:r w:rsidRPr="00935CC6">
        <w:rPr>
          <w:rFonts w:ascii="Tahoma" w:hAnsi="Tahoma" w:cs="Tahoma"/>
          <w:sz w:val="14"/>
          <w:szCs w:val="14"/>
          <w:rtl/>
        </w:rPr>
        <w:t>, פסקה 5 לפסק הדין (פורסם במאגר ממוחשב, 21.4.16)</w:t>
      </w:r>
      <w:r w:rsidR="008B009E">
        <w:rPr>
          <w:rFonts w:ascii="Tahoma" w:hAnsi="Tahoma" w:cs="Tahoma" w:hint="cs"/>
          <w:sz w:val="14"/>
          <w:szCs w:val="14"/>
          <w:rtl/>
        </w:rPr>
        <w:t>.</w:t>
      </w:r>
    </w:p>
  </w:footnote>
  <w:footnote w:id="8">
    <w:p w:rsidR="00071F43" w:rsidRPr="00D449A8" w:rsidP="00D449A8">
      <w:pPr>
        <w:pStyle w:val="FootnoteText"/>
        <w:ind w:left="397" w:right="2268" w:hanging="397"/>
        <w:jc w:val="both"/>
        <w:rPr>
          <w:rFonts w:ascii="Tahoma" w:hAnsi="Tahoma" w:cs="Tahoma"/>
          <w:sz w:val="14"/>
          <w:szCs w:val="14"/>
          <w:rtl/>
        </w:rPr>
      </w:pPr>
      <w:r w:rsidRPr="00D449A8">
        <w:rPr>
          <w:rStyle w:val="FootnoteReference0"/>
          <w:rFonts w:ascii="Tahoma" w:hAnsi="Tahoma" w:cs="Tahoma"/>
          <w:sz w:val="14"/>
          <w:szCs w:val="14"/>
          <w:vertAlign w:val="baseline"/>
        </w:rPr>
        <w:footnoteRef/>
      </w:r>
      <w:r w:rsidRPr="00D449A8">
        <w:rPr>
          <w:rFonts w:ascii="Tahoma" w:hAnsi="Tahoma" w:cs="Tahoma"/>
          <w:sz w:val="14"/>
          <w:szCs w:val="14"/>
          <w:rtl/>
        </w:rPr>
        <w:t xml:space="preserve"> </w:t>
      </w:r>
      <w:r w:rsidRPr="00D449A8">
        <w:rPr>
          <w:rFonts w:ascii="Tahoma" w:hAnsi="Tahoma" w:cs="Tahoma"/>
          <w:sz w:val="14"/>
          <w:szCs w:val="14"/>
          <w:rtl/>
        </w:rPr>
        <w:tab/>
      </w:r>
      <w:r w:rsidRPr="00D449A8">
        <w:rPr>
          <w:rFonts w:ascii="Tahoma" w:hAnsi="Tahoma" w:cs="Tahoma"/>
          <w:sz w:val="14"/>
          <w:szCs w:val="14"/>
          <w:rtl/>
          <w:lang w:bidi="ar-SA"/>
        </w:rPr>
        <w:t>التماس لمحكمة العدل العليا،</w:t>
      </w:r>
      <w:r w:rsidRPr="00D449A8">
        <w:rPr>
          <w:rFonts w:ascii="Tahoma" w:hAnsi="Tahoma" w:cs="Tahoma"/>
          <w:sz w:val="14"/>
          <w:szCs w:val="14"/>
          <w:rtl/>
        </w:rPr>
        <w:t xml:space="preserve"> 9134/12</w:t>
      </w:r>
      <w:r w:rsidRPr="00D449A8">
        <w:rPr>
          <w:rFonts w:ascii="Tahoma" w:hAnsi="Tahoma" w:cs="Tahoma"/>
          <w:sz w:val="14"/>
          <w:szCs w:val="14"/>
          <w:rtl/>
          <w:lang w:bidi="ar-SA"/>
        </w:rPr>
        <w:t xml:space="preserve"> </w:t>
      </w:r>
      <w:r w:rsidRPr="00D449A8">
        <w:rPr>
          <w:rFonts w:ascii="Tahoma" w:hAnsi="Tahoma" w:cs="Tahoma"/>
          <w:sz w:val="14"/>
          <w:szCs w:val="14"/>
          <w:rtl/>
          <w:lang w:bidi="ar-SA"/>
        </w:rPr>
        <w:t>غڤيش</w:t>
      </w:r>
      <w:r w:rsidRPr="00D449A8">
        <w:rPr>
          <w:rFonts w:ascii="Tahoma" w:hAnsi="Tahoma" w:cs="Tahoma"/>
          <w:sz w:val="14"/>
          <w:szCs w:val="14"/>
          <w:rtl/>
          <w:lang w:bidi="ar-SA"/>
        </w:rPr>
        <w:t xml:space="preserve"> ضدّ الكنيست، الفقرة "ب" في قرار الحكم (نُشر في المجمّع المحوسب</w:t>
      </w:r>
      <w:r w:rsidRPr="00D449A8">
        <w:rPr>
          <w:rFonts w:ascii="Tahoma" w:hAnsi="Tahoma" w:cs="Tahoma"/>
          <w:sz w:val="14"/>
          <w:szCs w:val="14"/>
        </w:rPr>
        <w:t xml:space="preserve"> </w:t>
      </w:r>
      <w:r w:rsidRPr="00D449A8">
        <w:rPr>
          <w:rFonts w:ascii="Tahoma" w:hAnsi="Tahoma" w:cs="Tahoma"/>
          <w:sz w:val="14"/>
          <w:szCs w:val="14"/>
          <w:rtl/>
          <w:lang w:bidi="ar-SA"/>
        </w:rPr>
        <w:t>21.4.2016</w:t>
      </w:r>
      <w:r w:rsidRPr="00D449A8">
        <w:rPr>
          <w:rFonts w:ascii="Tahoma" w:hAnsi="Tahoma" w:cs="Tahoma"/>
          <w:sz w:val="14"/>
          <w:szCs w:val="14"/>
          <w:rtl/>
        </w:rPr>
        <w:t>).</w:t>
      </w:r>
    </w:p>
  </w:footnote>
  <w:footnote w:id="9">
    <w:p w:rsidR="00D449A8" w:rsidP="00D449A8">
      <w:pPr>
        <w:pStyle w:val="FootnoteText"/>
        <w:ind w:left="397" w:right="2268" w:hanging="397"/>
        <w:jc w:val="both"/>
        <w:rPr>
          <w:rFonts w:ascii="Tahoma" w:hAnsi="Tahoma" w:cs="Tahoma"/>
          <w:sz w:val="14"/>
          <w:szCs w:val="14"/>
          <w:lang w:bidi="ar-SA"/>
        </w:rPr>
      </w:pPr>
      <w:r w:rsidRPr="00D449A8">
        <w:rPr>
          <w:rStyle w:val="FootnoteReference0"/>
          <w:rFonts w:ascii="Tahoma" w:hAnsi="Tahoma" w:cs="Tahoma"/>
          <w:sz w:val="14"/>
          <w:szCs w:val="14"/>
          <w:vertAlign w:val="baseline"/>
        </w:rPr>
        <w:footnoteRef/>
      </w:r>
      <w:r w:rsidRPr="00D449A8">
        <w:rPr>
          <w:rFonts w:ascii="Tahoma" w:hAnsi="Tahoma" w:cs="Tahoma"/>
          <w:sz w:val="14"/>
          <w:szCs w:val="14"/>
          <w:rtl/>
        </w:rPr>
        <w:t xml:space="preserve"> </w:t>
      </w:r>
      <w:r w:rsidRPr="00D449A8">
        <w:rPr>
          <w:rFonts w:ascii="Tahoma" w:hAnsi="Tahoma" w:cs="Tahoma"/>
          <w:sz w:val="14"/>
          <w:szCs w:val="14"/>
        </w:rPr>
        <w:tab/>
      </w:r>
      <w:r w:rsidRPr="00C1741A" w:rsidR="00275B96">
        <w:rPr>
          <w:rFonts w:ascii="Tahoma" w:hAnsi="Tahoma" w:cs="Tahoma" w:hint="cs"/>
          <w:sz w:val="14"/>
          <w:szCs w:val="14"/>
          <w:rtl/>
          <w:lang w:bidi="ar-SA"/>
        </w:rPr>
        <w:t>انظرو</w:t>
      </w:r>
      <w:r w:rsidRPr="00C1741A" w:rsidR="00275B96">
        <w:rPr>
          <w:rFonts w:ascii="Tahoma" w:hAnsi="Tahoma" w:cs="Tahoma" w:hint="eastAsia"/>
          <w:sz w:val="14"/>
          <w:szCs w:val="14"/>
          <w:rtl/>
          <w:lang w:bidi="ar-SA"/>
        </w:rPr>
        <w:t>ا</w:t>
      </w:r>
      <w:r w:rsidRPr="00C1741A">
        <w:rPr>
          <w:rFonts w:ascii="Tahoma" w:hAnsi="Tahoma" w:cs="Tahoma"/>
          <w:sz w:val="14"/>
          <w:szCs w:val="14"/>
          <w:rtl/>
          <w:lang w:bidi="ar-SA"/>
        </w:rPr>
        <w:t>:</w:t>
      </w:r>
    </w:p>
    <w:p w:rsidR="00071F43" w:rsidRPr="00D449A8" w:rsidP="00D449A8">
      <w:pPr>
        <w:pStyle w:val="FootnoteText"/>
        <w:bidi w:val="0"/>
        <w:ind w:left="2268" w:right="397"/>
        <w:jc w:val="both"/>
        <w:rPr>
          <w:rStyle w:val="FootnoteReference0"/>
          <w:rFonts w:ascii="Tahoma" w:hAnsi="Tahoma" w:cs="Tahoma"/>
          <w:sz w:val="14"/>
          <w:szCs w:val="14"/>
          <w:vertAlign w:val="baseline"/>
        </w:rPr>
      </w:pPr>
      <w:r w:rsidRPr="00D449A8">
        <w:rPr>
          <w:rStyle w:val="FootnoteReference0"/>
          <w:rFonts w:ascii="Tahoma" w:hAnsi="Tahoma" w:cs="Tahoma"/>
          <w:sz w:val="14"/>
          <w:szCs w:val="14"/>
          <w:vertAlign w:val="baseline"/>
        </w:rPr>
        <w:t>"United Nations Principles for Older Persons", Adopted by General Assembly resolution 46/91 of 16 December 1991</w:t>
      </w:r>
      <w:r w:rsidRPr="00D449A8">
        <w:rPr>
          <w:rStyle w:val="FootnoteReference0"/>
          <w:rFonts w:ascii="Tahoma" w:hAnsi="Tahoma" w:cs="Tahoma" w:hint="cs"/>
          <w:sz w:val="14"/>
          <w:szCs w:val="14"/>
          <w:vertAlign w:val="baseline"/>
          <w:rtl/>
        </w:rPr>
        <w:t>.</w:t>
      </w:r>
    </w:p>
  </w:footnote>
  <w:footnote w:id="10">
    <w:p w:rsidR="00D449A8" w:rsidP="00D449A8">
      <w:pPr>
        <w:pStyle w:val="FootnoteText"/>
        <w:ind w:left="397" w:right="2268" w:hanging="397"/>
        <w:jc w:val="both"/>
        <w:rPr>
          <w:rFonts w:ascii="Tahoma" w:hAnsi="Tahoma" w:cs="Tahoma"/>
          <w:sz w:val="14"/>
          <w:szCs w:val="14"/>
          <w:lang w:bidi="ar-SA"/>
        </w:rPr>
      </w:pPr>
      <w:r w:rsidRPr="00D449A8">
        <w:rPr>
          <w:rStyle w:val="FootnoteReference0"/>
          <w:rFonts w:ascii="Tahoma" w:hAnsi="Tahoma" w:cs="Tahoma"/>
          <w:sz w:val="14"/>
          <w:szCs w:val="14"/>
          <w:vertAlign w:val="baseline"/>
        </w:rPr>
        <w:footnoteRef/>
      </w:r>
      <w:r w:rsidRPr="00D449A8">
        <w:rPr>
          <w:rFonts w:ascii="Tahoma" w:hAnsi="Tahoma" w:cs="Tahoma"/>
          <w:sz w:val="14"/>
          <w:szCs w:val="14"/>
          <w:rtl/>
        </w:rPr>
        <w:t xml:space="preserve"> </w:t>
      </w:r>
      <w:r w:rsidRPr="00D449A8">
        <w:rPr>
          <w:rFonts w:ascii="Tahoma" w:hAnsi="Tahoma" w:cs="Tahoma"/>
          <w:sz w:val="14"/>
          <w:szCs w:val="14"/>
        </w:rPr>
        <w:tab/>
      </w:r>
      <w:r w:rsidRPr="00C1741A" w:rsidR="00275B96">
        <w:rPr>
          <w:rFonts w:ascii="Tahoma" w:hAnsi="Tahoma" w:cs="Tahoma" w:hint="cs"/>
          <w:sz w:val="14"/>
          <w:szCs w:val="14"/>
          <w:rtl/>
          <w:lang w:bidi="ar-SA"/>
        </w:rPr>
        <w:t>انظرو</w:t>
      </w:r>
      <w:r w:rsidRPr="00C1741A" w:rsidR="00275B96">
        <w:rPr>
          <w:rFonts w:ascii="Tahoma" w:hAnsi="Tahoma" w:cs="Tahoma" w:hint="eastAsia"/>
          <w:sz w:val="14"/>
          <w:szCs w:val="14"/>
          <w:rtl/>
          <w:lang w:bidi="ar-SA"/>
        </w:rPr>
        <w:t>ا</w:t>
      </w:r>
      <w:r w:rsidRPr="00C1741A">
        <w:rPr>
          <w:rFonts w:ascii="Tahoma" w:hAnsi="Tahoma" w:cs="Tahoma"/>
          <w:sz w:val="14"/>
          <w:szCs w:val="14"/>
          <w:rtl/>
          <w:lang w:bidi="ar-SA"/>
        </w:rPr>
        <w:t>:</w:t>
      </w:r>
    </w:p>
    <w:p w:rsidR="00071F43" w:rsidRPr="00D449A8" w:rsidP="00D449A8">
      <w:pPr>
        <w:pStyle w:val="FootnoteText"/>
        <w:bidi w:val="0"/>
        <w:ind w:left="2268" w:right="397"/>
        <w:jc w:val="both"/>
        <w:rPr>
          <w:rStyle w:val="FootnoteReference0"/>
          <w:rFonts w:ascii="Tahoma" w:hAnsi="Tahoma" w:cs="Tahoma"/>
          <w:sz w:val="14"/>
          <w:szCs w:val="14"/>
          <w:vertAlign w:val="baseline"/>
          <w:rtl/>
        </w:rPr>
      </w:pPr>
      <w:r w:rsidRPr="00D449A8">
        <w:rPr>
          <w:rStyle w:val="FootnoteReference0"/>
          <w:rFonts w:ascii="Tahoma" w:hAnsi="Tahoma" w:cs="Tahoma"/>
          <w:sz w:val="14"/>
          <w:szCs w:val="14"/>
          <w:vertAlign w:val="baseline"/>
        </w:rPr>
        <w:t>"Follow-up to the Second World Assembly on Ageing", General Assembly resolution A/RES/65/182 (2010)</w:t>
      </w:r>
      <w:r w:rsidRPr="00D449A8">
        <w:rPr>
          <w:rStyle w:val="FootnoteReference0"/>
          <w:rFonts w:ascii="Tahoma" w:hAnsi="Tahoma" w:cs="Tahoma"/>
          <w:sz w:val="14"/>
          <w:szCs w:val="14"/>
          <w:vertAlign w:val="baseline"/>
          <w:rtl/>
        </w:rPr>
        <w:t>.</w:t>
      </w:r>
    </w:p>
  </w:footnote>
  <w:footnote w:id="11">
    <w:p w:rsidR="00D449A8" w:rsidP="00D449A8">
      <w:pPr>
        <w:pStyle w:val="FootnoteText"/>
        <w:ind w:left="397" w:right="2268" w:hanging="397"/>
        <w:jc w:val="both"/>
        <w:rPr>
          <w:rFonts w:ascii="Tahoma" w:hAnsi="Tahoma" w:cs="Tahoma"/>
          <w:sz w:val="14"/>
          <w:szCs w:val="14"/>
          <w:lang w:bidi="ar-SA"/>
        </w:rPr>
      </w:pPr>
      <w:r w:rsidRPr="00D449A8">
        <w:rPr>
          <w:rStyle w:val="FootnoteReference0"/>
          <w:rFonts w:ascii="Tahoma" w:hAnsi="Tahoma" w:cs="Tahoma"/>
          <w:sz w:val="14"/>
          <w:szCs w:val="14"/>
          <w:vertAlign w:val="baseline"/>
        </w:rPr>
        <w:footnoteRef/>
      </w:r>
      <w:r w:rsidRPr="00D449A8">
        <w:rPr>
          <w:rFonts w:ascii="Tahoma" w:hAnsi="Tahoma" w:cs="Tahoma"/>
          <w:sz w:val="14"/>
          <w:szCs w:val="14"/>
          <w:rtl/>
        </w:rPr>
        <w:t xml:space="preserve"> </w:t>
      </w:r>
      <w:r w:rsidRPr="00D449A8">
        <w:rPr>
          <w:rFonts w:ascii="Tahoma" w:hAnsi="Tahoma" w:cs="Tahoma"/>
          <w:sz w:val="14"/>
          <w:szCs w:val="14"/>
        </w:rPr>
        <w:tab/>
      </w:r>
      <w:r w:rsidRPr="00C1741A" w:rsidR="00275B96">
        <w:rPr>
          <w:rFonts w:ascii="Tahoma" w:hAnsi="Tahoma" w:cs="Tahoma" w:hint="cs"/>
          <w:sz w:val="14"/>
          <w:szCs w:val="14"/>
          <w:rtl/>
          <w:lang w:bidi="ar-SA"/>
        </w:rPr>
        <w:t>انظرو</w:t>
      </w:r>
      <w:r w:rsidRPr="00C1741A" w:rsidR="00275B96">
        <w:rPr>
          <w:rFonts w:ascii="Tahoma" w:hAnsi="Tahoma" w:cs="Tahoma" w:hint="eastAsia"/>
          <w:sz w:val="14"/>
          <w:szCs w:val="14"/>
          <w:rtl/>
          <w:lang w:bidi="ar-SA"/>
        </w:rPr>
        <w:t>ا</w:t>
      </w:r>
      <w:r w:rsidRPr="00C1741A">
        <w:rPr>
          <w:rFonts w:ascii="Tahoma" w:hAnsi="Tahoma" w:cs="Tahoma"/>
          <w:sz w:val="14"/>
          <w:szCs w:val="14"/>
          <w:rtl/>
          <w:lang w:bidi="ar-SA"/>
        </w:rPr>
        <w:t>:</w:t>
      </w:r>
    </w:p>
    <w:p w:rsidR="00071F43" w:rsidRPr="00D449A8" w:rsidP="00D449A8">
      <w:pPr>
        <w:pStyle w:val="FootnoteText"/>
        <w:bidi w:val="0"/>
        <w:ind w:left="2268" w:right="397"/>
        <w:jc w:val="both"/>
        <w:rPr>
          <w:rStyle w:val="FootnoteReference0"/>
          <w:rFonts w:ascii="Tahoma" w:hAnsi="Tahoma" w:cs="Tahoma"/>
          <w:sz w:val="14"/>
          <w:szCs w:val="14"/>
          <w:vertAlign w:val="baseline"/>
        </w:rPr>
      </w:pPr>
      <w:r w:rsidRPr="00D449A8">
        <w:rPr>
          <w:rStyle w:val="FootnoteReference0"/>
          <w:rFonts w:ascii="Tahoma" w:hAnsi="Tahoma" w:cs="Tahoma"/>
          <w:sz w:val="14"/>
          <w:szCs w:val="14"/>
          <w:vertAlign w:val="baseline"/>
        </w:rPr>
        <w:t>"Political Declaration and Madrid International Plan of Action on Ageing", United Nations, 2002</w:t>
      </w:r>
      <w:r w:rsidRPr="00D449A8">
        <w:rPr>
          <w:rStyle w:val="FootnoteReference0"/>
          <w:rFonts w:ascii="Tahoma" w:hAnsi="Tahoma" w:cs="Tahoma" w:hint="cs"/>
          <w:sz w:val="14"/>
          <w:szCs w:val="14"/>
          <w:vertAlign w:val="baseline"/>
          <w:rtl/>
        </w:rPr>
        <w:t>.</w:t>
      </w:r>
    </w:p>
  </w:footnote>
  <w:footnote w:id="12">
    <w:p w:rsidR="00071F43" w:rsidRPr="00D449A8" w:rsidP="00203EF7">
      <w:pPr>
        <w:pStyle w:val="FootnoteText"/>
        <w:ind w:left="397" w:right="2268" w:hanging="397"/>
        <w:jc w:val="both"/>
        <w:rPr>
          <w:rFonts w:ascii="Tahoma" w:hAnsi="Tahoma" w:cs="Tahoma"/>
          <w:sz w:val="14"/>
          <w:szCs w:val="14"/>
          <w:rtl/>
        </w:rPr>
      </w:pPr>
      <w:r w:rsidRPr="00D449A8">
        <w:rPr>
          <w:rStyle w:val="FootnoteReference0"/>
          <w:rFonts w:ascii="Tahoma" w:hAnsi="Tahoma" w:cs="Tahoma"/>
          <w:sz w:val="14"/>
          <w:szCs w:val="14"/>
          <w:vertAlign w:val="baseline"/>
        </w:rPr>
        <w:footnoteRef/>
      </w:r>
      <w:r w:rsidRPr="00D449A8">
        <w:rPr>
          <w:rFonts w:ascii="Tahoma" w:hAnsi="Tahoma" w:cs="Tahoma"/>
          <w:sz w:val="14"/>
          <w:szCs w:val="14"/>
          <w:rtl/>
        </w:rPr>
        <w:t xml:space="preserve"> </w:t>
      </w:r>
      <w:r w:rsidRPr="00D449A8">
        <w:rPr>
          <w:rFonts w:ascii="Tahoma" w:hAnsi="Tahoma" w:cs="Tahoma"/>
          <w:sz w:val="14"/>
          <w:szCs w:val="14"/>
          <w:rtl/>
        </w:rPr>
        <w:tab/>
        <w:t xml:space="preserve"> </w:t>
      </w:r>
      <w:r w:rsidRPr="00D449A8">
        <w:rPr>
          <w:rFonts w:ascii="Tahoma" w:hAnsi="Tahoma" w:cs="Tahoma"/>
          <w:sz w:val="14"/>
          <w:szCs w:val="14"/>
          <w:rtl/>
          <w:lang w:bidi="ar-SA"/>
        </w:rPr>
        <w:t xml:space="preserve">التماس لمحكمة العدل العليا </w:t>
      </w:r>
      <w:r w:rsidRPr="00D449A8">
        <w:rPr>
          <w:rFonts w:ascii="Tahoma" w:hAnsi="Tahoma" w:cs="Tahoma"/>
          <w:sz w:val="14"/>
          <w:szCs w:val="14"/>
          <w:rtl/>
        </w:rPr>
        <w:t> 1181/03</w:t>
      </w:r>
      <w:r w:rsidRPr="00D449A8">
        <w:rPr>
          <w:rFonts w:ascii="Tahoma" w:hAnsi="Tahoma" w:cs="Tahoma"/>
          <w:sz w:val="14"/>
          <w:szCs w:val="14"/>
          <w:rtl/>
          <w:lang w:bidi="ar-SA"/>
        </w:rPr>
        <w:t xml:space="preserve">، جامعة بار إيلان ضدّ محكمة العمل القطريّة، قرار حكم </w:t>
      </w:r>
      <w:r w:rsidRPr="00D449A8">
        <w:rPr>
          <w:rFonts w:ascii="Tahoma" w:hAnsi="Tahoma" w:cs="Tahoma"/>
          <w:sz w:val="14"/>
          <w:szCs w:val="14"/>
          <w:rtl/>
        </w:rPr>
        <w:t>(3), 204, 238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9B355B">
      <w:rPr>
        <w:rFonts w:ascii="Arial Bold" w:hAnsi="Arial Bold" w:cs="Tahoma"/>
        <w:noProof/>
        <w:sz w:val="16"/>
        <w:szCs w:val="16"/>
        <w:rtl/>
      </w:rPr>
      <w:t>5</w:t>
    </w:r>
    <w:r w:rsidRPr="000536D4">
      <w:rPr>
        <w:rFonts w:ascii="Arial Bold" w:hAnsi="Arial Bold" w:cs="Tahoma"/>
        <w:noProof/>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0456" w:rsidRPr="000536D4" w:rsidP="007D72BE">
    <w:pPr>
      <w:spacing w:before="240" w:after="180" w:line="240" w:lineRule="auto"/>
      <w:rPr>
        <w:b/>
        <w:bCs/>
      </w:rPr>
    </w:pPr>
    <w:r w:rsidRPr="004C636F">
      <w:rPr>
        <w:rFonts w:ascii="Arial Bold" w:hAnsi="Arial Bold" w:eastAsiaTheme="majorEastAsia" w:cs="Tahoma" w:hint="eastAsia"/>
        <w:color w:val="0B5294" w:themeColor="accent1" w:themeShade="BF"/>
        <w:sz w:val="16"/>
        <w:szCs w:val="16"/>
        <w:rtl/>
      </w:rPr>
      <w:t>דוח</w:t>
    </w:r>
    <w:r w:rsidRPr="004C636F">
      <w:rPr>
        <w:rFonts w:ascii="Arial Bold" w:hAnsi="Arial Bold" w:eastAsiaTheme="majorEastAsia" w:cs="Tahoma"/>
        <w:color w:val="0B5294" w:themeColor="accent1" w:themeShade="BF"/>
        <w:sz w:val="16"/>
        <w:szCs w:val="16"/>
        <w:rtl/>
      </w:rPr>
      <w:t xml:space="preserve"> </w:t>
    </w:r>
    <w:r w:rsidRPr="004C636F">
      <w:rPr>
        <w:rFonts w:ascii="Arial Bold" w:hAnsi="Arial Bold" w:eastAsiaTheme="majorEastAsia" w:cs="Tahoma" w:hint="eastAsia"/>
        <w:color w:val="0B5294" w:themeColor="accent1" w:themeShade="BF"/>
        <w:sz w:val="16"/>
        <w:szCs w:val="16"/>
        <w:rtl/>
      </w:rPr>
      <w:t>ביקורת</w:t>
    </w:r>
    <w:r w:rsidRPr="004C636F">
      <w:rPr>
        <w:rFonts w:ascii="Arial Bold" w:hAnsi="Arial Bold" w:eastAsiaTheme="majorEastAsia" w:cs="Tahoma"/>
        <w:color w:val="0B5294" w:themeColor="accent1" w:themeShade="BF"/>
        <w:sz w:val="16"/>
        <w:szCs w:val="16"/>
        <w:rtl/>
      </w:rPr>
      <w:t xml:space="preserve"> </w:t>
    </w:r>
    <w:r w:rsidRPr="004C636F">
      <w:rPr>
        <w:rFonts w:ascii="Arial Bold" w:hAnsi="Arial Bold" w:eastAsiaTheme="majorEastAsia" w:cs="Tahoma" w:hint="eastAsia"/>
        <w:color w:val="0B5294" w:themeColor="accent1" w:themeShade="BF"/>
        <w:sz w:val="16"/>
        <w:szCs w:val="16"/>
        <w:rtl/>
      </w:rPr>
      <w:t>מיוחד</w:t>
    </w:r>
    <w:r>
      <w:rPr>
        <w:rFonts w:hint="eastAsia"/>
        <w:b/>
        <w:bCs/>
        <w:noProof/>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0456" w:rsidRPr="00D70CA7" w:rsidP="009B355B">
    <w:pPr>
      <w:spacing w:before="240" w:after="180" w:line="240" w:lineRule="auto"/>
      <w:jc w:val="right"/>
      <w:rPr>
        <w:rFonts w:ascii="Tahoma" w:hAnsi="Tahoma" w:cs="Tahoma"/>
        <w:b/>
        <w:bCs/>
        <w:sz w:val="16"/>
        <w:szCs w:val="16"/>
      </w:rPr>
    </w:pPr>
    <w:r w:rsidRPr="00D70CA7">
      <w:rPr>
        <w:rFonts w:ascii="Arial Bold" w:hAnsi="Arial Bold"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B561B9" w:rsidR="00B561B9">
      <w:rPr>
        <w:rFonts w:ascii="Arial Bold" w:hAnsi="Arial Bold" w:eastAsiaTheme="majorEastAsia" w:cs="Tahoma" w:hint="eastAsia"/>
        <w:color w:val="0B5294" w:themeColor="accent1" w:themeShade="BF"/>
        <w:sz w:val="16"/>
        <w:szCs w:val="16"/>
        <w:rtl/>
      </w:rPr>
      <w:t xml:space="preserve"> </w:t>
    </w:r>
    <w:r w:rsidR="009B355B">
      <w:rPr>
        <w:rFonts w:ascii="Tahoma" w:hAnsi="Tahoma" w:eastAsiaTheme="majorEastAsia" w:cs="Tahoma"/>
        <w:noProof/>
        <w:color w:val="0B5294" w:themeColor="accent1" w:themeShade="BF"/>
        <w:sz w:val="16"/>
        <w:szCs w:val="16"/>
        <w:rtl/>
      </w:rPr>
      <w:t>טיפול המדינה בקשישים סיעודיים השוהים בביתם</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321E" w:rsidRPr="000536D4" w:rsidP="007D72BE">
    <w:pPr>
      <w:spacing w:before="240" w:after="180" w:line="240" w:lineRule="auto"/>
      <w:rPr>
        <w:b/>
        <w:bCs/>
      </w:rPr>
    </w:pPr>
    <w:r>
      <w:rPr>
        <w:rFonts w:hint="eastAsia"/>
        <w:b/>
        <w:bCs/>
        <w:noProof/>
        <w:rtl/>
      </w:rPr>
      <mc:AlternateContent>
        <mc:Choice Requires="wps">
          <w:drawing>
            <wp:anchor distT="0" distB="0" distL="114300" distR="114300" simplePos="0" relativeHeight="251662336" behindDoc="1" locked="0" layoutInCell="1" allowOverlap="1">
              <wp:simplePos x="0" y="0"/>
              <wp:positionH relativeFrom="page">
                <wp:align>center</wp:align>
              </wp:positionH>
              <wp:positionV relativeFrom="page">
                <wp:align>center</wp:align>
              </wp:positionV>
              <wp:extent cx="7560000" cy="9720000"/>
              <wp:effectExtent l="0" t="0" r="22225" b="14605"/>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51"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3120" fillcolor="#fef7ea" strokecolor="white" strokeweight="1.5pt">
              <v:stroke endcap="round"/>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5CC6" w:rsidRPr="000536D4" w:rsidP="007D72BE">
    <w:pPr>
      <w:spacing w:before="240" w:after="180" w:line="240" w:lineRule="auto"/>
      <w:rPr>
        <w:b/>
        <w:bCs/>
      </w:rPr>
    </w:pPr>
    <w:r w:rsidRPr="004C636F">
      <w:rPr>
        <w:rFonts w:ascii="Arial Bold" w:hAnsi="Arial Bold" w:eastAsiaTheme="majorEastAsia" w:cs="Tahoma" w:hint="eastAsia"/>
        <w:color w:val="0B5294" w:themeColor="accent1" w:themeShade="BF"/>
        <w:sz w:val="16"/>
        <w:szCs w:val="16"/>
        <w:rtl/>
      </w:rPr>
      <w:t>דוח</w:t>
    </w:r>
    <w:r w:rsidRPr="004C636F">
      <w:rPr>
        <w:rFonts w:ascii="Arial Bold" w:hAnsi="Arial Bold" w:eastAsiaTheme="majorEastAsia" w:cs="Tahoma"/>
        <w:color w:val="0B5294" w:themeColor="accent1" w:themeShade="BF"/>
        <w:sz w:val="16"/>
        <w:szCs w:val="16"/>
        <w:rtl/>
      </w:rPr>
      <w:t xml:space="preserve"> </w:t>
    </w:r>
    <w:r w:rsidRPr="004C636F">
      <w:rPr>
        <w:rFonts w:ascii="Arial Bold" w:hAnsi="Arial Bold" w:eastAsiaTheme="majorEastAsia" w:cs="Tahoma" w:hint="eastAsia"/>
        <w:color w:val="0B5294" w:themeColor="accent1" w:themeShade="BF"/>
        <w:sz w:val="16"/>
        <w:szCs w:val="16"/>
        <w:rtl/>
      </w:rPr>
      <w:t>ביקורת</w:t>
    </w:r>
    <w:r w:rsidRPr="004C636F">
      <w:rPr>
        <w:rFonts w:ascii="Arial Bold" w:hAnsi="Arial Bold" w:eastAsiaTheme="majorEastAsia" w:cs="Tahoma"/>
        <w:color w:val="0B5294" w:themeColor="accent1" w:themeShade="BF"/>
        <w:sz w:val="16"/>
        <w:szCs w:val="16"/>
        <w:rtl/>
      </w:rPr>
      <w:t xml:space="preserve"> </w:t>
    </w:r>
    <w:r w:rsidRPr="004C636F">
      <w:rPr>
        <w:rFonts w:ascii="Arial Bold" w:hAnsi="Arial Bold" w:eastAsiaTheme="majorEastAsia" w:cs="Tahoma" w:hint="eastAsia"/>
        <w:color w:val="0B5294" w:themeColor="accent1" w:themeShade="BF"/>
        <w:sz w:val="16"/>
        <w:szCs w:val="16"/>
        <w:rtl/>
      </w:rPr>
      <w:t>מיוחד</w:t>
    </w:r>
    <w:r>
      <w:rPr>
        <w:rFonts w:hint="eastAsia"/>
        <w:b/>
        <w:bCs/>
        <w:noProof/>
        <w:rtl/>
      </w:rPr>
      <mc:AlternateContent>
        <mc:Choice Requires="wps">
          <w:drawing>
            <wp:anchor distT="0" distB="0" distL="114300" distR="114300" simplePos="0" relativeHeight="251664384"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2"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1072" fillcolor="#fef7ea" strokecolor="white" strokeweight="1.5pt">
              <v:stroke endcap="round"/>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5740" w:rsidRPr="00D70CA7" w:rsidP="009B355B">
    <w:pPr>
      <w:spacing w:before="240" w:after="180" w:line="240" w:lineRule="auto"/>
      <w:jc w:val="right"/>
      <w:rPr>
        <w:rFonts w:ascii="Tahoma" w:hAnsi="Tahoma" w:cs="Tahoma"/>
        <w:b/>
        <w:bCs/>
        <w:sz w:val="16"/>
        <w:szCs w:val="16"/>
      </w:rPr>
    </w:pPr>
    <w:r w:rsidRPr="00D70CA7">
      <w:rPr>
        <w:rFonts w:ascii="Arial Bold" w:hAnsi="Arial Bold" w:eastAsiaTheme="majorEastAsia" w:cs="Tahoma" w:hint="eastAsia"/>
        <w:noProof/>
        <w:color w:val="0B5294" w:themeColor="accent1" w:themeShade="BF"/>
        <w:sz w:val="16"/>
        <w:szCs w:val="16"/>
        <w:rtl/>
      </w:rPr>
      <mc:AlternateContent>
        <mc:Choice Requires="wps">
          <w:drawing>
            <wp:anchor distT="0" distB="0" distL="114300" distR="114300" simplePos="0" relativeHeight="251666432" behindDoc="1" locked="0" layoutInCell="1" allowOverlap="1">
              <wp:simplePos x="0" y="0"/>
              <wp:positionH relativeFrom="page">
                <wp:align>center</wp:align>
              </wp:positionH>
              <wp:positionV relativeFrom="page">
                <wp:align>center</wp:align>
              </wp:positionV>
              <wp:extent cx="7560000" cy="9720000"/>
              <wp:effectExtent l="0" t="0" r="22225" b="14605"/>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2053"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49024" fillcolor="#fef7ea" strokecolor="white" strokeweight="1.5pt">
              <v:stroke endcap="round"/>
            </v:rect>
          </w:pict>
        </mc:Fallback>
      </mc:AlternateContent>
    </w:r>
    <w:r w:rsidRPr="00B561B9">
      <w:rPr>
        <w:rFonts w:ascii="Arial Bold" w:hAnsi="Arial Bold" w:eastAsiaTheme="majorEastAsia" w:cs="Tahoma" w:hint="eastAsia"/>
        <w:color w:val="0B5294" w:themeColor="accent1" w:themeShade="BF"/>
        <w:sz w:val="16"/>
        <w:szCs w:val="16"/>
        <w:rtl/>
      </w:rPr>
      <w:t xml:space="preserve"> </w:t>
    </w:r>
    <w:r>
      <w:rPr>
        <w:rFonts w:ascii="Tahoma" w:hAnsi="Tahoma" w:eastAsiaTheme="majorEastAsia" w:cs="Tahoma"/>
        <w:noProof/>
        <w:color w:val="0B5294" w:themeColor="accent1" w:themeShade="BF"/>
        <w:sz w:val="16"/>
        <w:szCs w:val="16"/>
        <w:rtl/>
      </w:rPr>
      <w:t>טיפול המדינה בקשישים סיעודיים השוהים בביתם</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1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958AB"/>
    <w:multiLevelType w:val="multilevel"/>
    <w:tmpl w:val="D72C347E"/>
    <w:lvl w:ilvl="0">
      <w:start w:val="1"/>
      <w:numFmt w:val="decimal"/>
      <w:lvlText w:val="%1."/>
      <w:lvlJc w:val="left"/>
      <w:pPr>
        <w:ind w:left="340" w:hanging="340"/>
      </w:pPr>
      <w:rPr>
        <w:b/>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0605432"/>
    <w:multiLevelType w:val="hybridMultilevel"/>
    <w:tmpl w:val="55DC5252"/>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2">
    <w:nsid w:val="17C04657"/>
    <w:multiLevelType w:val="multilevel"/>
    <w:tmpl w:val="4058D25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A0C64FE"/>
    <w:multiLevelType w:val="multilevel"/>
    <w:tmpl w:val="1824721A"/>
    <w:lvl w:ilvl="0">
      <w:start w:val="1"/>
      <w:numFmt w:val="decimal"/>
      <w:lvlText w:val="%1."/>
      <w:lvlJc w:val="left"/>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1B220BC1"/>
    <w:multiLevelType w:val="hybridMultilevel"/>
    <w:tmpl w:val="1B5CE1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09B1F97"/>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9BD5FFB"/>
    <w:multiLevelType w:val="hybridMultilevel"/>
    <w:tmpl w:val="7182FB84"/>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8">
    <w:nsid w:val="2C2E0C5F"/>
    <w:multiLevelType w:val="multilevel"/>
    <w:tmpl w:val="3C82A1F2"/>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2E274273"/>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32760DC3"/>
    <w:multiLevelType w:val="hybridMultilevel"/>
    <w:tmpl w:val="1D3CF324"/>
    <w:lvl w:ilvl="0">
      <w:start w:val="1"/>
      <w:numFmt w:val="bullet"/>
      <w:lvlText w:val=""/>
      <w:lvlJc w:val="left"/>
      <w:pPr>
        <w:ind w:left="644" w:hanging="360"/>
      </w:pPr>
      <w:rPr>
        <w:rFonts w:ascii="Symbol" w:hAnsi="Symbol" w:hint="default"/>
        <w:lang w:bidi="he-IL"/>
      </w:rPr>
    </w:lvl>
    <w:lvl w:ilvl="1">
      <w:start w:val="1"/>
      <w:numFmt w:val="bullet"/>
      <w:lvlText w:val=""/>
      <w:lvlJc w:val="left"/>
      <w:pPr>
        <w:ind w:left="1494" w:hanging="360"/>
      </w:pPr>
      <w:rPr>
        <w:rFonts w:ascii="Symbol" w:hAnsi="Symbol" w:hint="default"/>
        <w:lang w:bidi="he-IL"/>
      </w:rPr>
    </w:lvl>
    <w:lvl w:ilvl="2">
      <w:start w:val="1"/>
      <w:numFmt w:val="bullet"/>
      <w:lvlText w:val="-"/>
      <w:lvlJc w:val="left"/>
      <w:pPr>
        <w:ind w:left="4918" w:hanging="360"/>
      </w:pPr>
      <w:rPr>
        <w:rFonts w:ascii="Courier New" w:hAnsi="Courier New" w:hint="default"/>
        <w:lang w:bidi="he-IL"/>
      </w:rPr>
    </w:lvl>
    <w:lvl w:ilvl="3">
      <w:start w:val="1"/>
      <w:numFmt w:val="bullet"/>
      <w:lvlText w:val=""/>
      <w:lvlJc w:val="left"/>
      <w:pPr>
        <w:ind w:left="5638" w:hanging="360"/>
      </w:pPr>
      <w:rPr>
        <w:rFonts w:ascii="Symbol" w:hAnsi="Symbol" w:hint="default"/>
      </w:rPr>
    </w:lvl>
    <w:lvl w:ilvl="4" w:tentative="1">
      <w:start w:val="1"/>
      <w:numFmt w:val="bullet"/>
      <w:lvlText w:val="o"/>
      <w:lvlJc w:val="left"/>
      <w:pPr>
        <w:ind w:left="6358" w:hanging="360"/>
      </w:pPr>
      <w:rPr>
        <w:rFonts w:ascii="Courier New" w:hAnsi="Courier New" w:cs="Courier New" w:hint="default"/>
      </w:rPr>
    </w:lvl>
    <w:lvl w:ilvl="5" w:tentative="1">
      <w:start w:val="1"/>
      <w:numFmt w:val="bullet"/>
      <w:lvlText w:val=""/>
      <w:lvlJc w:val="left"/>
      <w:pPr>
        <w:ind w:left="7078" w:hanging="360"/>
      </w:pPr>
      <w:rPr>
        <w:rFonts w:ascii="Wingdings" w:hAnsi="Wingdings" w:hint="default"/>
      </w:rPr>
    </w:lvl>
    <w:lvl w:ilvl="6" w:tentative="1">
      <w:start w:val="1"/>
      <w:numFmt w:val="bullet"/>
      <w:lvlText w:val=""/>
      <w:lvlJc w:val="left"/>
      <w:pPr>
        <w:ind w:left="7798" w:hanging="360"/>
      </w:pPr>
      <w:rPr>
        <w:rFonts w:ascii="Symbol" w:hAnsi="Symbol" w:hint="default"/>
      </w:rPr>
    </w:lvl>
    <w:lvl w:ilvl="7" w:tentative="1">
      <w:start w:val="1"/>
      <w:numFmt w:val="bullet"/>
      <w:lvlText w:val="o"/>
      <w:lvlJc w:val="left"/>
      <w:pPr>
        <w:ind w:left="8518" w:hanging="360"/>
      </w:pPr>
      <w:rPr>
        <w:rFonts w:ascii="Courier New" w:hAnsi="Courier New" w:cs="Courier New" w:hint="default"/>
      </w:rPr>
    </w:lvl>
    <w:lvl w:ilvl="8" w:tentative="1">
      <w:start w:val="1"/>
      <w:numFmt w:val="bullet"/>
      <w:lvlText w:val=""/>
      <w:lvlJc w:val="left"/>
      <w:pPr>
        <w:ind w:left="9238" w:hanging="360"/>
      </w:pPr>
      <w:rPr>
        <w:rFonts w:ascii="Wingdings" w:hAnsi="Wingdings" w:hint="default"/>
      </w:rPr>
    </w:lvl>
  </w:abstractNum>
  <w:abstractNum w:abstractNumId="11">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3357585E"/>
    <w:multiLevelType w:val="multilevel"/>
    <w:tmpl w:val="D5B06B2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4">
    <w:nsid w:val="41CE3D08"/>
    <w:multiLevelType w:val="multilevel"/>
    <w:tmpl w:val="708E5198"/>
    <w:lvl w:ilvl="0">
      <w:start w:val="5"/>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6">
    <w:nsid w:val="59513B51"/>
    <w:multiLevelType w:val="hybridMultilevel"/>
    <w:tmpl w:val="2E4217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8">
    <w:nsid w:val="783727F4"/>
    <w:multiLevelType w:val="hybridMultilevel"/>
    <w:tmpl w:val="4030C91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E317EBC"/>
    <w:multiLevelType w:val="hybridMultilevel"/>
    <w:tmpl w:val="7CD6802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11"/>
  </w:num>
  <w:num w:numId="3">
    <w:abstractNumId w:val="17"/>
  </w:num>
  <w:num w:numId="4">
    <w:abstractNumId w:val="6"/>
  </w:num>
  <w:num w:numId="5">
    <w:abstractNumId w:val="16"/>
  </w:num>
  <w:num w:numId="6">
    <w:abstractNumId w:val="4"/>
  </w:num>
  <w:num w:numId="7">
    <w:abstractNumId w:val="18"/>
  </w:num>
  <w:num w:numId="8">
    <w:abstractNumId w:val="19"/>
  </w:num>
  <w:num w:numId="9">
    <w:abstractNumId w:val="0"/>
  </w:num>
  <w:num w:numId="10">
    <w:abstractNumId w:val="12"/>
  </w:num>
  <w:num w:numId="11">
    <w:abstractNumId w:val="2"/>
  </w:num>
  <w:num w:numId="12">
    <w:abstractNumId w:val="8"/>
  </w:num>
  <w:num w:numId="13">
    <w:abstractNumId w:val="14"/>
  </w:num>
  <w:num w:numId="14">
    <w:abstractNumId w:val="1"/>
  </w:num>
  <w:num w:numId="15">
    <w:abstractNumId w:val="15"/>
  </w:num>
  <w:num w:numId="16">
    <w:abstractNumId w:val="7"/>
  </w:num>
  <w:num w:numId="17">
    <w:abstractNumId w:val="6"/>
    <w:lvlOverride w:ilvl="0">
      <w:startOverride w:val="1"/>
    </w:lvlOverride>
  </w:num>
  <w:num w:numId="18">
    <w:abstractNumId w:val="6"/>
    <w:lvlOverride w:ilvl="0">
      <w:startOverride w:val="2"/>
    </w:lvlOverride>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13"/>
  </w:num>
  <w:num w:numId="29">
    <w:abstractNumId w:val="6"/>
  </w:num>
  <w:num w:numId="30">
    <w:abstractNumId w:val="6"/>
  </w:num>
  <w:num w:numId="31">
    <w:abstractNumId w:val="6"/>
  </w:num>
  <w:num w:numId="32">
    <w:abstractNumId w:val="6"/>
  </w:num>
  <w:num w:numId="33">
    <w:abstractNumId w:val="6"/>
  </w:num>
  <w:num w:numId="34">
    <w:abstractNumId w:val="9"/>
  </w:num>
  <w:num w:numId="35">
    <w:abstractNumId w:val="5"/>
  </w:num>
  <w:num w:numId="3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188"/>
    <w:rsid w:val="00006C22"/>
    <w:rsid w:val="000073CC"/>
    <w:rsid w:val="000105AD"/>
    <w:rsid w:val="000114F5"/>
    <w:rsid w:val="00011508"/>
    <w:rsid w:val="000123B5"/>
    <w:rsid w:val="00012511"/>
    <w:rsid w:val="00012E42"/>
    <w:rsid w:val="00012FC5"/>
    <w:rsid w:val="00013127"/>
    <w:rsid w:val="00013F54"/>
    <w:rsid w:val="00015D42"/>
    <w:rsid w:val="00017099"/>
    <w:rsid w:val="000174BC"/>
    <w:rsid w:val="00021662"/>
    <w:rsid w:val="000225D3"/>
    <w:rsid w:val="000249E2"/>
    <w:rsid w:val="00025440"/>
    <w:rsid w:val="00025650"/>
    <w:rsid w:val="0002681A"/>
    <w:rsid w:val="0002689B"/>
    <w:rsid w:val="00027245"/>
    <w:rsid w:val="0002729A"/>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12F9"/>
    <w:rsid w:val="00071F43"/>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03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157"/>
    <w:rsid w:val="000E5B6C"/>
    <w:rsid w:val="000E5C35"/>
    <w:rsid w:val="000E642B"/>
    <w:rsid w:val="000E6B72"/>
    <w:rsid w:val="000E6D1A"/>
    <w:rsid w:val="000E761F"/>
    <w:rsid w:val="000E7FC4"/>
    <w:rsid w:val="000F0117"/>
    <w:rsid w:val="000F056D"/>
    <w:rsid w:val="000F0D79"/>
    <w:rsid w:val="000F3B27"/>
    <w:rsid w:val="000F4951"/>
    <w:rsid w:val="000F4997"/>
    <w:rsid w:val="000F49B9"/>
    <w:rsid w:val="000F4C6C"/>
    <w:rsid w:val="000F4E31"/>
    <w:rsid w:val="000F51B7"/>
    <w:rsid w:val="000F68CD"/>
    <w:rsid w:val="000F69B0"/>
    <w:rsid w:val="000F6B40"/>
    <w:rsid w:val="000F722D"/>
    <w:rsid w:val="000F7E18"/>
    <w:rsid w:val="001000F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1817"/>
    <w:rsid w:val="00111D0B"/>
    <w:rsid w:val="00112B7B"/>
    <w:rsid w:val="00112D83"/>
    <w:rsid w:val="00113A65"/>
    <w:rsid w:val="00113BEC"/>
    <w:rsid w:val="00114587"/>
    <w:rsid w:val="001156F5"/>
    <w:rsid w:val="00115F32"/>
    <w:rsid w:val="00116EC6"/>
    <w:rsid w:val="00117163"/>
    <w:rsid w:val="00117668"/>
    <w:rsid w:val="00120C15"/>
    <w:rsid w:val="00120E31"/>
    <w:rsid w:val="00121460"/>
    <w:rsid w:val="001215DD"/>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542"/>
    <w:rsid w:val="00135EB9"/>
    <w:rsid w:val="00136B9E"/>
    <w:rsid w:val="00141E28"/>
    <w:rsid w:val="00143613"/>
    <w:rsid w:val="00144786"/>
    <w:rsid w:val="00145DAD"/>
    <w:rsid w:val="00146345"/>
    <w:rsid w:val="00150E90"/>
    <w:rsid w:val="0015132E"/>
    <w:rsid w:val="001519D2"/>
    <w:rsid w:val="00152684"/>
    <w:rsid w:val="00152C39"/>
    <w:rsid w:val="00153D39"/>
    <w:rsid w:val="00154886"/>
    <w:rsid w:val="00154C30"/>
    <w:rsid w:val="00154C71"/>
    <w:rsid w:val="001551EA"/>
    <w:rsid w:val="001553E4"/>
    <w:rsid w:val="00156292"/>
    <w:rsid w:val="001563D0"/>
    <w:rsid w:val="0015686E"/>
    <w:rsid w:val="00160149"/>
    <w:rsid w:val="001601B0"/>
    <w:rsid w:val="00160DE1"/>
    <w:rsid w:val="00161297"/>
    <w:rsid w:val="00161324"/>
    <w:rsid w:val="00161CBD"/>
    <w:rsid w:val="0016215A"/>
    <w:rsid w:val="00162D9B"/>
    <w:rsid w:val="001632AB"/>
    <w:rsid w:val="0016419A"/>
    <w:rsid w:val="001643E8"/>
    <w:rsid w:val="0016445C"/>
    <w:rsid w:val="00165197"/>
    <w:rsid w:val="001666D8"/>
    <w:rsid w:val="00166EE9"/>
    <w:rsid w:val="00170230"/>
    <w:rsid w:val="00170C02"/>
    <w:rsid w:val="00171743"/>
    <w:rsid w:val="00171E57"/>
    <w:rsid w:val="00172872"/>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CA"/>
    <w:rsid w:val="0019127D"/>
    <w:rsid w:val="001927CC"/>
    <w:rsid w:val="00192DC4"/>
    <w:rsid w:val="001933DD"/>
    <w:rsid w:val="0019373E"/>
    <w:rsid w:val="00193C51"/>
    <w:rsid w:val="00194AD1"/>
    <w:rsid w:val="00194FE0"/>
    <w:rsid w:val="00196762"/>
    <w:rsid w:val="00196B27"/>
    <w:rsid w:val="00196D01"/>
    <w:rsid w:val="001971C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3DEA"/>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21EA"/>
    <w:rsid w:val="001E25A0"/>
    <w:rsid w:val="001E2CC9"/>
    <w:rsid w:val="001E35D7"/>
    <w:rsid w:val="001E3D2B"/>
    <w:rsid w:val="001E3F24"/>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3EF7"/>
    <w:rsid w:val="00204FD5"/>
    <w:rsid w:val="00206427"/>
    <w:rsid w:val="00206B50"/>
    <w:rsid w:val="0020737B"/>
    <w:rsid w:val="00207C31"/>
    <w:rsid w:val="00211542"/>
    <w:rsid w:val="002115E2"/>
    <w:rsid w:val="00211890"/>
    <w:rsid w:val="00211CD5"/>
    <w:rsid w:val="00212C70"/>
    <w:rsid w:val="00212CC9"/>
    <w:rsid w:val="002164D6"/>
    <w:rsid w:val="00216564"/>
    <w:rsid w:val="00216CE4"/>
    <w:rsid w:val="00216E18"/>
    <w:rsid w:val="00217002"/>
    <w:rsid w:val="00217D25"/>
    <w:rsid w:val="00220150"/>
    <w:rsid w:val="00220B1E"/>
    <w:rsid w:val="00221B6D"/>
    <w:rsid w:val="00222EFD"/>
    <w:rsid w:val="00223E18"/>
    <w:rsid w:val="00225614"/>
    <w:rsid w:val="00225E4F"/>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9A8"/>
    <w:rsid w:val="00244F89"/>
    <w:rsid w:val="00245388"/>
    <w:rsid w:val="002455D9"/>
    <w:rsid w:val="002511A2"/>
    <w:rsid w:val="002518DB"/>
    <w:rsid w:val="002530C2"/>
    <w:rsid w:val="00255959"/>
    <w:rsid w:val="00255CC3"/>
    <w:rsid w:val="00260172"/>
    <w:rsid w:val="002630E9"/>
    <w:rsid w:val="002634FC"/>
    <w:rsid w:val="00264588"/>
    <w:rsid w:val="002647FF"/>
    <w:rsid w:val="00264915"/>
    <w:rsid w:val="00265813"/>
    <w:rsid w:val="002665EC"/>
    <w:rsid w:val="00266740"/>
    <w:rsid w:val="0026692E"/>
    <w:rsid w:val="00267B56"/>
    <w:rsid w:val="0027002F"/>
    <w:rsid w:val="00270AD8"/>
    <w:rsid w:val="002712C2"/>
    <w:rsid w:val="002717B8"/>
    <w:rsid w:val="00271BBF"/>
    <w:rsid w:val="002722F1"/>
    <w:rsid w:val="00272DCB"/>
    <w:rsid w:val="00273C82"/>
    <w:rsid w:val="00274D7E"/>
    <w:rsid w:val="00275B96"/>
    <w:rsid w:val="00277717"/>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C1D"/>
    <w:rsid w:val="00293C5A"/>
    <w:rsid w:val="00294765"/>
    <w:rsid w:val="002952BE"/>
    <w:rsid w:val="0029606C"/>
    <w:rsid w:val="002963FC"/>
    <w:rsid w:val="0029657A"/>
    <w:rsid w:val="00296C96"/>
    <w:rsid w:val="00297F9D"/>
    <w:rsid w:val="002A0F5E"/>
    <w:rsid w:val="002A11BD"/>
    <w:rsid w:val="002A122A"/>
    <w:rsid w:val="002A38DF"/>
    <w:rsid w:val="002A4062"/>
    <w:rsid w:val="002A4C50"/>
    <w:rsid w:val="002A51A3"/>
    <w:rsid w:val="002A6515"/>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B729F"/>
    <w:rsid w:val="002C0374"/>
    <w:rsid w:val="002C0D01"/>
    <w:rsid w:val="002C167F"/>
    <w:rsid w:val="002C1805"/>
    <w:rsid w:val="002C3001"/>
    <w:rsid w:val="002C307C"/>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3CF6"/>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3006EA"/>
    <w:rsid w:val="00300E9F"/>
    <w:rsid w:val="00301280"/>
    <w:rsid w:val="003027AA"/>
    <w:rsid w:val="00302CDA"/>
    <w:rsid w:val="003043F6"/>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3BC9"/>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5740"/>
    <w:rsid w:val="00396C01"/>
    <w:rsid w:val="003976F4"/>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0A8D"/>
    <w:rsid w:val="003D14AF"/>
    <w:rsid w:val="003D15EC"/>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3F7110"/>
    <w:rsid w:val="0040161B"/>
    <w:rsid w:val="004018FE"/>
    <w:rsid w:val="00402710"/>
    <w:rsid w:val="00402ABD"/>
    <w:rsid w:val="00403B07"/>
    <w:rsid w:val="00403F22"/>
    <w:rsid w:val="00404456"/>
    <w:rsid w:val="00404D52"/>
    <w:rsid w:val="00405C49"/>
    <w:rsid w:val="004060A6"/>
    <w:rsid w:val="00406649"/>
    <w:rsid w:val="00406863"/>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0F07"/>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5D6"/>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36F"/>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4F7F76"/>
    <w:rsid w:val="005000F1"/>
    <w:rsid w:val="00501EBE"/>
    <w:rsid w:val="00503016"/>
    <w:rsid w:val="00503346"/>
    <w:rsid w:val="00503914"/>
    <w:rsid w:val="00505054"/>
    <w:rsid w:val="00505951"/>
    <w:rsid w:val="00505E67"/>
    <w:rsid w:val="00505EE4"/>
    <w:rsid w:val="00505EE7"/>
    <w:rsid w:val="00506823"/>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641D"/>
    <w:rsid w:val="00527462"/>
    <w:rsid w:val="00527873"/>
    <w:rsid w:val="00530040"/>
    <w:rsid w:val="005302AB"/>
    <w:rsid w:val="00530A7F"/>
    <w:rsid w:val="00531652"/>
    <w:rsid w:val="00532AAB"/>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46EF7"/>
    <w:rsid w:val="00551A41"/>
    <w:rsid w:val="00552038"/>
    <w:rsid w:val="005529D8"/>
    <w:rsid w:val="00553692"/>
    <w:rsid w:val="00554A39"/>
    <w:rsid w:val="00555B3E"/>
    <w:rsid w:val="005560EB"/>
    <w:rsid w:val="0055660D"/>
    <w:rsid w:val="00557333"/>
    <w:rsid w:val="00557DD2"/>
    <w:rsid w:val="0056030C"/>
    <w:rsid w:val="0056165E"/>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5F9"/>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4A2"/>
    <w:rsid w:val="005A15A4"/>
    <w:rsid w:val="005A169C"/>
    <w:rsid w:val="005A1CF1"/>
    <w:rsid w:val="005A1F68"/>
    <w:rsid w:val="005A4DBF"/>
    <w:rsid w:val="005A6AAF"/>
    <w:rsid w:val="005B0219"/>
    <w:rsid w:val="005B07DE"/>
    <w:rsid w:val="005B0DFE"/>
    <w:rsid w:val="005B12E9"/>
    <w:rsid w:val="005B1713"/>
    <w:rsid w:val="005B2281"/>
    <w:rsid w:val="005B2537"/>
    <w:rsid w:val="005B2A1D"/>
    <w:rsid w:val="005B3350"/>
    <w:rsid w:val="005B426A"/>
    <w:rsid w:val="005B463B"/>
    <w:rsid w:val="005B515A"/>
    <w:rsid w:val="005B5C18"/>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8CF"/>
    <w:rsid w:val="005F6FCA"/>
    <w:rsid w:val="00601C39"/>
    <w:rsid w:val="00601FC8"/>
    <w:rsid w:val="00602B4F"/>
    <w:rsid w:val="0060384E"/>
    <w:rsid w:val="00605EF8"/>
    <w:rsid w:val="00606EC8"/>
    <w:rsid w:val="00607172"/>
    <w:rsid w:val="00607298"/>
    <w:rsid w:val="00610160"/>
    <w:rsid w:val="00611F89"/>
    <w:rsid w:val="0061200A"/>
    <w:rsid w:val="0061213D"/>
    <w:rsid w:val="00613B46"/>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5D8C"/>
    <w:rsid w:val="00646CF4"/>
    <w:rsid w:val="006474EC"/>
    <w:rsid w:val="00650187"/>
    <w:rsid w:val="0065147A"/>
    <w:rsid w:val="00651AFD"/>
    <w:rsid w:val="00652312"/>
    <w:rsid w:val="00652A0E"/>
    <w:rsid w:val="00652ADF"/>
    <w:rsid w:val="00655A3C"/>
    <w:rsid w:val="00655C9A"/>
    <w:rsid w:val="006562BE"/>
    <w:rsid w:val="00656936"/>
    <w:rsid w:val="00656EF1"/>
    <w:rsid w:val="006571FD"/>
    <w:rsid w:val="006600F0"/>
    <w:rsid w:val="00660683"/>
    <w:rsid w:val="006620DC"/>
    <w:rsid w:val="006638D7"/>
    <w:rsid w:val="00663E81"/>
    <w:rsid w:val="0066553D"/>
    <w:rsid w:val="006655A1"/>
    <w:rsid w:val="00665F32"/>
    <w:rsid w:val="006663B7"/>
    <w:rsid w:val="006706C3"/>
    <w:rsid w:val="006716C5"/>
    <w:rsid w:val="00672A57"/>
    <w:rsid w:val="0067322C"/>
    <w:rsid w:val="00673BC8"/>
    <w:rsid w:val="00674685"/>
    <w:rsid w:val="00674B39"/>
    <w:rsid w:val="00674CB4"/>
    <w:rsid w:val="00676370"/>
    <w:rsid w:val="00677315"/>
    <w:rsid w:val="006779F2"/>
    <w:rsid w:val="00677C89"/>
    <w:rsid w:val="00680880"/>
    <w:rsid w:val="00682ADB"/>
    <w:rsid w:val="0068493A"/>
    <w:rsid w:val="00685F36"/>
    <w:rsid w:val="006864D0"/>
    <w:rsid w:val="00686AC9"/>
    <w:rsid w:val="00687560"/>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5014"/>
    <w:rsid w:val="006A639B"/>
    <w:rsid w:val="006A77B5"/>
    <w:rsid w:val="006B1191"/>
    <w:rsid w:val="006B1C39"/>
    <w:rsid w:val="006B3631"/>
    <w:rsid w:val="006B5117"/>
    <w:rsid w:val="006B5429"/>
    <w:rsid w:val="006B59CA"/>
    <w:rsid w:val="006B5D69"/>
    <w:rsid w:val="006B6E97"/>
    <w:rsid w:val="006B77AC"/>
    <w:rsid w:val="006B78C5"/>
    <w:rsid w:val="006B7EAB"/>
    <w:rsid w:val="006C3610"/>
    <w:rsid w:val="006C3674"/>
    <w:rsid w:val="006C3E19"/>
    <w:rsid w:val="006C47F6"/>
    <w:rsid w:val="006C4AC5"/>
    <w:rsid w:val="006C51C4"/>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5B55"/>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7B7"/>
    <w:rsid w:val="00711A26"/>
    <w:rsid w:val="007121A5"/>
    <w:rsid w:val="00712AAD"/>
    <w:rsid w:val="0071362B"/>
    <w:rsid w:val="00714130"/>
    <w:rsid w:val="0071436C"/>
    <w:rsid w:val="007151B8"/>
    <w:rsid w:val="0071538E"/>
    <w:rsid w:val="00715C5C"/>
    <w:rsid w:val="007161B7"/>
    <w:rsid w:val="00717591"/>
    <w:rsid w:val="007177E4"/>
    <w:rsid w:val="007215EA"/>
    <w:rsid w:val="007256CC"/>
    <w:rsid w:val="00725709"/>
    <w:rsid w:val="00726A8E"/>
    <w:rsid w:val="00726E7C"/>
    <w:rsid w:val="007310D1"/>
    <w:rsid w:val="00731258"/>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1ACC"/>
    <w:rsid w:val="007621B6"/>
    <w:rsid w:val="00762B63"/>
    <w:rsid w:val="00763840"/>
    <w:rsid w:val="00763FE4"/>
    <w:rsid w:val="0076417E"/>
    <w:rsid w:val="00764C43"/>
    <w:rsid w:val="00766F23"/>
    <w:rsid w:val="00767C08"/>
    <w:rsid w:val="00770607"/>
    <w:rsid w:val="00770C49"/>
    <w:rsid w:val="00770FE5"/>
    <w:rsid w:val="00771787"/>
    <w:rsid w:val="00772DF5"/>
    <w:rsid w:val="007763BE"/>
    <w:rsid w:val="007763DB"/>
    <w:rsid w:val="007774F6"/>
    <w:rsid w:val="00777AED"/>
    <w:rsid w:val="00781580"/>
    <w:rsid w:val="00781B8F"/>
    <w:rsid w:val="007825F8"/>
    <w:rsid w:val="00783C28"/>
    <w:rsid w:val="0078411D"/>
    <w:rsid w:val="0078455B"/>
    <w:rsid w:val="00784CEF"/>
    <w:rsid w:val="00784E98"/>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2601"/>
    <w:rsid w:val="007A6F7E"/>
    <w:rsid w:val="007A73F1"/>
    <w:rsid w:val="007A76BA"/>
    <w:rsid w:val="007B1194"/>
    <w:rsid w:val="007B1532"/>
    <w:rsid w:val="007B24B1"/>
    <w:rsid w:val="007B2A3E"/>
    <w:rsid w:val="007B3E10"/>
    <w:rsid w:val="007B4ADC"/>
    <w:rsid w:val="007B55B2"/>
    <w:rsid w:val="007B654B"/>
    <w:rsid w:val="007B65F0"/>
    <w:rsid w:val="007B7880"/>
    <w:rsid w:val="007C08FF"/>
    <w:rsid w:val="007C1B63"/>
    <w:rsid w:val="007C206C"/>
    <w:rsid w:val="007C270F"/>
    <w:rsid w:val="007C2B52"/>
    <w:rsid w:val="007C375F"/>
    <w:rsid w:val="007C4083"/>
    <w:rsid w:val="007C444C"/>
    <w:rsid w:val="007C4A72"/>
    <w:rsid w:val="007C52C8"/>
    <w:rsid w:val="007C5A4F"/>
    <w:rsid w:val="007C62E0"/>
    <w:rsid w:val="007C657C"/>
    <w:rsid w:val="007C65E0"/>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2BE"/>
    <w:rsid w:val="007D7362"/>
    <w:rsid w:val="007E13D8"/>
    <w:rsid w:val="007E2125"/>
    <w:rsid w:val="007E277B"/>
    <w:rsid w:val="007E38A7"/>
    <w:rsid w:val="007E3DC8"/>
    <w:rsid w:val="007E5CB0"/>
    <w:rsid w:val="007E7DCC"/>
    <w:rsid w:val="007F0371"/>
    <w:rsid w:val="007F1528"/>
    <w:rsid w:val="007F1C80"/>
    <w:rsid w:val="007F25D7"/>
    <w:rsid w:val="007F2E2C"/>
    <w:rsid w:val="007F349F"/>
    <w:rsid w:val="007F3DD9"/>
    <w:rsid w:val="007F4D25"/>
    <w:rsid w:val="007F58F7"/>
    <w:rsid w:val="007F5F57"/>
    <w:rsid w:val="007F6279"/>
    <w:rsid w:val="007F7121"/>
    <w:rsid w:val="007F7833"/>
    <w:rsid w:val="00800A36"/>
    <w:rsid w:val="008011FB"/>
    <w:rsid w:val="00801750"/>
    <w:rsid w:val="00801B26"/>
    <w:rsid w:val="00803FF2"/>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112"/>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3C36"/>
    <w:rsid w:val="008341F0"/>
    <w:rsid w:val="00835A31"/>
    <w:rsid w:val="00837B61"/>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1175"/>
    <w:rsid w:val="00862036"/>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17FE"/>
    <w:rsid w:val="00891992"/>
    <w:rsid w:val="00891FD5"/>
    <w:rsid w:val="00892F61"/>
    <w:rsid w:val="0089389E"/>
    <w:rsid w:val="00893B2F"/>
    <w:rsid w:val="008947B7"/>
    <w:rsid w:val="00894B47"/>
    <w:rsid w:val="008952A5"/>
    <w:rsid w:val="008968F5"/>
    <w:rsid w:val="00896F60"/>
    <w:rsid w:val="0089714E"/>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09E"/>
    <w:rsid w:val="008B059F"/>
    <w:rsid w:val="008B30DA"/>
    <w:rsid w:val="008B3389"/>
    <w:rsid w:val="008B5613"/>
    <w:rsid w:val="008B5617"/>
    <w:rsid w:val="008B5769"/>
    <w:rsid w:val="008B57E5"/>
    <w:rsid w:val="008B6FFC"/>
    <w:rsid w:val="008C03D1"/>
    <w:rsid w:val="008C1E66"/>
    <w:rsid w:val="008C25DE"/>
    <w:rsid w:val="008C26B7"/>
    <w:rsid w:val="008C37DE"/>
    <w:rsid w:val="008C3BD6"/>
    <w:rsid w:val="008C438F"/>
    <w:rsid w:val="008C43F1"/>
    <w:rsid w:val="008C51A0"/>
    <w:rsid w:val="008C590F"/>
    <w:rsid w:val="008C6B96"/>
    <w:rsid w:val="008C6DE4"/>
    <w:rsid w:val="008D0753"/>
    <w:rsid w:val="008D14B1"/>
    <w:rsid w:val="008D1C34"/>
    <w:rsid w:val="008D3AE9"/>
    <w:rsid w:val="008D405B"/>
    <w:rsid w:val="008D4165"/>
    <w:rsid w:val="008D629E"/>
    <w:rsid w:val="008D7A33"/>
    <w:rsid w:val="008E0A00"/>
    <w:rsid w:val="008E1387"/>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A12"/>
    <w:rsid w:val="00910E3B"/>
    <w:rsid w:val="009122D0"/>
    <w:rsid w:val="009125B7"/>
    <w:rsid w:val="00912CFB"/>
    <w:rsid w:val="009139E6"/>
    <w:rsid w:val="009175E4"/>
    <w:rsid w:val="009178F5"/>
    <w:rsid w:val="00917AF0"/>
    <w:rsid w:val="00917C5F"/>
    <w:rsid w:val="00920A37"/>
    <w:rsid w:val="00920ACC"/>
    <w:rsid w:val="00920F8A"/>
    <w:rsid w:val="00922D49"/>
    <w:rsid w:val="009243D2"/>
    <w:rsid w:val="0092481E"/>
    <w:rsid w:val="00925F1F"/>
    <w:rsid w:val="00927CFC"/>
    <w:rsid w:val="00927DF8"/>
    <w:rsid w:val="00930567"/>
    <w:rsid w:val="009306BF"/>
    <w:rsid w:val="00930E5C"/>
    <w:rsid w:val="0093159F"/>
    <w:rsid w:val="00931974"/>
    <w:rsid w:val="009319B4"/>
    <w:rsid w:val="00931A16"/>
    <w:rsid w:val="0093264A"/>
    <w:rsid w:val="00932776"/>
    <w:rsid w:val="00932A90"/>
    <w:rsid w:val="00933096"/>
    <w:rsid w:val="00934385"/>
    <w:rsid w:val="009350D0"/>
    <w:rsid w:val="00935CC6"/>
    <w:rsid w:val="00935FD5"/>
    <w:rsid w:val="0093607D"/>
    <w:rsid w:val="0093614F"/>
    <w:rsid w:val="009366F7"/>
    <w:rsid w:val="00936799"/>
    <w:rsid w:val="009370FC"/>
    <w:rsid w:val="009374D4"/>
    <w:rsid w:val="0094087B"/>
    <w:rsid w:val="0094352E"/>
    <w:rsid w:val="00944100"/>
    <w:rsid w:val="00946587"/>
    <w:rsid w:val="00946F97"/>
    <w:rsid w:val="0094720D"/>
    <w:rsid w:val="0094772D"/>
    <w:rsid w:val="009511E5"/>
    <w:rsid w:val="0095149D"/>
    <w:rsid w:val="009521C1"/>
    <w:rsid w:val="00952A15"/>
    <w:rsid w:val="009534C9"/>
    <w:rsid w:val="00953EF6"/>
    <w:rsid w:val="0095402B"/>
    <w:rsid w:val="00955290"/>
    <w:rsid w:val="00955EBD"/>
    <w:rsid w:val="009568B5"/>
    <w:rsid w:val="00962F77"/>
    <w:rsid w:val="00963193"/>
    <w:rsid w:val="00963EB1"/>
    <w:rsid w:val="00964AA4"/>
    <w:rsid w:val="00964DE9"/>
    <w:rsid w:val="00965598"/>
    <w:rsid w:val="009665B5"/>
    <w:rsid w:val="0096660F"/>
    <w:rsid w:val="009677C7"/>
    <w:rsid w:val="009712EA"/>
    <w:rsid w:val="009729A9"/>
    <w:rsid w:val="009752BE"/>
    <w:rsid w:val="0097535C"/>
    <w:rsid w:val="00975A23"/>
    <w:rsid w:val="009761D3"/>
    <w:rsid w:val="009762F4"/>
    <w:rsid w:val="00976F28"/>
    <w:rsid w:val="0097737E"/>
    <w:rsid w:val="009822AB"/>
    <w:rsid w:val="00982A00"/>
    <w:rsid w:val="00983048"/>
    <w:rsid w:val="0098318A"/>
    <w:rsid w:val="0098335A"/>
    <w:rsid w:val="00983B82"/>
    <w:rsid w:val="009848E6"/>
    <w:rsid w:val="00985A73"/>
    <w:rsid w:val="00986127"/>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FF9"/>
    <w:rsid w:val="009B015F"/>
    <w:rsid w:val="009B0883"/>
    <w:rsid w:val="009B0AD1"/>
    <w:rsid w:val="009B0AF0"/>
    <w:rsid w:val="009B0CDF"/>
    <w:rsid w:val="009B2515"/>
    <w:rsid w:val="009B2CE1"/>
    <w:rsid w:val="009B355B"/>
    <w:rsid w:val="009B3AFA"/>
    <w:rsid w:val="009B3B5C"/>
    <w:rsid w:val="009B6CD5"/>
    <w:rsid w:val="009B7053"/>
    <w:rsid w:val="009B7CBB"/>
    <w:rsid w:val="009C0063"/>
    <w:rsid w:val="009C030B"/>
    <w:rsid w:val="009C0321"/>
    <w:rsid w:val="009C29DF"/>
    <w:rsid w:val="009C3181"/>
    <w:rsid w:val="009C555E"/>
    <w:rsid w:val="009C7936"/>
    <w:rsid w:val="009D0074"/>
    <w:rsid w:val="009D0ED1"/>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8DB"/>
    <w:rsid w:val="00A018F9"/>
    <w:rsid w:val="00A01C8C"/>
    <w:rsid w:val="00A02A8E"/>
    <w:rsid w:val="00A02BE8"/>
    <w:rsid w:val="00A0304E"/>
    <w:rsid w:val="00A0323A"/>
    <w:rsid w:val="00A05E5D"/>
    <w:rsid w:val="00A069A8"/>
    <w:rsid w:val="00A079A4"/>
    <w:rsid w:val="00A1046C"/>
    <w:rsid w:val="00A10996"/>
    <w:rsid w:val="00A123E9"/>
    <w:rsid w:val="00A12A8C"/>
    <w:rsid w:val="00A12D45"/>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3D6E"/>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300"/>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BD6"/>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71C"/>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6A10"/>
    <w:rsid w:val="00B278EC"/>
    <w:rsid w:val="00B30AF1"/>
    <w:rsid w:val="00B30C3B"/>
    <w:rsid w:val="00B310FF"/>
    <w:rsid w:val="00B327A1"/>
    <w:rsid w:val="00B32D75"/>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08B"/>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61B9"/>
    <w:rsid w:val="00B570C1"/>
    <w:rsid w:val="00B572E8"/>
    <w:rsid w:val="00B57514"/>
    <w:rsid w:val="00B57CE4"/>
    <w:rsid w:val="00B616D3"/>
    <w:rsid w:val="00B634DD"/>
    <w:rsid w:val="00B638B6"/>
    <w:rsid w:val="00B6458A"/>
    <w:rsid w:val="00B658C4"/>
    <w:rsid w:val="00B66841"/>
    <w:rsid w:val="00B671C2"/>
    <w:rsid w:val="00B67321"/>
    <w:rsid w:val="00B70997"/>
    <w:rsid w:val="00B70ECE"/>
    <w:rsid w:val="00B71012"/>
    <w:rsid w:val="00B71099"/>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1B40"/>
    <w:rsid w:val="00BA2953"/>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3B30"/>
    <w:rsid w:val="00BD675C"/>
    <w:rsid w:val="00BD6C42"/>
    <w:rsid w:val="00BD71E6"/>
    <w:rsid w:val="00BE03E9"/>
    <w:rsid w:val="00BE0988"/>
    <w:rsid w:val="00BE37E0"/>
    <w:rsid w:val="00BE531E"/>
    <w:rsid w:val="00BE5EA7"/>
    <w:rsid w:val="00BE630D"/>
    <w:rsid w:val="00BE6FD7"/>
    <w:rsid w:val="00BF044F"/>
    <w:rsid w:val="00BF1F74"/>
    <w:rsid w:val="00BF3CC5"/>
    <w:rsid w:val="00BF42A4"/>
    <w:rsid w:val="00BF6CCE"/>
    <w:rsid w:val="00BF7116"/>
    <w:rsid w:val="00BF7EF8"/>
    <w:rsid w:val="00C00A84"/>
    <w:rsid w:val="00C010F3"/>
    <w:rsid w:val="00C01558"/>
    <w:rsid w:val="00C01C0D"/>
    <w:rsid w:val="00C02754"/>
    <w:rsid w:val="00C03083"/>
    <w:rsid w:val="00C03C73"/>
    <w:rsid w:val="00C040D9"/>
    <w:rsid w:val="00C04A0A"/>
    <w:rsid w:val="00C05394"/>
    <w:rsid w:val="00C10A0D"/>
    <w:rsid w:val="00C11811"/>
    <w:rsid w:val="00C11A43"/>
    <w:rsid w:val="00C11B96"/>
    <w:rsid w:val="00C126AB"/>
    <w:rsid w:val="00C127DB"/>
    <w:rsid w:val="00C12A34"/>
    <w:rsid w:val="00C13C3C"/>
    <w:rsid w:val="00C13EF4"/>
    <w:rsid w:val="00C1490B"/>
    <w:rsid w:val="00C15051"/>
    <w:rsid w:val="00C15108"/>
    <w:rsid w:val="00C15687"/>
    <w:rsid w:val="00C15B25"/>
    <w:rsid w:val="00C162F8"/>
    <w:rsid w:val="00C17387"/>
    <w:rsid w:val="00C1741A"/>
    <w:rsid w:val="00C176C8"/>
    <w:rsid w:val="00C20217"/>
    <w:rsid w:val="00C20D4E"/>
    <w:rsid w:val="00C22E13"/>
    <w:rsid w:val="00C22EB5"/>
    <w:rsid w:val="00C243CF"/>
    <w:rsid w:val="00C244FC"/>
    <w:rsid w:val="00C24A39"/>
    <w:rsid w:val="00C257A6"/>
    <w:rsid w:val="00C257E1"/>
    <w:rsid w:val="00C25ABF"/>
    <w:rsid w:val="00C3070D"/>
    <w:rsid w:val="00C308C8"/>
    <w:rsid w:val="00C30ED0"/>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4CDF"/>
    <w:rsid w:val="00C658F0"/>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E6D"/>
    <w:rsid w:val="00CC710B"/>
    <w:rsid w:val="00CC758B"/>
    <w:rsid w:val="00CD133E"/>
    <w:rsid w:val="00CD1B85"/>
    <w:rsid w:val="00CD2727"/>
    <w:rsid w:val="00CD293F"/>
    <w:rsid w:val="00CD3559"/>
    <w:rsid w:val="00CD3FC9"/>
    <w:rsid w:val="00CD632A"/>
    <w:rsid w:val="00CD63F0"/>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6D7A"/>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727"/>
    <w:rsid w:val="00D1425A"/>
    <w:rsid w:val="00D15224"/>
    <w:rsid w:val="00D17D22"/>
    <w:rsid w:val="00D21745"/>
    <w:rsid w:val="00D228C5"/>
    <w:rsid w:val="00D228EE"/>
    <w:rsid w:val="00D2438E"/>
    <w:rsid w:val="00D255A3"/>
    <w:rsid w:val="00D25F82"/>
    <w:rsid w:val="00D27368"/>
    <w:rsid w:val="00D3198F"/>
    <w:rsid w:val="00D31CB3"/>
    <w:rsid w:val="00D33D8A"/>
    <w:rsid w:val="00D343EC"/>
    <w:rsid w:val="00D373E5"/>
    <w:rsid w:val="00D37527"/>
    <w:rsid w:val="00D3772C"/>
    <w:rsid w:val="00D40268"/>
    <w:rsid w:val="00D40382"/>
    <w:rsid w:val="00D40B22"/>
    <w:rsid w:val="00D40DD4"/>
    <w:rsid w:val="00D4121F"/>
    <w:rsid w:val="00D449A8"/>
    <w:rsid w:val="00D452E5"/>
    <w:rsid w:val="00D4689F"/>
    <w:rsid w:val="00D46996"/>
    <w:rsid w:val="00D46ECB"/>
    <w:rsid w:val="00D47438"/>
    <w:rsid w:val="00D47B16"/>
    <w:rsid w:val="00D50466"/>
    <w:rsid w:val="00D527BD"/>
    <w:rsid w:val="00D5367E"/>
    <w:rsid w:val="00D5428E"/>
    <w:rsid w:val="00D54395"/>
    <w:rsid w:val="00D54DF6"/>
    <w:rsid w:val="00D5644A"/>
    <w:rsid w:val="00D5665A"/>
    <w:rsid w:val="00D56955"/>
    <w:rsid w:val="00D5717C"/>
    <w:rsid w:val="00D5730E"/>
    <w:rsid w:val="00D57418"/>
    <w:rsid w:val="00D575ED"/>
    <w:rsid w:val="00D57DA6"/>
    <w:rsid w:val="00D6123D"/>
    <w:rsid w:val="00D615BB"/>
    <w:rsid w:val="00D61C87"/>
    <w:rsid w:val="00D61CAC"/>
    <w:rsid w:val="00D63A85"/>
    <w:rsid w:val="00D63A93"/>
    <w:rsid w:val="00D6487C"/>
    <w:rsid w:val="00D649B8"/>
    <w:rsid w:val="00D64BAB"/>
    <w:rsid w:val="00D6685C"/>
    <w:rsid w:val="00D70430"/>
    <w:rsid w:val="00D707E1"/>
    <w:rsid w:val="00D70CA7"/>
    <w:rsid w:val="00D714D0"/>
    <w:rsid w:val="00D7180F"/>
    <w:rsid w:val="00D719EC"/>
    <w:rsid w:val="00D71DD0"/>
    <w:rsid w:val="00D7311C"/>
    <w:rsid w:val="00D73FED"/>
    <w:rsid w:val="00D74906"/>
    <w:rsid w:val="00D74C73"/>
    <w:rsid w:val="00D74F71"/>
    <w:rsid w:val="00D7554B"/>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743"/>
    <w:rsid w:val="00D94783"/>
    <w:rsid w:val="00D949DF"/>
    <w:rsid w:val="00D94B67"/>
    <w:rsid w:val="00D94BA9"/>
    <w:rsid w:val="00D9505F"/>
    <w:rsid w:val="00D951D8"/>
    <w:rsid w:val="00D9567C"/>
    <w:rsid w:val="00D96534"/>
    <w:rsid w:val="00D96D5A"/>
    <w:rsid w:val="00D96F58"/>
    <w:rsid w:val="00D973E8"/>
    <w:rsid w:val="00DA00E3"/>
    <w:rsid w:val="00DA1383"/>
    <w:rsid w:val="00DA1594"/>
    <w:rsid w:val="00DA1E5D"/>
    <w:rsid w:val="00DA321E"/>
    <w:rsid w:val="00DA35D6"/>
    <w:rsid w:val="00DA4F09"/>
    <w:rsid w:val="00DA5A48"/>
    <w:rsid w:val="00DA607F"/>
    <w:rsid w:val="00DA6850"/>
    <w:rsid w:val="00DA6C5B"/>
    <w:rsid w:val="00DB1106"/>
    <w:rsid w:val="00DB12CA"/>
    <w:rsid w:val="00DB19C5"/>
    <w:rsid w:val="00DB1D55"/>
    <w:rsid w:val="00DB212F"/>
    <w:rsid w:val="00DB348A"/>
    <w:rsid w:val="00DB46F4"/>
    <w:rsid w:val="00DB514B"/>
    <w:rsid w:val="00DB553B"/>
    <w:rsid w:val="00DB6C5A"/>
    <w:rsid w:val="00DC00AE"/>
    <w:rsid w:val="00DC01A4"/>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45B"/>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1D67"/>
    <w:rsid w:val="00E43F01"/>
    <w:rsid w:val="00E46189"/>
    <w:rsid w:val="00E46878"/>
    <w:rsid w:val="00E46C28"/>
    <w:rsid w:val="00E50BA5"/>
    <w:rsid w:val="00E5254D"/>
    <w:rsid w:val="00E5284F"/>
    <w:rsid w:val="00E53108"/>
    <w:rsid w:val="00E53841"/>
    <w:rsid w:val="00E53BBE"/>
    <w:rsid w:val="00E549F2"/>
    <w:rsid w:val="00E54EB6"/>
    <w:rsid w:val="00E5529E"/>
    <w:rsid w:val="00E56791"/>
    <w:rsid w:val="00E56EA4"/>
    <w:rsid w:val="00E57291"/>
    <w:rsid w:val="00E61804"/>
    <w:rsid w:val="00E6240F"/>
    <w:rsid w:val="00E657A9"/>
    <w:rsid w:val="00E66DCA"/>
    <w:rsid w:val="00E66F20"/>
    <w:rsid w:val="00E67E7C"/>
    <w:rsid w:val="00E721AF"/>
    <w:rsid w:val="00E72DE0"/>
    <w:rsid w:val="00E74E55"/>
    <w:rsid w:val="00E76C73"/>
    <w:rsid w:val="00E81429"/>
    <w:rsid w:val="00E81824"/>
    <w:rsid w:val="00E8357C"/>
    <w:rsid w:val="00E83B42"/>
    <w:rsid w:val="00E847C5"/>
    <w:rsid w:val="00E87438"/>
    <w:rsid w:val="00E901AF"/>
    <w:rsid w:val="00E90BF4"/>
    <w:rsid w:val="00E91008"/>
    <w:rsid w:val="00E91741"/>
    <w:rsid w:val="00E91833"/>
    <w:rsid w:val="00E92409"/>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2A92"/>
    <w:rsid w:val="00EE3042"/>
    <w:rsid w:val="00EE30FD"/>
    <w:rsid w:val="00EE3C5A"/>
    <w:rsid w:val="00EE4547"/>
    <w:rsid w:val="00EE45A6"/>
    <w:rsid w:val="00EE4822"/>
    <w:rsid w:val="00EE4D72"/>
    <w:rsid w:val="00EE5292"/>
    <w:rsid w:val="00EE568D"/>
    <w:rsid w:val="00EE658F"/>
    <w:rsid w:val="00EE6649"/>
    <w:rsid w:val="00EE6B18"/>
    <w:rsid w:val="00EE7D3F"/>
    <w:rsid w:val="00EF020B"/>
    <w:rsid w:val="00EF05F9"/>
    <w:rsid w:val="00EF2B60"/>
    <w:rsid w:val="00EF2C79"/>
    <w:rsid w:val="00EF3241"/>
    <w:rsid w:val="00EF41CD"/>
    <w:rsid w:val="00EF524B"/>
    <w:rsid w:val="00EF58D8"/>
    <w:rsid w:val="00EF6212"/>
    <w:rsid w:val="00F00126"/>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5C0"/>
    <w:rsid w:val="00F1368B"/>
    <w:rsid w:val="00F13E32"/>
    <w:rsid w:val="00F142D0"/>
    <w:rsid w:val="00F16057"/>
    <w:rsid w:val="00F20BD8"/>
    <w:rsid w:val="00F20EBB"/>
    <w:rsid w:val="00F21DFA"/>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34D"/>
    <w:rsid w:val="00F404B0"/>
    <w:rsid w:val="00F40C61"/>
    <w:rsid w:val="00F413CE"/>
    <w:rsid w:val="00F42536"/>
    <w:rsid w:val="00F42E00"/>
    <w:rsid w:val="00F42F16"/>
    <w:rsid w:val="00F43906"/>
    <w:rsid w:val="00F44AFB"/>
    <w:rsid w:val="00F46AFB"/>
    <w:rsid w:val="00F46BF5"/>
    <w:rsid w:val="00F47170"/>
    <w:rsid w:val="00F47BD3"/>
    <w:rsid w:val="00F47FF3"/>
    <w:rsid w:val="00F50B37"/>
    <w:rsid w:val="00F514E1"/>
    <w:rsid w:val="00F518B2"/>
    <w:rsid w:val="00F521FE"/>
    <w:rsid w:val="00F52D85"/>
    <w:rsid w:val="00F52E56"/>
    <w:rsid w:val="00F535ED"/>
    <w:rsid w:val="00F5471B"/>
    <w:rsid w:val="00F55B59"/>
    <w:rsid w:val="00F56BEB"/>
    <w:rsid w:val="00F6171E"/>
    <w:rsid w:val="00F62F4B"/>
    <w:rsid w:val="00F64120"/>
    <w:rsid w:val="00F646CD"/>
    <w:rsid w:val="00F64810"/>
    <w:rsid w:val="00F65293"/>
    <w:rsid w:val="00F65969"/>
    <w:rsid w:val="00F65E52"/>
    <w:rsid w:val="00F65E5D"/>
    <w:rsid w:val="00F66C2C"/>
    <w:rsid w:val="00F66C8C"/>
    <w:rsid w:val="00F70F31"/>
    <w:rsid w:val="00F71CB3"/>
    <w:rsid w:val="00F72888"/>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C1B"/>
    <w:rsid w:val="00F96DDE"/>
    <w:rsid w:val="00F96EE0"/>
    <w:rsid w:val="00F9763C"/>
    <w:rsid w:val="00F97E99"/>
    <w:rsid w:val="00FA0323"/>
    <w:rsid w:val="00FA2663"/>
    <w:rsid w:val="00FA296C"/>
    <w:rsid w:val="00FA3390"/>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5D10"/>
    <w:rsid w:val="00FC0456"/>
    <w:rsid w:val="00FC0A33"/>
    <w:rsid w:val="00FC10A2"/>
    <w:rsid w:val="00FC11B6"/>
    <w:rsid w:val="00FC149D"/>
    <w:rsid w:val="00FC1512"/>
    <w:rsid w:val="00FC1B41"/>
    <w:rsid w:val="00FC2CE7"/>
    <w:rsid w:val="00FC2E4B"/>
    <w:rsid w:val="00FC4D11"/>
    <w:rsid w:val="00FC5175"/>
    <w:rsid w:val="00FC6B5B"/>
    <w:rsid w:val="00FC6C0B"/>
    <w:rsid w:val="00FC778C"/>
    <w:rsid w:val="00FC7EC0"/>
    <w:rsid w:val="00FD0A22"/>
    <w:rsid w:val="00FD0CA5"/>
    <w:rsid w:val="00FD15E8"/>
    <w:rsid w:val="00FD32D1"/>
    <w:rsid w:val="00FD3AAE"/>
    <w:rsid w:val="00FD3F95"/>
    <w:rsid w:val="00FD4271"/>
    <w:rsid w:val="00FE1FB9"/>
    <w:rsid w:val="00FE2588"/>
    <w:rsid w:val="00FE28E3"/>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2"/>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2"/>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2"/>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2"/>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2"/>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2"/>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2"/>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4"/>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23718D"/>
    <w:pPr>
      <w:spacing w:line="240" w:lineRule="auto"/>
    </w:pPr>
    <w:rPr>
      <w:rFonts w:cs="David"/>
      <w:sz w:val="20"/>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uiPriority w:val="99"/>
    <w:rsid w:val="0023718D"/>
    <w:rPr>
      <w:rFonts w:cs="David"/>
      <w:sz w:val="20"/>
      <w:szCs w:val="20"/>
    </w:rPr>
  </w:style>
  <w:style w:type="character" w:styleId="FootnoteReference0">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D1425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3"/>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2D3CF6"/>
    <w:pPr>
      <w:pBdr>
        <w:left w:val="single" w:sz="8" w:space="4" w:color="2A2AA6"/>
        <w:right w:val="single" w:sz="8" w:space="4" w:color="2A2AA6"/>
      </w:pBdr>
      <w:spacing w:before="120" w:after="60"/>
      <w:ind w:left="170" w:right="2268"/>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styles" Target="styles.xml"/><Relationship Id="rId8" Type="http://schemas.openxmlformats.org/officeDocument/2006/relationships/image" Target="media/image2.jpeg"/><Relationship Id="rId3" Type="http://schemas.openxmlformats.org/officeDocument/2006/relationships/webSettings" Target="webSettings.xml"/><Relationship Id="rId21" Type="http://schemas.openxmlformats.org/officeDocument/2006/relationships/customXml" Target="../customXml/item4.xml"/><Relationship Id="rId12" Type="http://schemas.openxmlformats.org/officeDocument/2006/relationships/header" Target="header4.xml"/><Relationship Id="rId17" Type="http://schemas.openxmlformats.org/officeDocument/2006/relationships/numbering" Target="numbering.xml"/><Relationship Id="rId7" Type="http://schemas.openxmlformats.org/officeDocument/2006/relationships/image" Target="media/image1.jpeg"/><Relationship Id="rId16" Type="http://schemas.openxmlformats.org/officeDocument/2006/relationships/theme" Target="theme/theme1.xml"/><Relationship Id="rId2" Type="http://schemas.openxmlformats.org/officeDocument/2006/relationships/settings" Target="settings.xml"/><Relationship Id="rId20"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header" Target="header3.xml"/><Relationship Id="rId6" Type="http://schemas.openxmlformats.org/officeDocument/2006/relationships/header" Target="header1.xml"/><Relationship Id="rId15" Type="http://schemas.openxmlformats.org/officeDocument/2006/relationships/header" Target="header7.xml"/><Relationship Id="rId5" Type="http://schemas.openxmlformats.org/officeDocument/2006/relationships/customXml" Target="../customXml/item1.xml"/><Relationship Id="rId10" Type="http://schemas.openxmlformats.org/officeDocument/2006/relationships/header" Target="header2.xml"/><Relationship Id="rId19" Type="http://schemas.openxmlformats.org/officeDocument/2006/relationships/customXml" Target="../customXml/item2.xml"/><Relationship Id="rId14" Type="http://schemas.openxmlformats.org/officeDocument/2006/relationships/header" Target="header6.xml"/><Relationship Id="rId4" Type="http://schemas.openxmlformats.org/officeDocument/2006/relationships/fontTable" Target="fontTable.xml"/><Relationship Id="rId9" Type="http://schemas.openxmlformats.org/officeDocument/2006/relationships/image" Target="media/image3.jpeg"/></Relationships>
</file>

<file path=word/theme/_rels/theme1.xml.rels>&#65279;<?xml version="1.0" encoding="utf-8" standalone="yes"?><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F7B0C1-3C94-499B-A2FF-0637C8F5BB47}">
  <ds:schemaRefs>
    <ds:schemaRef ds:uri="http://schemas.openxmlformats.org/officeDocument/2006/bibliography"/>
  </ds:schemaRefs>
</ds:datastoreItem>
</file>

<file path=customXml/itemProps2.xml><?xml version="1.0" encoding="utf-8"?>
<ds:datastoreItem xmlns:ds="http://schemas.openxmlformats.org/officeDocument/2006/customXml" ds:itemID="{5DD379C9-56AA-4D4C-96E4-10A7C7BF872B}"/>
</file>

<file path=customXml/itemProps3.xml><?xml version="1.0" encoding="utf-8"?>
<ds:datastoreItem xmlns:ds="http://schemas.openxmlformats.org/officeDocument/2006/customXml" ds:itemID="{67F197CE-80B4-4766-B9B5-9532F8CFC5CD}"/>
</file>

<file path=customXml/itemProps4.xml><?xml version="1.0" encoding="utf-8"?>
<ds:datastoreItem xmlns:ds="http://schemas.openxmlformats.org/officeDocument/2006/customXml" ds:itemID="{8EDE71B9-709B-4251-9B50-F4FDBF6A110F}"/>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196800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