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F06EE" w:rsidRPr="00FF06EE" w:rsidP="00FF06EE">
      <w:pPr>
        <w:pageBreakBefore/>
        <w:spacing w:before="1200" w:after="180" w:line="380" w:lineRule="exact"/>
        <w:outlineLvl w:val="0"/>
        <w:rPr>
          <w:rFonts w:ascii="Tahoma" w:hAnsi="Tahoma" w:cs="Tahoma"/>
          <w:b/>
          <w:bCs/>
          <w:color w:val="2A2AA6"/>
          <w:sz w:val="28"/>
          <w:szCs w:val="28"/>
          <w:rtl/>
          <w:lang w:bidi="ar-SA"/>
        </w:rPr>
      </w:pPr>
      <w:bookmarkStart w:id="0" w:name="_GoBack"/>
      <w:bookmarkEnd w:id="0"/>
      <w:r w:rsidRPr="00FF06EE">
        <w:rPr>
          <w:rFonts w:ascii="Tahoma" w:hAnsi="Tahoma" w:cs="Tahoma"/>
          <w:b/>
          <w:bCs/>
          <w:color w:val="2A2AA6"/>
          <w:sz w:val="28"/>
          <w:szCs w:val="28"/>
          <w:rtl/>
          <w:lang w:bidi="ar-SA"/>
        </w:rPr>
        <w:t xml:space="preserve">المقدّمة </w:t>
      </w:r>
    </w:p>
    <w:p w:rsidR="00FF06EE" w:rsidRPr="00FF06EE" w:rsidP="000B4CE8">
      <w:pPr>
        <w:jc w:val="both"/>
        <w:rPr>
          <w:rFonts w:ascii="Tahoma" w:hAnsi="Tahoma" w:cs="Tahoma"/>
          <w:sz w:val="20"/>
          <w:szCs w:val="20"/>
          <w:rtl/>
          <w:lang w:bidi="ar-SA"/>
        </w:rPr>
      </w:pPr>
      <w:r w:rsidRPr="00FF06EE">
        <w:rPr>
          <w:rFonts w:ascii="Tahoma" w:hAnsi="Tahoma" w:cs="Tahoma"/>
          <w:b/>
          <w:bCs/>
          <w:sz w:val="20"/>
          <w:szCs w:val="20"/>
          <w:rtl/>
          <w:lang w:bidi="ar-SA"/>
        </w:rPr>
        <w:t>المجتمع الإسرائيليّ هو مجتمع متعدّد الثقافات يتألّف من مجموعات سكّانيّة متنوّعة.</w:t>
      </w:r>
      <w:r w:rsidRPr="00FF06EE">
        <w:rPr>
          <w:rFonts w:ascii="Tahoma" w:hAnsi="Tahoma" w:cs="Tahoma"/>
          <w:sz w:val="20"/>
          <w:szCs w:val="20"/>
          <w:rtl/>
          <w:lang w:bidi="ar-SA"/>
        </w:rPr>
        <w:t xml:space="preserve"> من بين الأدوار المنوطة </w:t>
      </w:r>
      <w:r w:rsidR="000B4CE8">
        <w:rPr>
          <w:rFonts w:ascii="Tahoma" w:hAnsi="Tahoma" w:cs="Tahoma" w:hint="cs"/>
          <w:sz w:val="20"/>
          <w:szCs w:val="20"/>
          <w:rtl/>
          <w:lang w:bidi="ar-SA"/>
        </w:rPr>
        <w:t>ب</w:t>
      </w:r>
      <w:r w:rsidRPr="00FF06EE">
        <w:rPr>
          <w:rFonts w:ascii="Tahoma" w:hAnsi="Tahoma" w:cs="Tahoma"/>
          <w:sz w:val="20"/>
          <w:szCs w:val="20"/>
          <w:rtl/>
          <w:lang w:bidi="ar-SA"/>
        </w:rPr>
        <w:t xml:space="preserve">الدولة الديمقراطيّة أيضًا، توفير الأمن الشخصيّ لجميع مواطنيها، من دون تمييز بين المجموعات السكّانيّة المختلفة، وذلك من خلال فرض القانون والنظام العامّ وتعزيز الردع في وجه </w:t>
      </w:r>
      <w:r w:rsidR="000B4CE8">
        <w:rPr>
          <w:rFonts w:ascii="Tahoma" w:hAnsi="Tahoma" w:cs="Tahoma" w:hint="cs"/>
          <w:sz w:val="20"/>
          <w:szCs w:val="20"/>
          <w:rtl/>
          <w:lang w:bidi="ar-SA"/>
        </w:rPr>
        <w:t>خرق</w:t>
      </w:r>
      <w:r w:rsidRPr="00FF06EE">
        <w:rPr>
          <w:rFonts w:ascii="Tahoma" w:hAnsi="Tahoma" w:cs="Tahoma"/>
          <w:sz w:val="20"/>
          <w:szCs w:val="20"/>
          <w:rtl/>
          <w:lang w:bidi="ar-SA"/>
        </w:rPr>
        <w:t xml:space="preserve"> القانون. إنّ قيمة "قدسيّة الحياة" التي تشمل الحقّ في الحياة وواجب حماية الحياة على حدّ سواء، هي "من بين أسمى القيم المقدّسة في نهجنا القضائيّ، في تاريخ شعبنا وتاريخ الإنسانيّة جمعاء"</w:t>
      </w:r>
      <w:r>
        <w:rPr>
          <w:rStyle w:val="FootnoteReference"/>
          <w:rFonts w:ascii="Tahoma" w:hAnsi="Tahoma" w:cs="Tahoma"/>
          <w:sz w:val="20"/>
          <w:szCs w:val="20"/>
          <w:rtl/>
        </w:rPr>
        <w:footnoteReference w:id="3"/>
      </w:r>
      <w:r w:rsidRPr="00FF06EE">
        <w:rPr>
          <w:rFonts w:ascii="Tahoma" w:hAnsi="Tahoma" w:cs="Tahoma"/>
          <w:sz w:val="20"/>
          <w:szCs w:val="20"/>
          <w:rtl/>
          <w:lang w:bidi="ar-SA"/>
        </w:rPr>
        <w:t xml:space="preserve">. ليس عبثًا أنّ قانون العقوبات ينصّ على أنّه كفى بتشكيل الخطر على الحياة لارتكاب مخالفة، حتّى لو لم يتّم المسّ بالحياة فعليًّا. وعلى هذا ينصّ القانون الدوليّ أيضًا، وكذلك الإعلان العالميّ لحقوق الإنسان </w:t>
      </w:r>
      <w:r w:rsidR="000B4CE8">
        <w:rPr>
          <w:rFonts w:ascii="Tahoma" w:hAnsi="Tahoma" w:cs="Tahoma" w:hint="cs"/>
          <w:sz w:val="20"/>
          <w:szCs w:val="20"/>
          <w:rtl/>
          <w:lang w:bidi="ar-SA"/>
        </w:rPr>
        <w:t>الصادر</w:t>
      </w:r>
      <w:r w:rsidRPr="00FF06EE">
        <w:rPr>
          <w:rFonts w:ascii="Tahoma" w:hAnsi="Tahoma" w:cs="Tahoma"/>
          <w:sz w:val="20"/>
          <w:szCs w:val="20"/>
          <w:rtl/>
          <w:lang w:bidi="ar-SA"/>
        </w:rPr>
        <w:t xml:space="preserve"> </w:t>
      </w:r>
      <w:r w:rsidR="000B4CE8">
        <w:rPr>
          <w:rFonts w:ascii="Tahoma" w:hAnsi="Tahoma" w:cs="Tahoma" w:hint="cs"/>
          <w:sz w:val="20"/>
          <w:szCs w:val="20"/>
          <w:rtl/>
          <w:lang w:bidi="ar-SA"/>
        </w:rPr>
        <w:t>عام</w:t>
      </w:r>
      <w:r w:rsidRPr="00FF06EE">
        <w:rPr>
          <w:rFonts w:ascii="Tahoma" w:hAnsi="Tahoma" w:cs="Tahoma"/>
          <w:sz w:val="20"/>
          <w:szCs w:val="20"/>
          <w:rtl/>
          <w:lang w:bidi="ar-SA"/>
        </w:rPr>
        <w:t xml:space="preserve"> </w:t>
      </w:r>
      <w:r w:rsidRPr="00FF06EE">
        <w:rPr>
          <w:rFonts w:ascii="Tahoma" w:hAnsi="Tahoma" w:cs="Tahoma"/>
          <w:sz w:val="20"/>
          <w:szCs w:val="20"/>
          <w:rtl/>
        </w:rPr>
        <w:t>1948</w:t>
      </w:r>
      <w:r w:rsidRPr="00FF06EE">
        <w:rPr>
          <w:rFonts w:ascii="Tahoma" w:hAnsi="Tahoma" w:cs="Tahoma"/>
          <w:sz w:val="20"/>
          <w:szCs w:val="20"/>
          <w:rtl/>
          <w:lang w:bidi="ar-SA"/>
        </w:rPr>
        <w:t xml:space="preserve">، حيث </w:t>
      </w:r>
      <w:r w:rsidR="000B4CE8">
        <w:rPr>
          <w:rFonts w:ascii="Tahoma" w:hAnsi="Tahoma" w:cs="Tahoma" w:hint="cs"/>
          <w:sz w:val="20"/>
          <w:szCs w:val="20"/>
          <w:rtl/>
          <w:lang w:bidi="ar-SA"/>
        </w:rPr>
        <w:t>ورد فيه</w:t>
      </w:r>
      <w:r w:rsidRPr="00FF06EE">
        <w:rPr>
          <w:rFonts w:ascii="Tahoma" w:hAnsi="Tahoma" w:cs="Tahoma"/>
          <w:sz w:val="20"/>
          <w:szCs w:val="20"/>
          <w:rtl/>
          <w:lang w:bidi="ar-SA"/>
        </w:rPr>
        <w:t xml:space="preserve"> أنّ "لكلّ</w:t>
      </w:r>
      <w:r w:rsidRPr="00FF06EE">
        <w:rPr>
          <w:rFonts w:ascii="Tahoma" w:hAnsi="Tahoma" w:cs="Tahoma"/>
          <w:sz w:val="20"/>
          <w:szCs w:val="20"/>
          <w:rtl/>
        </w:rPr>
        <w:t xml:space="preserve"> </w:t>
      </w:r>
      <w:r w:rsidRPr="00FF06EE">
        <w:rPr>
          <w:rFonts w:ascii="Tahoma" w:hAnsi="Tahoma" w:cs="Tahoma"/>
          <w:sz w:val="20"/>
          <w:szCs w:val="20"/>
          <w:rtl/>
          <w:lang w:bidi="ar-SA"/>
        </w:rPr>
        <w:t>فرد</w:t>
      </w:r>
      <w:r w:rsidRPr="00FF06EE">
        <w:rPr>
          <w:rFonts w:ascii="Tahoma" w:hAnsi="Tahoma" w:cs="Tahoma"/>
          <w:sz w:val="20"/>
          <w:szCs w:val="20"/>
          <w:rtl/>
        </w:rPr>
        <w:t xml:space="preserve"> </w:t>
      </w:r>
      <w:r w:rsidRPr="00FF06EE">
        <w:rPr>
          <w:rFonts w:ascii="Tahoma" w:hAnsi="Tahoma" w:cs="Tahoma"/>
          <w:sz w:val="20"/>
          <w:szCs w:val="20"/>
          <w:rtl/>
          <w:lang w:bidi="ar-SA"/>
        </w:rPr>
        <w:t>الحقّ في</w:t>
      </w:r>
      <w:r w:rsidRPr="00FF06EE">
        <w:rPr>
          <w:rFonts w:ascii="Tahoma" w:hAnsi="Tahoma" w:cs="Tahoma"/>
          <w:sz w:val="20"/>
          <w:szCs w:val="20"/>
          <w:rtl/>
        </w:rPr>
        <w:t xml:space="preserve"> </w:t>
      </w:r>
      <w:r w:rsidRPr="00FF06EE">
        <w:rPr>
          <w:rFonts w:ascii="Tahoma" w:hAnsi="Tahoma" w:cs="Tahoma"/>
          <w:sz w:val="20"/>
          <w:szCs w:val="20"/>
          <w:rtl/>
          <w:lang w:bidi="ar-SA"/>
        </w:rPr>
        <w:t>الحياة</w:t>
      </w:r>
      <w:r w:rsidRPr="00FF06EE">
        <w:rPr>
          <w:rFonts w:ascii="Tahoma" w:hAnsi="Tahoma" w:cs="Tahoma"/>
          <w:sz w:val="20"/>
          <w:szCs w:val="20"/>
          <w:rtl/>
        </w:rPr>
        <w:t xml:space="preserve"> </w:t>
      </w:r>
      <w:r w:rsidRPr="00FF06EE">
        <w:rPr>
          <w:rFonts w:ascii="Tahoma" w:hAnsi="Tahoma" w:cs="Tahoma"/>
          <w:sz w:val="20"/>
          <w:szCs w:val="20"/>
          <w:rtl/>
          <w:lang w:bidi="ar-SA"/>
        </w:rPr>
        <w:t>والحرّيّة</w:t>
      </w:r>
      <w:r w:rsidRPr="00FF06EE">
        <w:rPr>
          <w:rFonts w:ascii="Tahoma" w:hAnsi="Tahoma" w:cs="Tahoma"/>
          <w:sz w:val="20"/>
          <w:szCs w:val="20"/>
          <w:rtl/>
        </w:rPr>
        <w:t xml:space="preserve"> </w:t>
      </w:r>
      <w:r w:rsidRPr="00FF06EE">
        <w:rPr>
          <w:rFonts w:ascii="Tahoma" w:hAnsi="Tahoma" w:cs="Tahoma"/>
          <w:sz w:val="20"/>
          <w:szCs w:val="20"/>
          <w:rtl/>
          <w:lang w:bidi="ar-SA"/>
        </w:rPr>
        <w:t>وفي</w:t>
      </w:r>
      <w:r w:rsidRPr="00FF06EE">
        <w:rPr>
          <w:rFonts w:ascii="Tahoma" w:hAnsi="Tahoma" w:cs="Tahoma"/>
          <w:sz w:val="20"/>
          <w:szCs w:val="20"/>
          <w:rtl/>
        </w:rPr>
        <w:t xml:space="preserve"> </w:t>
      </w:r>
      <w:r w:rsidRPr="00FF06EE">
        <w:rPr>
          <w:rFonts w:ascii="Tahoma" w:hAnsi="Tahoma" w:cs="Tahoma"/>
          <w:sz w:val="20"/>
          <w:szCs w:val="20"/>
          <w:rtl/>
          <w:lang w:bidi="ar-SA"/>
        </w:rPr>
        <w:t>الأمان</w:t>
      </w:r>
      <w:r w:rsidRPr="00FF06EE">
        <w:rPr>
          <w:rFonts w:ascii="Tahoma" w:hAnsi="Tahoma" w:cs="Tahoma"/>
          <w:sz w:val="20"/>
          <w:szCs w:val="20"/>
          <w:rtl/>
        </w:rPr>
        <w:t xml:space="preserve"> </w:t>
      </w:r>
      <w:r w:rsidRPr="00FF06EE">
        <w:rPr>
          <w:rFonts w:ascii="Tahoma" w:hAnsi="Tahoma" w:cs="Tahoma"/>
          <w:sz w:val="20"/>
          <w:szCs w:val="20"/>
          <w:rtl/>
          <w:lang w:bidi="ar-SA"/>
        </w:rPr>
        <w:t>على</w:t>
      </w:r>
      <w:r w:rsidRPr="00FF06EE">
        <w:rPr>
          <w:rFonts w:ascii="Tahoma" w:hAnsi="Tahoma" w:cs="Tahoma"/>
          <w:sz w:val="20"/>
          <w:szCs w:val="20"/>
          <w:rtl/>
        </w:rPr>
        <w:t xml:space="preserve"> </w:t>
      </w:r>
      <w:r w:rsidRPr="00FF06EE">
        <w:rPr>
          <w:rFonts w:ascii="Tahoma" w:hAnsi="Tahoma" w:cs="Tahoma"/>
          <w:sz w:val="20"/>
          <w:szCs w:val="20"/>
          <w:rtl/>
          <w:lang w:bidi="ar-SA"/>
        </w:rPr>
        <w:t xml:space="preserve">شخصه". </w:t>
      </w:r>
    </w:p>
    <w:p w:rsidR="00FF06EE" w:rsidRPr="00FF06EE" w:rsidP="00FF06EE">
      <w:pPr>
        <w:jc w:val="both"/>
        <w:rPr>
          <w:rFonts w:ascii="Tahoma" w:hAnsi="Tahoma" w:cs="Tahoma"/>
          <w:sz w:val="20"/>
          <w:szCs w:val="20"/>
          <w:rtl/>
          <w:lang w:bidi="ar-SA"/>
        </w:rPr>
      </w:pPr>
      <w:r w:rsidRPr="00FF06EE">
        <w:rPr>
          <w:rFonts w:ascii="Tahoma" w:hAnsi="Tahoma" w:cs="Tahoma"/>
          <w:sz w:val="20"/>
          <w:szCs w:val="20"/>
          <w:rtl/>
          <w:lang w:bidi="ar-SA"/>
        </w:rPr>
        <w:t xml:space="preserve">في أعقاب الصدامات بين مواطنين عرب وقوّات الشرطة التي وقعت في تشرين الأوّل </w:t>
      </w:r>
      <w:r w:rsidRPr="00FF06EE">
        <w:rPr>
          <w:rFonts w:ascii="Tahoma" w:hAnsi="Tahoma" w:cs="Tahoma"/>
          <w:sz w:val="20"/>
          <w:szCs w:val="20"/>
          <w:rtl/>
        </w:rPr>
        <w:t>2000</w:t>
      </w:r>
      <w:r w:rsidRPr="00FF06EE">
        <w:rPr>
          <w:rFonts w:ascii="Tahoma" w:hAnsi="Tahoma" w:cs="Tahoma"/>
          <w:sz w:val="20"/>
          <w:szCs w:val="20"/>
          <w:rtl/>
          <w:lang w:bidi="ar-SA"/>
        </w:rPr>
        <w:t xml:space="preserve"> وقتل فيها</w:t>
      </w:r>
      <w:r w:rsidRPr="00FF06EE">
        <w:rPr>
          <w:rFonts w:ascii="Tahoma" w:hAnsi="Tahoma" w:cs="Tahoma"/>
          <w:sz w:val="20"/>
          <w:szCs w:val="20"/>
          <w:rtl/>
        </w:rPr>
        <w:t xml:space="preserve"> 12</w:t>
      </w:r>
      <w:r w:rsidRPr="00FF06EE">
        <w:rPr>
          <w:rFonts w:ascii="Tahoma" w:hAnsi="Tahoma" w:cs="Tahoma"/>
          <w:sz w:val="20"/>
          <w:szCs w:val="20"/>
          <w:rtl/>
          <w:lang w:bidi="ar-SA"/>
        </w:rPr>
        <w:t xml:space="preserve"> مواطنًا عربيًّا وأصيب مواطنون عرب آخرون، شُكّلت لجنة تحقيق رسميّة برئاسة القاضي المتقاعد </w:t>
      </w:r>
      <w:r w:rsidRPr="00FF06EE">
        <w:rPr>
          <w:rFonts w:ascii="Tahoma" w:hAnsi="Tahoma" w:cs="Tahoma"/>
          <w:sz w:val="20"/>
          <w:szCs w:val="20"/>
          <w:rtl/>
          <w:lang w:bidi="ar-SA"/>
        </w:rPr>
        <w:t>ثيئودور</w:t>
      </w:r>
      <w:r w:rsidRPr="00FF06EE">
        <w:rPr>
          <w:rFonts w:ascii="Tahoma" w:hAnsi="Tahoma" w:cs="Tahoma"/>
          <w:sz w:val="20"/>
          <w:szCs w:val="20"/>
          <w:rtl/>
          <w:lang w:bidi="ar-SA"/>
        </w:rPr>
        <w:t xml:space="preserve"> أور لفحص الأحداث المذكورة </w:t>
      </w:r>
      <w:r>
        <w:rPr>
          <w:rFonts w:ascii="Tahoma" w:hAnsi="Tahoma" w:cs="Tahoma"/>
          <w:sz w:val="20"/>
          <w:szCs w:val="20"/>
          <w:vertAlign w:val="superscript"/>
          <w:rtl/>
        </w:rPr>
        <w:footnoteReference w:id="4"/>
      </w:r>
      <w:r w:rsidRPr="00FF06EE">
        <w:rPr>
          <w:rFonts w:ascii="Tahoma" w:hAnsi="Tahoma" w:cs="Tahoma"/>
          <w:sz w:val="20"/>
          <w:szCs w:val="20"/>
          <w:rtl/>
          <w:lang w:bidi="ar-SA"/>
        </w:rPr>
        <w:t xml:space="preserve">. </w:t>
      </w:r>
    </w:p>
    <w:p w:rsidR="00FF06EE" w:rsidRPr="00FF06EE" w:rsidP="000B4CE8">
      <w:pPr>
        <w:jc w:val="both"/>
        <w:rPr>
          <w:rFonts w:ascii="Tahoma" w:hAnsi="Tahoma" w:cs="Tahoma"/>
          <w:sz w:val="20"/>
          <w:szCs w:val="20"/>
          <w:rtl/>
          <w:lang w:bidi="ar-SA"/>
        </w:rPr>
      </w:pPr>
      <w:r w:rsidRPr="00FF06EE">
        <w:rPr>
          <w:rFonts w:ascii="Tahoma" w:hAnsi="Tahoma" w:cs="Tahoma"/>
          <w:sz w:val="20"/>
          <w:szCs w:val="20"/>
          <w:rtl/>
          <w:lang w:bidi="ar-SA"/>
        </w:rPr>
        <w:t xml:space="preserve">أكّدت لجنة أور أنّ المؤسسّة الإسرائيليّة لم تُبْدِ حساسيّة كافية تُجاه احتياجات المجتمع العربيّ ولم تعمل بالقدر الكافي على تخصيص الموارد على قدم المساواة للسكّان العرب. الإخفاق المركزيّ الذي أشارت إليه اللجنة هو أنّه لم تُتّخذ الإجراءات الكافية لفرض القانون داخل المجتمع العربيّ، وعليه تجذّرت في هذا المجتمع ظواهر غير شرعيّة وغير مرغوب فيها. يناقش تقرير الرقابة الحاليّ إحدى المشاكل الرئيسيّة التي تؤثّر في قدرة الدولة على توفير الأمن الشخصيّ للسكّان في المجتمع العربيّ، ألا وهي الحيازة غير القانونيّة </w:t>
      </w:r>
      <w:r w:rsidR="000B4CE8">
        <w:rPr>
          <w:rFonts w:ascii="Tahoma" w:hAnsi="Tahoma" w:cs="Tahoma" w:hint="cs"/>
          <w:sz w:val="20"/>
          <w:szCs w:val="20"/>
          <w:rtl/>
          <w:lang w:bidi="ar-SA"/>
        </w:rPr>
        <w:t xml:space="preserve">للأسلحة </w:t>
      </w:r>
      <w:r w:rsidRPr="00FF06EE">
        <w:rPr>
          <w:rFonts w:ascii="Tahoma" w:hAnsi="Tahoma" w:cs="Tahoma"/>
          <w:sz w:val="20"/>
          <w:szCs w:val="20"/>
          <w:rtl/>
          <w:lang w:bidi="ar-SA"/>
        </w:rPr>
        <w:t>واستخدامه</w:t>
      </w:r>
      <w:r w:rsidR="000B4CE8">
        <w:rPr>
          <w:rFonts w:ascii="Tahoma" w:hAnsi="Tahoma" w:cs="Tahoma" w:hint="cs"/>
          <w:sz w:val="20"/>
          <w:szCs w:val="20"/>
          <w:rtl/>
          <w:lang w:bidi="ar-SA"/>
        </w:rPr>
        <w:t>ا</w:t>
      </w:r>
      <w:r w:rsidRPr="00FF06EE">
        <w:rPr>
          <w:rFonts w:ascii="Tahoma" w:hAnsi="Tahoma" w:cs="Tahoma"/>
          <w:sz w:val="20"/>
          <w:szCs w:val="20"/>
          <w:rtl/>
          <w:lang w:bidi="ar-SA"/>
        </w:rPr>
        <w:t xml:space="preserve">. </w:t>
      </w:r>
    </w:p>
    <w:p w:rsidR="00FF06EE" w:rsidRPr="00FF06EE" w:rsidP="00FF06EE">
      <w:pPr>
        <w:jc w:val="both"/>
        <w:rPr>
          <w:rFonts w:ascii="Tahoma" w:hAnsi="Tahoma" w:cs="Tahoma"/>
          <w:sz w:val="20"/>
          <w:szCs w:val="20"/>
          <w:rtl/>
          <w:lang w:bidi="ar-SA"/>
        </w:rPr>
      </w:pPr>
      <w:r w:rsidRPr="00FF06EE">
        <w:rPr>
          <w:rFonts w:ascii="Tahoma" w:hAnsi="Tahoma" w:cs="Tahoma"/>
          <w:sz w:val="20"/>
          <w:szCs w:val="20"/>
          <w:rtl/>
          <w:lang w:bidi="ar-SA"/>
        </w:rPr>
        <w:t xml:space="preserve">أكّدت المحكمة المركزيّة في حيفا قبل خمس سنوات، في سياق جلسات تناولت حادث إطلاق نار خطير وقع في المجتمع العربيّ، على ما يلي: </w:t>
      </w:r>
    </w:p>
    <w:p w:rsidR="00FF06EE" w:rsidRPr="00FF06EE" w:rsidP="000B4CE8">
      <w:pPr>
        <w:ind w:left="567" w:right="567"/>
        <w:jc w:val="both"/>
        <w:rPr>
          <w:rFonts w:ascii="Tahoma" w:hAnsi="Tahoma" w:cs="Tahoma"/>
          <w:sz w:val="20"/>
          <w:szCs w:val="20"/>
          <w:rtl/>
          <w:lang w:bidi="ar-SA"/>
        </w:rPr>
      </w:pPr>
      <w:r w:rsidRPr="00FF06EE">
        <w:rPr>
          <w:rFonts w:ascii="Tahoma" w:hAnsi="Tahoma" w:cs="Tahoma"/>
          <w:sz w:val="20"/>
          <w:szCs w:val="20"/>
          <w:rtl/>
          <w:lang w:bidi="ar-SA"/>
        </w:rPr>
        <w:t xml:space="preserve">"إنّ توفّر الأسلحة الناريّة بشكل غير قانونيّ قد أضحى منذ فترة </w:t>
      </w:r>
      <w:r w:rsidR="000B4CE8">
        <w:rPr>
          <w:rFonts w:ascii="Tahoma" w:hAnsi="Tahoma" w:cs="Tahoma"/>
          <w:sz w:val="20"/>
          <w:szCs w:val="20"/>
          <w:rtl/>
          <w:lang w:bidi="ar-SA"/>
        </w:rPr>
        <w:t>وباء متفشّ</w:t>
      </w:r>
      <w:r w:rsidR="000B4CE8">
        <w:rPr>
          <w:rFonts w:ascii="Tahoma" w:hAnsi="Tahoma" w:cs="Tahoma" w:hint="cs"/>
          <w:sz w:val="20"/>
          <w:szCs w:val="20"/>
          <w:rtl/>
          <w:lang w:bidi="ar-SA"/>
        </w:rPr>
        <w:t>يًا</w:t>
      </w:r>
      <w:r w:rsidRPr="00FF06EE">
        <w:rPr>
          <w:rFonts w:ascii="Tahoma" w:hAnsi="Tahoma" w:cs="Tahoma"/>
          <w:sz w:val="20"/>
          <w:szCs w:val="20"/>
          <w:rtl/>
          <w:lang w:bidi="ar-SA"/>
        </w:rPr>
        <w:t xml:space="preserve">... لقد سئم الجمهور هذا الوضع الذي فيه </w:t>
      </w:r>
      <w:r w:rsidR="000B4CE8">
        <w:rPr>
          <w:rFonts w:ascii="Tahoma" w:hAnsi="Tahoma" w:cs="Tahoma" w:hint="cs"/>
          <w:sz w:val="20"/>
          <w:szCs w:val="20"/>
          <w:rtl/>
          <w:lang w:bidi="ar-SA"/>
        </w:rPr>
        <w:t>يحصل فيه</w:t>
      </w:r>
      <w:r w:rsidR="000B4CE8">
        <w:rPr>
          <w:rFonts w:ascii="Tahoma" w:hAnsi="Tahoma" w:cs="Tahoma"/>
          <w:sz w:val="20"/>
          <w:szCs w:val="20"/>
          <w:rtl/>
          <w:lang w:bidi="ar-SA"/>
        </w:rPr>
        <w:t xml:space="preserve"> مخالف</w:t>
      </w:r>
      <w:r w:rsidR="000B4CE8">
        <w:rPr>
          <w:rFonts w:ascii="Tahoma" w:hAnsi="Tahoma" w:cs="Tahoma" w:hint="cs"/>
          <w:sz w:val="20"/>
          <w:szCs w:val="20"/>
          <w:rtl/>
          <w:lang w:bidi="ar-SA"/>
        </w:rPr>
        <w:t>و</w:t>
      </w:r>
      <w:r w:rsidRPr="00FF06EE">
        <w:rPr>
          <w:rFonts w:ascii="Tahoma" w:hAnsi="Tahoma" w:cs="Tahoma"/>
          <w:sz w:val="20"/>
          <w:szCs w:val="20"/>
          <w:rtl/>
          <w:lang w:bidi="ar-SA"/>
        </w:rPr>
        <w:t xml:space="preserve"> القانون على سلاح ناريّ ويستخدمونه للمسّ بمنافسيهم. يبدو اليوم أنّه لا حاجة للإكثار من الكلام بالنسبة إلى الخطورة الكبيرة ل</w:t>
      </w:r>
      <w:r w:rsidR="000B4CE8">
        <w:rPr>
          <w:rFonts w:ascii="Tahoma" w:hAnsi="Tahoma" w:cs="Tahoma" w:hint="cs"/>
          <w:sz w:val="20"/>
          <w:szCs w:val="20"/>
          <w:rtl/>
          <w:lang w:bidi="ar-SA"/>
        </w:rPr>
        <w:t>ل</w:t>
      </w:r>
      <w:r w:rsidRPr="00FF06EE">
        <w:rPr>
          <w:rFonts w:ascii="Tahoma" w:hAnsi="Tahoma" w:cs="Tahoma"/>
          <w:sz w:val="20"/>
          <w:szCs w:val="20"/>
          <w:rtl/>
          <w:lang w:bidi="ar-SA"/>
        </w:rPr>
        <w:t xml:space="preserve">مخالفات المتعلّقة بالأسلحة" </w:t>
      </w:r>
      <w:r>
        <w:rPr>
          <w:rStyle w:val="FootnoteReference"/>
          <w:rFonts w:ascii="Tahoma" w:hAnsi="Tahoma" w:cs="Tahoma"/>
          <w:sz w:val="20"/>
          <w:szCs w:val="20"/>
          <w:rtl/>
        </w:rPr>
        <w:footnoteReference w:id="5"/>
      </w:r>
      <w:r w:rsidRPr="00FF06EE">
        <w:rPr>
          <w:rFonts w:ascii="Tahoma" w:hAnsi="Tahoma" w:cs="Tahoma"/>
          <w:sz w:val="20"/>
          <w:szCs w:val="20"/>
          <w:rtl/>
          <w:lang w:bidi="ar-SA"/>
        </w:rPr>
        <w:t xml:space="preserve">. </w:t>
      </w:r>
    </w:p>
    <w:p w:rsidR="00FF06EE" w:rsidRPr="00FF06EE" w:rsidP="000B4CE8">
      <w:pPr>
        <w:jc w:val="both"/>
        <w:rPr>
          <w:rFonts w:ascii="Tahoma" w:hAnsi="Tahoma" w:cs="Tahoma"/>
          <w:sz w:val="20"/>
          <w:szCs w:val="20"/>
          <w:rtl/>
        </w:rPr>
      </w:pPr>
      <w:r w:rsidRPr="00FF06EE">
        <w:rPr>
          <w:rFonts w:ascii="Tahoma" w:hAnsi="Tahoma" w:cs="Tahoma"/>
          <w:sz w:val="20"/>
          <w:szCs w:val="20"/>
          <w:rtl/>
          <w:lang w:bidi="ar-SA"/>
        </w:rPr>
        <w:t xml:space="preserve">يبدو واضحًا أيضًا أنّه منذ نشر تقرير لجنة أور، بذلت الشرطة جهودًا </w:t>
      </w:r>
      <w:r w:rsidR="000B4CE8">
        <w:rPr>
          <w:rFonts w:ascii="Tahoma" w:hAnsi="Tahoma" w:cs="Tahoma" w:hint="cs"/>
          <w:sz w:val="20"/>
          <w:szCs w:val="20"/>
          <w:rtl/>
          <w:lang w:bidi="ar-SA"/>
        </w:rPr>
        <w:t>للحدّ</w:t>
      </w:r>
      <w:r w:rsidRPr="00FF06EE">
        <w:rPr>
          <w:rFonts w:ascii="Tahoma" w:hAnsi="Tahoma" w:cs="Tahoma"/>
          <w:sz w:val="20"/>
          <w:szCs w:val="20"/>
          <w:rtl/>
          <w:lang w:bidi="ar-SA"/>
        </w:rPr>
        <w:t xml:space="preserve"> من أحداث العنف الخطيرة واستخدام </w:t>
      </w:r>
      <w:r w:rsidR="000B4CE8">
        <w:rPr>
          <w:rFonts w:ascii="Tahoma" w:hAnsi="Tahoma" w:cs="Tahoma" w:hint="cs"/>
          <w:sz w:val="20"/>
          <w:szCs w:val="20"/>
          <w:rtl/>
          <w:lang w:bidi="ar-SA"/>
        </w:rPr>
        <w:t xml:space="preserve">الأسلحة </w:t>
      </w:r>
      <w:r w:rsidRPr="00FF06EE">
        <w:rPr>
          <w:rFonts w:ascii="Tahoma" w:hAnsi="Tahoma" w:cs="Tahoma"/>
          <w:sz w:val="20"/>
          <w:szCs w:val="20"/>
          <w:rtl/>
          <w:lang w:bidi="ar-SA"/>
        </w:rPr>
        <w:t>غير القانونيّة، بل إنّها وضعت في السنوات الأخيرة خطّة عمل شاملة لمواجهة الإجرام في المجتمع العربيّ. ومع ذلك تشير النتائج التي كشف عنها هذا التقرير إلى سلسلة من النواقص والصعوبات في تنفيذ الخط</w:t>
      </w:r>
      <w:r>
        <w:rPr>
          <w:rFonts w:ascii="Tahoma" w:hAnsi="Tahoma" w:cs="Tahoma"/>
          <w:sz w:val="20"/>
          <w:szCs w:val="20"/>
          <w:rtl/>
          <w:lang w:bidi="ar-SA"/>
        </w:rPr>
        <w:t xml:space="preserve">وات التي </w:t>
      </w:r>
      <w:r w:rsidR="000B4CE8">
        <w:rPr>
          <w:rFonts w:ascii="Tahoma" w:hAnsi="Tahoma" w:cs="Tahoma" w:hint="cs"/>
          <w:sz w:val="20"/>
          <w:szCs w:val="20"/>
          <w:rtl/>
          <w:lang w:bidi="ar-SA"/>
        </w:rPr>
        <w:t>وضعتها</w:t>
      </w:r>
      <w:r>
        <w:rPr>
          <w:rFonts w:ascii="Tahoma" w:hAnsi="Tahoma" w:cs="Tahoma"/>
          <w:sz w:val="20"/>
          <w:szCs w:val="20"/>
          <w:rtl/>
          <w:lang w:bidi="ar-SA"/>
        </w:rPr>
        <w:t xml:space="preserve"> قيادة الشرطة. </w:t>
      </w:r>
    </w:p>
    <w:p w:rsidR="00FF06EE" w:rsidRPr="00FF06EE" w:rsidP="00FF06EE">
      <w:pPr>
        <w:pStyle w:val="PlainText"/>
        <w:widowControl/>
        <w:spacing w:after="120" w:line="360" w:lineRule="auto"/>
        <w:rPr>
          <w:rFonts w:ascii="Tahoma" w:hAnsi="Tahoma" w:eastAsiaTheme="minorEastAsia" w:cs="Tahoma"/>
          <w:spacing w:val="-4"/>
          <w:rtl/>
          <w:lang w:eastAsia="en-US" w:bidi="ar-SA"/>
        </w:rPr>
      </w:pPr>
      <w:r w:rsidRPr="00FF06EE">
        <w:rPr>
          <w:rFonts w:ascii="Tahoma" w:hAnsi="Tahoma" w:eastAsiaTheme="minorEastAsia" w:cs="Tahoma"/>
          <w:spacing w:val="-4"/>
          <w:rtl/>
          <w:lang w:eastAsia="en-US" w:bidi="ar-SA"/>
        </w:rPr>
        <w:t>يستوجب الخطر الكبير الناجم عن استخدام الأسلحة غير ا</w:t>
      </w:r>
      <w:r w:rsidR="000B4CE8">
        <w:rPr>
          <w:rFonts w:ascii="Tahoma" w:hAnsi="Tahoma" w:eastAsiaTheme="minorEastAsia" w:cs="Tahoma"/>
          <w:spacing w:val="-4"/>
          <w:rtl/>
          <w:lang w:eastAsia="en-US" w:bidi="ar-SA"/>
        </w:rPr>
        <w:t>لقانونيّة وإطلاق النار، وتأثيره</w:t>
      </w:r>
      <w:r w:rsidRPr="00FF06EE">
        <w:rPr>
          <w:rFonts w:ascii="Tahoma" w:hAnsi="Tahoma" w:eastAsiaTheme="minorEastAsia" w:cs="Tahoma"/>
          <w:spacing w:val="-4"/>
          <w:rtl/>
          <w:lang w:eastAsia="en-US" w:bidi="ar-SA"/>
        </w:rPr>
        <w:t xml:space="preserve"> في نشوء معايير سلبيّة من التجاهل والتخلّي والاستخفاف بحياة البشر، العمل على نطاق واسع من جانب الحكومة والشرطة. هذا العمل مطلوب بادئ ذي بدء لتغيير المعايير وتعزيز قيمة "قدسيّة الحياة" التي هي القيمة المضادّة. ليس هذا فحسب، بل إنّه في المجتمع الديمقراطيّ يجب أن يكون نشاط الشرطة استنادًا إلى اتّفاق عامّ واسع بأكبر قدر ممكن وإلى ثقة الجمهور بها أيضًا. ما دامت الشرطة تواجه صعوبات في إنفاذ القانون وتفادي ظواهر مخالفة القانون الخطيرة خاصّة ظواهر العنف وإطلاق النار من قبل سكّان عرب، فأنّه سينظر إليها على أنّها عديمة النجاعة وغير مهنيّة، إضافة إلى أنّها لا تتعامل على قدم المساواة مع جميع مواطني الدولة. كلّما ترسّخت هذه الصورة، قلّت ثقة الجمهور في المجتمع العربيّ بالشرطة وبجميع مؤسّسات الدولة، ممّا قد تترتّب عليه تأثيرات بعيدة المدى في المجتمع الإسرائيليّ عامّة. </w:t>
      </w:r>
    </w:p>
    <w:p w:rsidR="00FF06EE" w:rsidRPr="00FF06EE" w:rsidP="00FF06EE">
      <w:pPr>
        <w:jc w:val="both"/>
        <w:rPr>
          <w:rFonts w:ascii="Tahoma" w:hAnsi="Tahoma" w:cs="Tahoma"/>
          <w:sz w:val="20"/>
          <w:szCs w:val="20"/>
          <w:rtl/>
          <w:lang w:bidi="ar-SA"/>
        </w:rPr>
      </w:pPr>
      <w:r w:rsidRPr="00FF06EE">
        <w:rPr>
          <w:rFonts w:ascii="Tahoma" w:hAnsi="Tahoma" w:cs="Tahoma"/>
          <w:sz w:val="20"/>
          <w:szCs w:val="20"/>
          <w:rtl/>
          <w:lang w:bidi="ar-SA"/>
        </w:rPr>
        <w:t xml:space="preserve">لتمكين الشرطة من تعزيز نشاطها في المجتمع العربيّ وإحداث التغيير المنشود في قدرتها على فرض القانون، حماية النظام العامّ وتعزيز الأمن الشخصيّ للمواطنين، </w:t>
      </w:r>
      <w:r w:rsidRPr="00FF06EE">
        <w:rPr>
          <w:rFonts w:ascii="Tahoma" w:hAnsi="Tahoma" w:cs="Tahoma"/>
          <w:sz w:val="20"/>
          <w:szCs w:val="20"/>
          <w:rtl/>
          <w:lang w:bidi="ar-SA"/>
        </w:rPr>
        <w:t xml:space="preserve">يحب تنفيذ قرار الحكومة رقم </w:t>
      </w:r>
      <w:r w:rsidRPr="00FF06EE">
        <w:rPr>
          <w:rFonts w:ascii="Tahoma" w:hAnsi="Tahoma" w:cs="Tahoma"/>
          <w:sz w:val="20"/>
          <w:szCs w:val="20"/>
          <w:rtl/>
        </w:rPr>
        <w:t xml:space="preserve">922 </w:t>
      </w:r>
      <w:r w:rsidRPr="00FF06EE">
        <w:rPr>
          <w:rFonts w:ascii="Tahoma" w:hAnsi="Tahoma" w:cs="Tahoma"/>
          <w:sz w:val="20"/>
          <w:szCs w:val="20"/>
          <w:rtl/>
          <w:lang w:bidi="ar-SA"/>
        </w:rPr>
        <w:t>الصادر في كانون الأوّل</w:t>
      </w:r>
      <w:r w:rsidRPr="00FF06EE">
        <w:rPr>
          <w:rFonts w:ascii="Tahoma" w:hAnsi="Tahoma" w:cs="Tahoma"/>
          <w:sz w:val="20"/>
          <w:szCs w:val="20"/>
          <w:rtl/>
        </w:rPr>
        <w:t xml:space="preserve"> 2015</w:t>
      </w:r>
      <w:r w:rsidRPr="00FF06EE">
        <w:rPr>
          <w:rFonts w:ascii="Tahoma" w:hAnsi="Tahoma" w:cs="Tahoma"/>
          <w:sz w:val="20"/>
          <w:szCs w:val="20"/>
          <w:rtl/>
          <w:lang w:bidi="ar-SA"/>
        </w:rPr>
        <w:t xml:space="preserve"> والذي ينصّ على تعزيز الشرطة بقوًى بشريّة وموارد للتعامل مع مستوى الإجرام والعنف العالي في البلدات العربيّة. لكنّ تعزيز الشرطة وحده لا يكفي. إذ إنّ هناك حاجة إلى مشاركة كبيرة من جانب بقيّة الوزارات في زيادة نسب التشغيل، التطوير الاقتصاديّ، تعزيز جهاز التربية والتعليم، تحسين جودة الحياة والصحّة للسكّان من المجتمع العربيّ، تعزيز منظومات الرفاه الاجتماعيّ، البنى التحتيّة، المواصلات والسكن. </w:t>
      </w:r>
    </w:p>
    <w:p w:rsidR="00FF06EE" w:rsidRPr="00FF06EE" w:rsidP="00EB372D">
      <w:pPr>
        <w:jc w:val="both"/>
        <w:rPr>
          <w:rFonts w:ascii="Tahoma" w:hAnsi="Tahoma" w:cs="Tahoma"/>
          <w:sz w:val="20"/>
          <w:szCs w:val="20"/>
          <w:rtl/>
          <w:lang w:bidi="ar-SA"/>
        </w:rPr>
      </w:pPr>
      <w:r w:rsidRPr="00FF06EE">
        <w:rPr>
          <w:rFonts w:ascii="Tahoma" w:hAnsi="Tahoma" w:cs="Tahoma"/>
          <w:sz w:val="20"/>
          <w:szCs w:val="20"/>
          <w:rtl/>
          <w:lang w:bidi="ar-SA"/>
        </w:rPr>
        <w:t xml:space="preserve">السكّان من المجتمع العربيّ هم أوّل المستفيدين من نشاطات فرض القانون المعزّزة من قبل الشرطة بهدف القضاء على ظواهر مخالفة القانون </w:t>
      </w:r>
      <w:r w:rsidR="000B4CE8">
        <w:rPr>
          <w:rFonts w:ascii="Tahoma" w:hAnsi="Tahoma" w:cs="Tahoma" w:hint="cs"/>
          <w:sz w:val="20"/>
          <w:szCs w:val="20"/>
          <w:rtl/>
          <w:lang w:bidi="ar-SA"/>
        </w:rPr>
        <w:t>الخطيرة</w:t>
      </w:r>
      <w:r w:rsidRPr="00FF06EE">
        <w:rPr>
          <w:rFonts w:ascii="Tahoma" w:hAnsi="Tahoma" w:cs="Tahoma"/>
          <w:sz w:val="20"/>
          <w:szCs w:val="20"/>
          <w:rtl/>
          <w:lang w:bidi="ar-SA"/>
        </w:rPr>
        <w:t xml:space="preserve"> المنتشرة في المجتمع العربيّ، مع التركيز بشكل خاصّ على العنف الخطير وحالات إطلاق النار التي تشكّل تهديدًا لحياة الناس </w:t>
      </w:r>
      <w:r w:rsidR="00EB372D">
        <w:rPr>
          <w:rFonts w:ascii="Tahoma" w:hAnsi="Tahoma" w:cs="Tahoma" w:hint="cs"/>
          <w:sz w:val="20"/>
          <w:szCs w:val="20"/>
          <w:rtl/>
          <w:lang w:bidi="ar-SA"/>
        </w:rPr>
        <w:t>و</w:t>
      </w:r>
      <w:r w:rsidR="00EB372D">
        <w:rPr>
          <w:rFonts w:ascii="Tahoma" w:hAnsi="Tahoma" w:cs="Tahoma"/>
          <w:sz w:val="20"/>
          <w:szCs w:val="20"/>
          <w:rtl/>
          <w:lang w:bidi="ar-SA"/>
        </w:rPr>
        <w:t xml:space="preserve">هي </w:t>
      </w:r>
      <w:r w:rsidRPr="00FF06EE">
        <w:rPr>
          <w:rFonts w:ascii="Tahoma" w:hAnsi="Tahoma" w:cs="Tahoma"/>
          <w:sz w:val="20"/>
          <w:szCs w:val="20"/>
          <w:rtl/>
          <w:lang w:bidi="ar-SA"/>
        </w:rPr>
        <w:t xml:space="preserve">أحداث تمسّ بنسيج الحياة في البلدات العربيّة وبالأمن الشخصيّ للسكّان. إنّ التعاون بين المجتمع العربيّ وقياداته من جهة وبين الشرطة، من جهة أخرى، ضروريّ للنهوض بخطوات وقائيّة ولإنفاذ القانون بالنسبة إلى ظواهر مخالفة القانون داخل هذا المجتمع. </w:t>
      </w:r>
    </w:p>
    <w:p w:rsidR="00FF06EE" w:rsidP="00FF06EE">
      <w:pPr>
        <w:jc w:val="both"/>
        <w:rPr>
          <w:rFonts w:ascii="Tahoma" w:hAnsi="Tahoma" w:cs="Tahoma"/>
          <w:sz w:val="20"/>
          <w:szCs w:val="20"/>
          <w:rtl/>
          <w:lang w:bidi="ar-SA"/>
        </w:rPr>
      </w:pPr>
      <w:r w:rsidRPr="00FF06EE">
        <w:rPr>
          <w:rFonts w:ascii="Tahoma" w:hAnsi="Tahoma" w:cs="Tahoma"/>
          <w:sz w:val="20"/>
          <w:szCs w:val="20"/>
          <w:rtl/>
          <w:lang w:bidi="ar-SA"/>
        </w:rPr>
        <w:t>إنّ أحداث العنف التي تُستخدم فيها الأسلحة غير القانونيّة آخذة في الازدياد في السنوات الأخيرة، سواء أكان من حيث الوتيرة أو من حيث قوّتها. إنّ تنفيذ توصيات هذا التقرير من قبل الحكومة والشرطة با</w:t>
      </w:r>
      <w:r w:rsidR="00EB372D">
        <w:rPr>
          <w:rFonts w:ascii="Tahoma" w:hAnsi="Tahoma" w:cs="Tahoma"/>
          <w:sz w:val="20"/>
          <w:szCs w:val="20"/>
          <w:rtl/>
          <w:lang w:bidi="ar-SA"/>
        </w:rPr>
        <w:t>لتعاون مع قيادة المجتمع العربيّ</w:t>
      </w:r>
      <w:r w:rsidRPr="00FF06EE">
        <w:rPr>
          <w:rFonts w:ascii="Tahoma" w:hAnsi="Tahoma" w:cs="Tahoma"/>
          <w:sz w:val="20"/>
          <w:szCs w:val="20"/>
          <w:rtl/>
          <w:lang w:bidi="ar-SA"/>
        </w:rPr>
        <w:t xml:space="preserve"> سيُسهم في مواجهة هذه الطواهر القاسية. </w:t>
      </w:r>
    </w:p>
    <w:p w:rsidR="00822E5A" w:rsidP="00FF06EE">
      <w:pPr>
        <w:jc w:val="both"/>
        <w:rPr>
          <w:rFonts w:ascii="Tahoma" w:hAnsi="Tahoma" w:cs="Tahoma"/>
          <w:sz w:val="20"/>
          <w:szCs w:val="20"/>
          <w:rtl/>
          <w:lang w:bidi="ar-SA"/>
        </w:rPr>
      </w:pPr>
    </w:p>
    <w:p w:rsidR="00822E5A" w:rsidRPr="00FF06EE" w:rsidP="00BD0C09">
      <w:pPr>
        <w:jc w:val="both"/>
        <w:rPr>
          <w:rFonts w:ascii="Tahoma" w:hAnsi="Tahoma" w:cs="Tahoma"/>
          <w:sz w:val="20"/>
          <w:szCs w:val="20"/>
          <w:rtl/>
          <w:lang w:bidi="ar-SA"/>
        </w:rPr>
      </w:pPr>
      <w:r w:rsidRPr="00822E5A">
        <w:rPr>
          <w:rFonts w:ascii="Tahoma" w:hAnsi="Tahoma" w:cs="Tahoma" w:hint="cs"/>
          <w:sz w:val="20"/>
          <w:szCs w:val="20"/>
          <w:rtl/>
          <w:lang w:bidi="ar-SA"/>
        </w:rPr>
        <w:t xml:space="preserve">يرد موجز التقرير باللغة العربيّة في ص. </w:t>
      </w:r>
      <w:r w:rsidRPr="00822E5A">
        <w:rPr>
          <w:rFonts w:ascii="Tahoma" w:hAnsi="Tahoma" w:cs="Tahoma"/>
          <w:sz w:val="20"/>
          <w:szCs w:val="20"/>
          <w:rtl/>
        </w:rPr>
        <w:t>7</w:t>
      </w:r>
      <w:r w:rsidR="00BD0C09">
        <w:rPr>
          <w:rFonts w:ascii="Tahoma" w:hAnsi="Tahoma" w:cs="Tahoma" w:hint="cs"/>
          <w:sz w:val="20"/>
          <w:szCs w:val="20"/>
          <w:rtl/>
        </w:rPr>
        <w:t>1</w:t>
      </w:r>
      <w:r w:rsidRPr="00822E5A">
        <w:rPr>
          <w:rFonts w:ascii="Tahoma" w:hAnsi="Tahoma" w:cs="Tahoma" w:hint="cs"/>
          <w:sz w:val="20"/>
          <w:szCs w:val="20"/>
          <w:rtl/>
          <w:lang w:bidi="ar-SA"/>
        </w:rPr>
        <w:t xml:space="preserve">.   </w:t>
      </w:r>
    </w:p>
    <w:p w:rsidR="002501E3" w:rsidRPr="00170230" w:rsidP="002501E3">
      <w:pPr>
        <w:tabs>
          <w:tab w:val="center" w:pos="4535"/>
        </w:tabs>
        <w:spacing w:before="60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49690" name="Shapira_Sign.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2501E3" w:rsidRPr="009B7FD5" w:rsidP="00EB372D">
      <w:pPr>
        <w:widowControl w:val="0"/>
        <w:tabs>
          <w:tab w:val="center" w:pos="4535"/>
        </w:tabs>
        <w:spacing w:after="0" w:line="280" w:lineRule="exact"/>
        <w:rPr>
          <w:rFonts w:ascii="Tahoma" w:hAnsi="Tahoma" w:cs="Tahoma"/>
          <w:b/>
          <w:bCs/>
          <w:sz w:val="20"/>
          <w:szCs w:val="20"/>
          <w:rtl/>
          <w:lang w:bidi="ar-AE"/>
        </w:rPr>
      </w:pPr>
      <w:r w:rsidRPr="00D70CA7">
        <w:rPr>
          <w:rFonts w:ascii="Tahoma" w:hAnsi="Tahoma" w:cs="Tahoma"/>
          <w:b/>
          <w:bCs/>
          <w:sz w:val="18"/>
          <w:szCs w:val="18"/>
          <w:lang w:bidi="ar-SA"/>
        </w:rPr>
        <w:tab/>
      </w:r>
      <w:r w:rsidRPr="009B7FD5">
        <w:rPr>
          <w:rFonts w:ascii="Tahoma" w:hAnsi="Tahoma" w:cs="Tahoma"/>
          <w:b/>
          <w:bCs/>
          <w:sz w:val="20"/>
          <w:szCs w:val="20"/>
          <w:rtl/>
          <w:lang w:bidi="ar-SA"/>
        </w:rPr>
        <w:t xml:space="preserve">يوسف حاييم </w:t>
      </w:r>
      <w:r w:rsidRPr="009B7FD5">
        <w:rPr>
          <w:rFonts w:ascii="Tahoma" w:hAnsi="Tahoma" w:cs="Tahoma"/>
          <w:b/>
          <w:bCs/>
          <w:sz w:val="20"/>
          <w:szCs w:val="20"/>
          <w:rtl/>
          <w:lang w:bidi="ar-SA"/>
        </w:rPr>
        <w:t>ش</w:t>
      </w:r>
      <w:r w:rsidR="00EB372D">
        <w:rPr>
          <w:rFonts w:ascii="Tahoma" w:hAnsi="Tahoma" w:cs="Tahoma"/>
          <w:b/>
          <w:bCs/>
          <w:sz w:val="20"/>
          <w:szCs w:val="20"/>
          <w:rtl/>
          <w:lang w:bidi="ar-SA"/>
        </w:rPr>
        <w:t>پ</w:t>
      </w:r>
      <w:r w:rsidRPr="009B7FD5">
        <w:rPr>
          <w:rFonts w:ascii="Tahoma" w:hAnsi="Tahoma" w:cs="Tahoma"/>
          <w:b/>
          <w:bCs/>
          <w:sz w:val="20"/>
          <w:szCs w:val="20"/>
          <w:rtl/>
          <w:lang w:bidi="ar-SA"/>
        </w:rPr>
        <w:t>يرا</w:t>
      </w:r>
      <w:r w:rsidR="00C746C1">
        <w:rPr>
          <w:rFonts w:ascii="Tahoma" w:hAnsi="Tahoma" w:cs="Tahoma" w:hint="cs"/>
          <w:b/>
          <w:bCs/>
          <w:sz w:val="20"/>
          <w:szCs w:val="20"/>
          <w:rtl/>
          <w:lang w:bidi="ar-SA"/>
        </w:rPr>
        <w:t>،</w:t>
      </w:r>
      <w:r w:rsidRPr="009B7FD5">
        <w:rPr>
          <w:rFonts w:ascii="Tahoma" w:hAnsi="Tahoma" w:cs="Tahoma"/>
          <w:b/>
          <w:bCs/>
          <w:sz w:val="20"/>
          <w:szCs w:val="20"/>
          <w:rtl/>
          <w:lang w:bidi="ar-SA"/>
        </w:rPr>
        <w:t xml:space="preserve"> قاض</w:t>
      </w:r>
      <w:r w:rsidR="00483033">
        <w:rPr>
          <w:rFonts w:ascii="Tahoma" w:hAnsi="Tahoma" w:cs="Tahoma" w:hint="cs"/>
          <w:b/>
          <w:bCs/>
          <w:sz w:val="20"/>
          <w:szCs w:val="20"/>
          <w:rtl/>
          <w:lang w:bidi="ar-SA"/>
        </w:rPr>
        <w:t>ٍ</w:t>
      </w:r>
      <w:r w:rsidRPr="009B7FD5">
        <w:rPr>
          <w:rFonts w:ascii="Tahoma" w:hAnsi="Tahoma" w:cs="Tahoma"/>
          <w:b/>
          <w:bCs/>
          <w:sz w:val="20"/>
          <w:szCs w:val="20"/>
          <w:rtl/>
          <w:lang w:bidi="ar-SA"/>
        </w:rPr>
        <w:t xml:space="preserve"> </w:t>
      </w:r>
      <w:r w:rsidRPr="009B7FD5">
        <w:rPr>
          <w:rFonts w:ascii="Tahoma" w:hAnsi="Tahoma" w:cs="Tahoma"/>
          <w:b/>
          <w:bCs/>
          <w:sz w:val="20"/>
          <w:szCs w:val="20"/>
          <w:rtl/>
          <w:lang w:bidi="ar-AE"/>
        </w:rPr>
        <w:t>(متقاعد)</w:t>
      </w:r>
    </w:p>
    <w:p w:rsidR="002501E3" w:rsidRPr="009B7FD5" w:rsidP="002501E3">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مراقب الدولة</w:t>
      </w:r>
    </w:p>
    <w:p w:rsidR="002501E3" w:rsidRPr="009B7FD5" w:rsidP="002501E3">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ومندوب شكاوى الجمهور</w:t>
      </w:r>
    </w:p>
    <w:p w:rsidR="002501E3" w:rsidP="002501E3">
      <w:pPr>
        <w:widowControl w:val="0"/>
        <w:tabs>
          <w:tab w:val="center" w:pos="4746"/>
        </w:tabs>
        <w:spacing w:after="0" w:line="280" w:lineRule="exact"/>
        <w:rPr>
          <w:rFonts w:ascii="Tahoma" w:hAnsi="Tahoma" w:cs="Tahoma"/>
          <w:sz w:val="20"/>
          <w:szCs w:val="20"/>
          <w:rtl/>
          <w:lang w:bidi="ar-SA"/>
        </w:rPr>
      </w:pPr>
    </w:p>
    <w:p w:rsidR="002501E3" w:rsidRPr="002501E3" w:rsidP="00FF06EE">
      <w:pPr>
        <w:widowControl w:val="0"/>
        <w:tabs>
          <w:tab w:val="center" w:pos="4746"/>
        </w:tabs>
        <w:spacing w:after="0" w:line="280" w:lineRule="exact"/>
        <w:rPr>
          <w:rFonts w:ascii="Tahoma" w:hAnsi="Tahoma" w:cs="Tahoma"/>
          <w:sz w:val="20"/>
          <w:szCs w:val="20"/>
          <w:lang w:bidi="ar-SA"/>
        </w:rPr>
      </w:pPr>
      <w:r w:rsidRPr="002501E3">
        <w:rPr>
          <w:rFonts w:ascii="Tahoma" w:hAnsi="Tahoma" w:cs="Tahoma"/>
          <w:sz w:val="20"/>
          <w:szCs w:val="20"/>
          <w:rtl/>
          <w:lang w:bidi="ar-SA"/>
        </w:rPr>
        <w:t>أورشليم القدس</w:t>
      </w:r>
      <w:r w:rsidRPr="007B5426">
        <w:rPr>
          <w:rFonts w:ascii="Tahoma" w:hAnsi="Tahoma" w:cs="Tahoma"/>
          <w:sz w:val="20"/>
          <w:szCs w:val="20"/>
          <w:rtl/>
          <w:lang w:bidi="ar-SA"/>
        </w:rPr>
        <w:t>،</w:t>
      </w:r>
      <w:r w:rsidRPr="002501E3">
        <w:rPr>
          <w:rFonts w:ascii="Tahoma" w:hAnsi="Tahoma" w:cs="Tahoma"/>
          <w:sz w:val="20"/>
          <w:szCs w:val="20"/>
          <w:rtl/>
          <w:lang w:bidi="ar-SA"/>
        </w:rPr>
        <w:t xml:space="preserve"> </w:t>
      </w:r>
      <w:r w:rsidR="00FF06EE">
        <w:rPr>
          <w:rFonts w:ascii="Sakkal Majalla" w:eastAsia="Tahoma" w:hAnsi="Sakkal Majalla" w:cs="Sakkal Majalla" w:hint="cs"/>
          <w:b/>
          <w:bCs/>
          <w:sz w:val="28"/>
          <w:szCs w:val="28"/>
          <w:rtl/>
          <w:lang w:bidi="ar-SA"/>
        </w:rPr>
        <w:t>آب</w:t>
      </w:r>
      <w:r w:rsidRPr="00477667" w:rsidR="00FF06EE">
        <w:rPr>
          <w:rFonts w:ascii="Sakkal Majalla" w:eastAsia="Tahoma" w:hAnsi="Sakkal Majalla" w:cs="Sakkal Majalla"/>
          <w:b/>
          <w:bCs/>
          <w:sz w:val="28"/>
          <w:szCs w:val="28"/>
          <w:rtl/>
          <w:lang w:bidi="ar-SA"/>
        </w:rPr>
        <w:t xml:space="preserve"> </w:t>
      </w:r>
      <w:r w:rsidRPr="002501E3">
        <w:rPr>
          <w:rFonts w:ascii="Tahoma" w:hAnsi="Tahoma" w:cs="Tahoma" w:hint="cs"/>
          <w:sz w:val="20"/>
          <w:szCs w:val="20"/>
          <w:rtl/>
        </w:rPr>
        <w:t>2018</w:t>
      </w:r>
    </w:p>
    <w:sectPr w:rsidSect="005C2CE8">
      <w:headerReference w:type="even" r:id="rId10"/>
      <w:headerReference w:type="default" r:id="rId11"/>
      <w:headerReference w:type="first" r:id="rId12"/>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6C14" w:rsidRPr="008A007A" w:rsidP="008A007A">
      <w:pPr>
        <w:pStyle w:val="Footer"/>
      </w:pPr>
    </w:p>
  </w:footnote>
  <w:footnote w:type="continuationSeparator" w:id="1">
    <w:p w:rsidR="00236C14" w:rsidP="00CB3322">
      <w:pPr>
        <w:spacing w:after="0" w:line="240" w:lineRule="auto"/>
      </w:pPr>
      <w:r>
        <w:continuationSeparator/>
      </w:r>
    </w:p>
    <w:p w:rsidR="00236C14"/>
  </w:footnote>
  <w:footnote w:type="continuationNotice" w:id="2">
    <w:p w:rsidR="00236C14">
      <w:pPr>
        <w:spacing w:after="0" w:line="240" w:lineRule="auto"/>
      </w:pPr>
    </w:p>
  </w:footnote>
  <w:footnote w:id="3">
    <w:p w:rsidR="00FF06EE" w:rsidRPr="00FF06EE" w:rsidP="00FF06EE">
      <w:pPr>
        <w:pStyle w:val="FootnoteText"/>
        <w:spacing w:after="40" w:line="200" w:lineRule="exact"/>
        <w:ind w:left="397" w:hanging="397"/>
        <w:jc w:val="both"/>
        <w:rPr>
          <w:rFonts w:ascii="Tahoma" w:hAnsi="Tahoma" w:cs="Tahoma"/>
          <w:sz w:val="14"/>
          <w:szCs w:val="14"/>
        </w:rPr>
      </w:pPr>
      <w:r w:rsidRPr="00FF06EE">
        <w:rPr>
          <w:rStyle w:val="FootnoteReference"/>
          <w:rFonts w:ascii="Tahoma" w:hAnsi="Tahoma" w:cs="Tahoma"/>
          <w:sz w:val="14"/>
          <w:szCs w:val="14"/>
          <w:vertAlign w:val="baseline"/>
        </w:rPr>
        <w:footnoteRef/>
      </w:r>
      <w:r w:rsidRPr="00FF06EE">
        <w:rPr>
          <w:rFonts w:ascii="Tahoma" w:hAnsi="Tahoma" w:cs="Tahoma"/>
          <w:sz w:val="14"/>
          <w:szCs w:val="14"/>
          <w:rtl/>
        </w:rPr>
        <w:t xml:space="preserve"> </w:t>
      </w:r>
      <w:r w:rsidRPr="00FF06EE">
        <w:rPr>
          <w:rStyle w:val="FootnoteReference"/>
          <w:rFonts w:ascii="Tahoma" w:hAnsi="Tahoma" w:cs="Tahoma"/>
          <w:sz w:val="14"/>
          <w:szCs w:val="14"/>
          <w:vertAlign w:val="baseline"/>
          <w:rtl/>
        </w:rPr>
        <w:tab/>
      </w:r>
      <w:r w:rsidRPr="00FF06EE">
        <w:rPr>
          <w:rFonts w:ascii="Tahoma" w:hAnsi="Tahoma" w:cs="Tahoma"/>
          <w:sz w:val="14"/>
          <w:szCs w:val="14"/>
          <w:rtl/>
          <w:lang w:bidi="ar-SA"/>
        </w:rPr>
        <w:t>التماس</w:t>
      </w:r>
      <w:r w:rsidRPr="00FF06EE">
        <w:rPr>
          <w:rFonts w:ascii="Tahoma" w:hAnsi="Tahoma" w:cs="Tahoma"/>
          <w:sz w:val="14"/>
          <w:szCs w:val="14"/>
          <w:rtl/>
        </w:rPr>
        <w:t xml:space="preserve"> 2753/03</w:t>
      </w:r>
      <w:r w:rsidRPr="00FF06EE">
        <w:rPr>
          <w:rFonts w:ascii="Tahoma" w:hAnsi="Tahoma" w:cs="Tahoma"/>
          <w:sz w:val="14"/>
          <w:szCs w:val="14"/>
          <w:rtl/>
          <w:lang w:bidi="ar-SA"/>
        </w:rPr>
        <w:t xml:space="preserve"> </w:t>
      </w:r>
      <w:r w:rsidRPr="00FF06EE">
        <w:rPr>
          <w:rFonts w:ascii="Tahoma" w:hAnsi="Tahoma" w:cs="Tahoma"/>
          <w:sz w:val="14"/>
          <w:szCs w:val="14"/>
          <w:rtl/>
          <w:lang w:bidi="ar-SA"/>
        </w:rPr>
        <w:t>كيرش</w:t>
      </w:r>
      <w:r w:rsidRPr="00FF06EE">
        <w:rPr>
          <w:rFonts w:ascii="Tahoma" w:hAnsi="Tahoma" w:cs="Tahoma"/>
          <w:sz w:val="14"/>
          <w:szCs w:val="14"/>
          <w:rtl/>
          <w:lang w:bidi="ar-SA"/>
        </w:rPr>
        <w:t xml:space="preserve"> ضدّ رئيس هيئة الأركان العامّة في جيش الدفاع الإسرائيليّ، قرار حكم </w:t>
      </w:r>
      <w:r w:rsidRPr="00FF06EE">
        <w:rPr>
          <w:rFonts w:ascii="Tahoma" w:hAnsi="Tahoma" w:cs="Tahoma"/>
          <w:sz w:val="14"/>
          <w:szCs w:val="14"/>
          <w:rtl/>
        </w:rPr>
        <w:t>57</w:t>
      </w:r>
      <w:r w:rsidRPr="00FF06EE">
        <w:rPr>
          <w:rFonts w:ascii="Tahoma" w:hAnsi="Tahoma" w:cs="Tahoma"/>
          <w:sz w:val="14"/>
          <w:szCs w:val="14"/>
          <w:rtl/>
          <w:lang w:bidi="ar-SA"/>
        </w:rPr>
        <w:t xml:space="preserve"> </w:t>
      </w:r>
      <w:r w:rsidRPr="00FF06EE">
        <w:rPr>
          <w:rFonts w:ascii="Tahoma" w:hAnsi="Tahoma" w:cs="Tahoma"/>
          <w:sz w:val="14"/>
          <w:szCs w:val="14"/>
          <w:rtl/>
        </w:rPr>
        <w:t>(6) 359, 377</w:t>
      </w:r>
      <w:r w:rsidRPr="00FF06EE">
        <w:rPr>
          <w:rFonts w:ascii="Tahoma" w:hAnsi="Tahoma" w:cs="Tahoma"/>
          <w:sz w:val="14"/>
          <w:szCs w:val="14"/>
          <w:rtl/>
          <w:lang w:bidi="ar-SA"/>
        </w:rPr>
        <w:t xml:space="preserve"> (نُشر في مجمّع معلومات محوسب،</w:t>
      </w:r>
      <w:r w:rsidRPr="00FF06EE">
        <w:rPr>
          <w:rFonts w:ascii="Tahoma" w:hAnsi="Tahoma" w:cs="Tahoma"/>
          <w:sz w:val="14"/>
          <w:szCs w:val="14"/>
          <w:rtl/>
        </w:rPr>
        <w:t xml:space="preserve"> 2003).</w:t>
      </w:r>
    </w:p>
  </w:footnote>
  <w:footnote w:id="4">
    <w:p w:rsidR="00FF06EE" w:rsidRPr="00FF06EE" w:rsidP="000B4CE8">
      <w:pPr>
        <w:pStyle w:val="FootnoteText"/>
        <w:spacing w:after="40" w:line="200" w:lineRule="exact"/>
        <w:ind w:left="397" w:hanging="397"/>
        <w:jc w:val="both"/>
        <w:rPr>
          <w:rFonts w:ascii="Tahoma" w:hAnsi="Tahoma" w:cs="Tahoma"/>
          <w:b/>
          <w:bCs/>
          <w:sz w:val="14"/>
          <w:szCs w:val="14"/>
        </w:rPr>
      </w:pPr>
      <w:r w:rsidRPr="00FF06EE">
        <w:rPr>
          <w:rStyle w:val="FootnoteReference"/>
          <w:rFonts w:ascii="Tahoma" w:hAnsi="Tahoma" w:cs="Tahoma"/>
          <w:sz w:val="14"/>
          <w:szCs w:val="14"/>
          <w:vertAlign w:val="baseline"/>
        </w:rPr>
        <w:footnoteRef/>
      </w:r>
      <w:r w:rsidRPr="00FF06EE">
        <w:rPr>
          <w:rFonts w:ascii="Tahoma" w:hAnsi="Tahoma" w:cs="Tahoma"/>
          <w:sz w:val="14"/>
          <w:szCs w:val="14"/>
          <w:rtl/>
        </w:rPr>
        <w:t xml:space="preserve"> </w:t>
      </w:r>
      <w:r w:rsidRPr="00FF06EE">
        <w:rPr>
          <w:rStyle w:val="FootnoteReference"/>
          <w:rFonts w:ascii="Tahoma" w:hAnsi="Tahoma" w:cs="Tahoma"/>
          <w:sz w:val="14"/>
          <w:szCs w:val="14"/>
          <w:vertAlign w:val="baseline"/>
          <w:rtl/>
        </w:rPr>
        <w:tab/>
      </w:r>
      <w:r w:rsidRPr="00FF06EE">
        <w:rPr>
          <w:rFonts w:ascii="Tahoma" w:hAnsi="Tahoma" w:cs="Tahoma"/>
          <w:b/>
          <w:bCs/>
          <w:sz w:val="14"/>
          <w:szCs w:val="14"/>
          <w:rtl/>
          <w:lang w:bidi="ar-SA"/>
        </w:rPr>
        <w:t xml:space="preserve">لجنة التحقيق الرسميّة لتقصّى الصدامات بين قوّات الأمن والمواطنين </w:t>
      </w:r>
      <w:r w:rsidR="000B4CE8">
        <w:rPr>
          <w:rFonts w:ascii="Tahoma" w:hAnsi="Tahoma" w:cs="Tahoma" w:hint="cs"/>
          <w:b/>
          <w:bCs/>
          <w:sz w:val="14"/>
          <w:szCs w:val="14"/>
          <w:rtl/>
          <w:lang w:bidi="ar-SA"/>
        </w:rPr>
        <w:t>الإسرائيليّين</w:t>
      </w:r>
      <w:r w:rsidRPr="00FF06EE">
        <w:rPr>
          <w:rFonts w:ascii="Tahoma" w:hAnsi="Tahoma" w:cs="Tahoma"/>
          <w:b/>
          <w:bCs/>
          <w:sz w:val="14"/>
          <w:szCs w:val="14"/>
          <w:rtl/>
          <w:lang w:bidi="ar-SA"/>
        </w:rPr>
        <w:t xml:space="preserve"> في </w:t>
      </w:r>
      <w:r w:rsidR="000B4CE8">
        <w:rPr>
          <w:rFonts w:ascii="Tahoma" w:hAnsi="Tahoma" w:cs="Tahoma" w:hint="cs"/>
          <w:b/>
          <w:bCs/>
          <w:sz w:val="14"/>
          <w:szCs w:val="14"/>
          <w:rtl/>
          <w:lang w:bidi="ar-SA"/>
        </w:rPr>
        <w:t>أكتوبر</w:t>
      </w:r>
      <w:r w:rsidRPr="00FF06EE">
        <w:rPr>
          <w:rFonts w:ascii="Tahoma" w:hAnsi="Tahoma" w:cs="Tahoma"/>
          <w:b/>
          <w:bCs/>
          <w:sz w:val="14"/>
          <w:szCs w:val="14"/>
          <w:rtl/>
          <w:lang w:bidi="ar-SA"/>
        </w:rPr>
        <w:t xml:space="preserve"> </w:t>
      </w:r>
      <w:r w:rsidRPr="00FF06EE">
        <w:rPr>
          <w:rFonts w:ascii="Tahoma" w:hAnsi="Tahoma" w:cs="Tahoma"/>
          <w:sz w:val="14"/>
          <w:szCs w:val="14"/>
          <w:rtl/>
        </w:rPr>
        <w:t>2000.</w:t>
      </w:r>
      <w:r w:rsidRPr="00FF06EE">
        <w:rPr>
          <w:rFonts w:ascii="Tahoma" w:hAnsi="Tahoma" w:cs="Tahoma"/>
          <w:b/>
          <w:bCs/>
          <w:sz w:val="14"/>
          <w:szCs w:val="14"/>
          <w:rtl/>
        </w:rPr>
        <w:t xml:space="preserve"> </w:t>
      </w:r>
    </w:p>
  </w:footnote>
  <w:footnote w:id="5">
    <w:p w:rsidR="00FF06EE" w:rsidRPr="00FF06EE" w:rsidP="000B4CE8">
      <w:pPr>
        <w:pStyle w:val="FootnoteText"/>
        <w:spacing w:after="40" w:line="200" w:lineRule="exact"/>
        <w:ind w:left="397" w:hanging="397"/>
        <w:jc w:val="both"/>
        <w:rPr>
          <w:rFonts w:ascii="Tahoma" w:hAnsi="Tahoma" w:cs="Tahoma"/>
          <w:sz w:val="14"/>
          <w:szCs w:val="14"/>
          <w:rtl/>
        </w:rPr>
      </w:pPr>
      <w:r w:rsidRPr="00FF06EE">
        <w:rPr>
          <w:rStyle w:val="FootnoteReference"/>
          <w:rFonts w:ascii="Tahoma" w:hAnsi="Tahoma" w:cs="Tahoma"/>
          <w:sz w:val="14"/>
          <w:szCs w:val="14"/>
          <w:vertAlign w:val="baseline"/>
        </w:rPr>
        <w:footnoteRef/>
      </w:r>
      <w:r w:rsidRPr="00FF06EE">
        <w:rPr>
          <w:rFonts w:ascii="Tahoma" w:hAnsi="Tahoma" w:cs="Tahoma"/>
          <w:sz w:val="14"/>
          <w:szCs w:val="14"/>
          <w:rtl/>
        </w:rPr>
        <w:t xml:space="preserve"> </w:t>
      </w:r>
      <w:r w:rsidRPr="00FF06EE">
        <w:rPr>
          <w:rFonts w:ascii="Tahoma" w:hAnsi="Tahoma" w:cs="Tahoma"/>
          <w:sz w:val="14"/>
          <w:szCs w:val="14"/>
          <w:rtl/>
        </w:rPr>
        <w:tab/>
      </w:r>
      <w:r w:rsidRPr="00FF06EE">
        <w:rPr>
          <w:rFonts w:ascii="Tahoma" w:hAnsi="Tahoma" w:cs="Tahoma"/>
          <w:sz w:val="14"/>
          <w:szCs w:val="14"/>
          <w:rtl/>
          <w:lang w:bidi="ar-SA"/>
        </w:rPr>
        <w:t xml:space="preserve">ملفّ إجرام خطير (حيفا) </w:t>
      </w:r>
      <w:r w:rsidRPr="00FF06EE">
        <w:rPr>
          <w:rFonts w:ascii="Tahoma" w:hAnsi="Tahoma" w:cs="Tahoma"/>
          <w:sz w:val="14"/>
          <w:szCs w:val="14"/>
          <w:rtl/>
        </w:rPr>
        <w:t>8398-05-12</w:t>
      </w:r>
      <w:r w:rsidRPr="00FF06EE">
        <w:rPr>
          <w:rFonts w:ascii="Tahoma" w:hAnsi="Tahoma" w:cs="Tahoma"/>
          <w:sz w:val="14"/>
          <w:szCs w:val="14"/>
          <w:rtl/>
          <w:lang w:bidi="ar-SA"/>
        </w:rPr>
        <w:t xml:space="preserve"> دولة إسرائيل ضدّ ن. أبو مخ (نُشر في مستودع معلومات محوسب، </w:t>
      </w:r>
      <w:r w:rsidRPr="00FF06EE">
        <w:rPr>
          <w:rFonts w:ascii="Tahoma" w:hAnsi="Tahoma" w:cs="Tahoma"/>
          <w:sz w:val="14"/>
          <w:szCs w:val="14"/>
          <w:rtl/>
        </w:rPr>
        <w:t>17.9.13</w:t>
      </w:r>
      <w:r w:rsidRPr="00FF06EE">
        <w:rPr>
          <w:rFonts w:ascii="Tahoma" w:hAnsi="Tahoma" w:cs="Tahoma"/>
          <w:sz w:val="14"/>
          <w:szCs w:val="14"/>
          <w:rtl/>
          <w:lang w:bidi="ar-SA"/>
        </w:rPr>
        <w:t xml:space="preserve">) والتوجيهات إلى قرارات الحكم الصادرة عن محكمة العدل العليا. انظروا أمورًا مشابهة في التماس </w:t>
      </w:r>
      <w:r w:rsidRPr="00FF06EE">
        <w:rPr>
          <w:rFonts w:ascii="Tahoma" w:hAnsi="Tahoma" w:cs="Tahoma"/>
          <w:sz w:val="14"/>
          <w:szCs w:val="14"/>
          <w:rtl/>
        </w:rPr>
        <w:t xml:space="preserve">6605/13 </w:t>
      </w:r>
      <w:r w:rsidRPr="00FF06EE">
        <w:rPr>
          <w:rFonts w:ascii="Tahoma" w:hAnsi="Tahoma" w:cs="Tahoma"/>
          <w:b/>
          <w:bCs/>
          <w:sz w:val="14"/>
          <w:szCs w:val="14"/>
          <w:rtl/>
          <w:lang w:bidi="ar-SA"/>
        </w:rPr>
        <w:t>دهامشة ضدّ رئيس لجنة الانتخابات المركزيّة</w:t>
      </w:r>
      <w:r w:rsidRPr="00FF06EE">
        <w:rPr>
          <w:rFonts w:ascii="Tahoma" w:hAnsi="Tahoma" w:cs="Tahoma"/>
          <w:b/>
          <w:bCs/>
          <w:sz w:val="14"/>
          <w:szCs w:val="14"/>
          <w:rtl/>
        </w:rPr>
        <w:t xml:space="preserve"> </w:t>
      </w:r>
      <w:r w:rsidRPr="00FF06EE">
        <w:rPr>
          <w:rFonts w:ascii="Tahoma" w:hAnsi="Tahoma" w:cs="Tahoma"/>
          <w:sz w:val="14"/>
          <w:szCs w:val="14"/>
          <w:rtl/>
          <w:lang w:bidi="ar-SA"/>
        </w:rPr>
        <w:t xml:space="preserve">(نُشر في </w:t>
      </w:r>
      <w:r w:rsidR="000B4CE8">
        <w:rPr>
          <w:rFonts w:ascii="Tahoma" w:hAnsi="Tahoma" w:cs="Tahoma" w:hint="cs"/>
          <w:sz w:val="14"/>
          <w:szCs w:val="14"/>
          <w:rtl/>
          <w:lang w:bidi="ar-SA"/>
        </w:rPr>
        <w:t>مُجمّع</w:t>
      </w:r>
      <w:r w:rsidRPr="00FF06EE">
        <w:rPr>
          <w:rFonts w:ascii="Tahoma" w:hAnsi="Tahoma" w:cs="Tahoma"/>
          <w:sz w:val="14"/>
          <w:szCs w:val="14"/>
          <w:rtl/>
          <w:lang w:bidi="ar-SA"/>
        </w:rPr>
        <w:t xml:space="preserve"> معلومات محوسب، </w:t>
      </w:r>
      <w:r w:rsidRPr="00FF06EE">
        <w:rPr>
          <w:rFonts w:ascii="Tahoma" w:hAnsi="Tahoma" w:cs="Tahoma"/>
          <w:sz w:val="14"/>
          <w:szCs w:val="14"/>
          <w:rtl/>
        </w:rPr>
        <w:t xml:space="preserve">14.10.13).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7C17" w:rsidRPr="000536D4" w:rsidP="00C9070C">
    <w:pPr>
      <w:spacing w:before="240" w:after="180" w:line="240" w:lineRule="auto"/>
      <w:rPr>
        <w:b/>
        <w:bCs/>
      </w:rPr>
    </w:pPr>
    <w:r>
      <w:rPr>
        <w:rFonts w:hint="eastAsia"/>
        <w:b/>
        <w:bCs/>
        <w:noProof/>
        <w:rtl/>
      </w:rPr>
      <mc:AlternateContent>
        <mc:Choice Requires="wps">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7560000" cy="9720000"/>
              <wp:effectExtent l="0" t="0" r="22225" b="1460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3120" fillcolor="#fef7ea" strokecolor="white" strokeweight="1.5pt">
              <v:stroke endcap="round"/>
            </v:rect>
          </w:pict>
        </mc:Fallback>
      </mc:AlternateContent>
    </w:r>
    <w:r>
      <w:rPr>
        <w:rFonts w:ascii="Arial Bold" w:hAnsi="Arial Bold" w:eastAsiaTheme="majorEastAsia" w:cs="Tahoma" w:hint="cs"/>
        <w:noProof/>
        <w:color w:val="0B5294" w:themeColor="accent1" w:themeShade="BF"/>
        <w:sz w:val="16"/>
        <w:szCs w:val="16"/>
        <w:rtl/>
      </w:rPr>
      <w:t>דוח 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7C17" w:rsidRPr="00D70CA7" w:rsidP="00C9070C">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C9070C">
      <w:rPr>
        <w:rFonts w:ascii="Arial Bold" w:hAnsi="Arial Bold" w:eastAsiaTheme="majorEastAsia" w:cs="Tahoma" w:hint="eastAsia"/>
        <w:noProof/>
        <w:color w:val="0B5294" w:themeColor="accent1" w:themeShade="BF"/>
        <w:sz w:val="16"/>
        <w:szCs w:val="16"/>
        <w:rtl/>
      </w:rPr>
      <w:t>התמודדות</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משטרת</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ישראל</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עם</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החזקת</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אמצעי</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לחימה</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לא</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חוקיים</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ואירועי</w:t>
    </w:r>
    <w:r w:rsidRPr="00C9070C">
      <w:rPr>
        <w:rFonts w:ascii="Arial Bold" w:hAnsi="Arial Bold" w:eastAsiaTheme="majorEastAsia" w:cs="Tahoma"/>
        <w:noProof/>
        <w:color w:val="0B5294" w:themeColor="accent1" w:themeShade="BF"/>
        <w:sz w:val="16"/>
        <w:szCs w:val="16"/>
        <w:rtl/>
      </w:rPr>
      <w:t xml:space="preserve"> </w:t>
    </w:r>
    <w:r w:rsidRPr="00C9070C">
      <w:rPr>
        <w:rFonts w:ascii="Arial Bold" w:hAnsi="Arial Bold" w:eastAsiaTheme="majorEastAsia" w:cs="Tahoma" w:hint="eastAsia"/>
        <w:noProof/>
        <w:color w:val="0B5294" w:themeColor="accent1" w:themeShade="BF"/>
        <w:sz w:val="16"/>
        <w:szCs w:val="16"/>
        <w:rtl/>
      </w:rPr>
      <w:t>ירי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7C17">
    <w:pPr>
      <w:pStyle w:val="Header"/>
    </w:pPr>
    <w:r>
      <w:rPr>
        <w:rFonts w:hint="eastAsia"/>
        <w:b/>
        <w:bCs/>
        <w:noProof/>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2051"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397"/>
  <w:evenAndOddHeaders/>
  <w:characterSpacingControl w:val="doNotCompress"/>
  <w:footnotePr>
    <w:footnote w:id="0"/>
    <w:footnote w:id="1"/>
    <w:footnote w:id="2"/>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4772E"/>
    <w:rsid w:val="000504A0"/>
    <w:rsid w:val="00051008"/>
    <w:rsid w:val="000523CB"/>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2FBD"/>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CE8"/>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C7E9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E"/>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213"/>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17"/>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3230"/>
    <w:rsid w:val="001856B7"/>
    <w:rsid w:val="0018650A"/>
    <w:rsid w:val="001866EE"/>
    <w:rsid w:val="00186FA6"/>
    <w:rsid w:val="0018762D"/>
    <w:rsid w:val="001877CA"/>
    <w:rsid w:val="00187F01"/>
    <w:rsid w:val="0019127D"/>
    <w:rsid w:val="001927CC"/>
    <w:rsid w:val="00192DC4"/>
    <w:rsid w:val="001933DD"/>
    <w:rsid w:val="0019373E"/>
    <w:rsid w:val="00193C51"/>
    <w:rsid w:val="00194AD1"/>
    <w:rsid w:val="00194FE0"/>
    <w:rsid w:val="00196762"/>
    <w:rsid w:val="00196B27"/>
    <w:rsid w:val="00196D01"/>
    <w:rsid w:val="001971C1"/>
    <w:rsid w:val="001A06FA"/>
    <w:rsid w:val="001A07B8"/>
    <w:rsid w:val="001A14B8"/>
    <w:rsid w:val="001A1832"/>
    <w:rsid w:val="001A1A35"/>
    <w:rsid w:val="001A1D8E"/>
    <w:rsid w:val="001A214C"/>
    <w:rsid w:val="001A2E4B"/>
    <w:rsid w:val="001A2F80"/>
    <w:rsid w:val="001A39E5"/>
    <w:rsid w:val="001A3DA4"/>
    <w:rsid w:val="001A417A"/>
    <w:rsid w:val="001A551B"/>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2E4"/>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6427"/>
    <w:rsid w:val="00206924"/>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14"/>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01E3"/>
    <w:rsid w:val="002511A2"/>
    <w:rsid w:val="002518DB"/>
    <w:rsid w:val="002530C2"/>
    <w:rsid w:val="00255959"/>
    <w:rsid w:val="00255CC3"/>
    <w:rsid w:val="00260172"/>
    <w:rsid w:val="002630E9"/>
    <w:rsid w:val="002634FC"/>
    <w:rsid w:val="00264588"/>
    <w:rsid w:val="002647FF"/>
    <w:rsid w:val="00264915"/>
    <w:rsid w:val="002649D5"/>
    <w:rsid w:val="00265813"/>
    <w:rsid w:val="002665EC"/>
    <w:rsid w:val="00266740"/>
    <w:rsid w:val="0026692E"/>
    <w:rsid w:val="0027002F"/>
    <w:rsid w:val="00270AD8"/>
    <w:rsid w:val="002712C2"/>
    <w:rsid w:val="002714ED"/>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37E"/>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4DCF"/>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C73C3"/>
    <w:rsid w:val="002D1462"/>
    <w:rsid w:val="002D1F63"/>
    <w:rsid w:val="002D2002"/>
    <w:rsid w:val="002D238D"/>
    <w:rsid w:val="002D239D"/>
    <w:rsid w:val="002D23D1"/>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36F7"/>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5"/>
    <w:rsid w:val="00330697"/>
    <w:rsid w:val="0033100C"/>
    <w:rsid w:val="00331522"/>
    <w:rsid w:val="00331A56"/>
    <w:rsid w:val="00331DAB"/>
    <w:rsid w:val="00333FB0"/>
    <w:rsid w:val="00334BBC"/>
    <w:rsid w:val="00335960"/>
    <w:rsid w:val="00335F65"/>
    <w:rsid w:val="00336A22"/>
    <w:rsid w:val="00336A9C"/>
    <w:rsid w:val="00337F70"/>
    <w:rsid w:val="003416E1"/>
    <w:rsid w:val="00341EDA"/>
    <w:rsid w:val="00342E41"/>
    <w:rsid w:val="00342F9F"/>
    <w:rsid w:val="003437E8"/>
    <w:rsid w:val="00344900"/>
    <w:rsid w:val="00345A36"/>
    <w:rsid w:val="003466C7"/>
    <w:rsid w:val="00346DF9"/>
    <w:rsid w:val="003504AD"/>
    <w:rsid w:val="00351463"/>
    <w:rsid w:val="00352F48"/>
    <w:rsid w:val="00353183"/>
    <w:rsid w:val="00353326"/>
    <w:rsid w:val="0035361A"/>
    <w:rsid w:val="00353A3A"/>
    <w:rsid w:val="003541A3"/>
    <w:rsid w:val="0035442A"/>
    <w:rsid w:val="00354900"/>
    <w:rsid w:val="00357D06"/>
    <w:rsid w:val="003609E2"/>
    <w:rsid w:val="00361B78"/>
    <w:rsid w:val="00361CD3"/>
    <w:rsid w:val="0036393B"/>
    <w:rsid w:val="00363C9F"/>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A7D2A"/>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3B6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965"/>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71"/>
    <w:rsid w:val="004505D6"/>
    <w:rsid w:val="0045141B"/>
    <w:rsid w:val="00451F72"/>
    <w:rsid w:val="00451F8B"/>
    <w:rsid w:val="004535E7"/>
    <w:rsid w:val="004557A8"/>
    <w:rsid w:val="00456430"/>
    <w:rsid w:val="004564D4"/>
    <w:rsid w:val="0045656B"/>
    <w:rsid w:val="0045684E"/>
    <w:rsid w:val="00456CEF"/>
    <w:rsid w:val="004604AD"/>
    <w:rsid w:val="00460993"/>
    <w:rsid w:val="004618B5"/>
    <w:rsid w:val="00461FDC"/>
    <w:rsid w:val="00462875"/>
    <w:rsid w:val="004638C4"/>
    <w:rsid w:val="00464628"/>
    <w:rsid w:val="004649FA"/>
    <w:rsid w:val="004660F8"/>
    <w:rsid w:val="0046631D"/>
    <w:rsid w:val="0046700E"/>
    <w:rsid w:val="004677B5"/>
    <w:rsid w:val="00467F06"/>
    <w:rsid w:val="0047067D"/>
    <w:rsid w:val="00470F05"/>
    <w:rsid w:val="00472462"/>
    <w:rsid w:val="00472670"/>
    <w:rsid w:val="00472C02"/>
    <w:rsid w:val="00472DBD"/>
    <w:rsid w:val="00473314"/>
    <w:rsid w:val="0047349A"/>
    <w:rsid w:val="004739CF"/>
    <w:rsid w:val="00473C08"/>
    <w:rsid w:val="00475484"/>
    <w:rsid w:val="00475740"/>
    <w:rsid w:val="0047668E"/>
    <w:rsid w:val="004768DA"/>
    <w:rsid w:val="00477667"/>
    <w:rsid w:val="004800D1"/>
    <w:rsid w:val="0048083D"/>
    <w:rsid w:val="00480E15"/>
    <w:rsid w:val="00480F04"/>
    <w:rsid w:val="004813E6"/>
    <w:rsid w:val="0048191F"/>
    <w:rsid w:val="00483033"/>
    <w:rsid w:val="0048341F"/>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81A"/>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C73"/>
    <w:rsid w:val="00511771"/>
    <w:rsid w:val="00511D75"/>
    <w:rsid w:val="00512355"/>
    <w:rsid w:val="005124C7"/>
    <w:rsid w:val="00512C90"/>
    <w:rsid w:val="00512CF1"/>
    <w:rsid w:val="00513862"/>
    <w:rsid w:val="00513FBC"/>
    <w:rsid w:val="00514E43"/>
    <w:rsid w:val="00515123"/>
    <w:rsid w:val="0051556D"/>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1F00"/>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8B5"/>
    <w:rsid w:val="00575AD1"/>
    <w:rsid w:val="005765C7"/>
    <w:rsid w:val="00576828"/>
    <w:rsid w:val="00577182"/>
    <w:rsid w:val="0057796D"/>
    <w:rsid w:val="00580C39"/>
    <w:rsid w:val="005818ED"/>
    <w:rsid w:val="00582EEE"/>
    <w:rsid w:val="00584F72"/>
    <w:rsid w:val="0058546D"/>
    <w:rsid w:val="0058562D"/>
    <w:rsid w:val="00586C76"/>
    <w:rsid w:val="0059097C"/>
    <w:rsid w:val="00590AF8"/>
    <w:rsid w:val="0059131B"/>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851"/>
    <w:rsid w:val="005A4DBF"/>
    <w:rsid w:val="005B0219"/>
    <w:rsid w:val="005B07DE"/>
    <w:rsid w:val="005B0DFE"/>
    <w:rsid w:val="005B12E9"/>
    <w:rsid w:val="005B1713"/>
    <w:rsid w:val="005B2281"/>
    <w:rsid w:val="005B2537"/>
    <w:rsid w:val="005B3251"/>
    <w:rsid w:val="005B3350"/>
    <w:rsid w:val="005B426A"/>
    <w:rsid w:val="005B463B"/>
    <w:rsid w:val="005B515A"/>
    <w:rsid w:val="005B5C18"/>
    <w:rsid w:val="005B5C8A"/>
    <w:rsid w:val="005B622B"/>
    <w:rsid w:val="005B6767"/>
    <w:rsid w:val="005B7EBA"/>
    <w:rsid w:val="005C0B09"/>
    <w:rsid w:val="005C0F41"/>
    <w:rsid w:val="005C2CE8"/>
    <w:rsid w:val="005C487E"/>
    <w:rsid w:val="005C593E"/>
    <w:rsid w:val="005C7407"/>
    <w:rsid w:val="005C76A4"/>
    <w:rsid w:val="005D0510"/>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2A56"/>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30F"/>
    <w:rsid w:val="005F3BAC"/>
    <w:rsid w:val="005F4396"/>
    <w:rsid w:val="005F4618"/>
    <w:rsid w:val="005F5874"/>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3F6E"/>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3266"/>
    <w:rsid w:val="0064502B"/>
    <w:rsid w:val="006453AA"/>
    <w:rsid w:val="00646CF4"/>
    <w:rsid w:val="006474EC"/>
    <w:rsid w:val="00650187"/>
    <w:rsid w:val="0065147A"/>
    <w:rsid w:val="00651AFD"/>
    <w:rsid w:val="00652312"/>
    <w:rsid w:val="00652A0E"/>
    <w:rsid w:val="00652ADF"/>
    <w:rsid w:val="006554D5"/>
    <w:rsid w:val="00655A3C"/>
    <w:rsid w:val="00655C9A"/>
    <w:rsid w:val="006562BE"/>
    <w:rsid w:val="00656936"/>
    <w:rsid w:val="00656CB7"/>
    <w:rsid w:val="00656EF1"/>
    <w:rsid w:val="006571FD"/>
    <w:rsid w:val="006600F0"/>
    <w:rsid w:val="00660683"/>
    <w:rsid w:val="00661364"/>
    <w:rsid w:val="006620DC"/>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87C17"/>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CF0"/>
    <w:rsid w:val="006C3E19"/>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2D37"/>
    <w:rsid w:val="00763840"/>
    <w:rsid w:val="00763FE4"/>
    <w:rsid w:val="0076417E"/>
    <w:rsid w:val="00764C43"/>
    <w:rsid w:val="00765FE4"/>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44E"/>
    <w:rsid w:val="00793681"/>
    <w:rsid w:val="00796B9C"/>
    <w:rsid w:val="00796C2E"/>
    <w:rsid w:val="007A071F"/>
    <w:rsid w:val="007A2601"/>
    <w:rsid w:val="007A6F7E"/>
    <w:rsid w:val="007A73F1"/>
    <w:rsid w:val="007A76BA"/>
    <w:rsid w:val="007B1194"/>
    <w:rsid w:val="007B1532"/>
    <w:rsid w:val="007B24B1"/>
    <w:rsid w:val="007B2A3E"/>
    <w:rsid w:val="007B3B7D"/>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291E"/>
    <w:rsid w:val="007E38A7"/>
    <w:rsid w:val="007E3AA5"/>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2DAC"/>
    <w:rsid w:val="00822E5A"/>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3E15"/>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256F"/>
    <w:rsid w:val="008B2C10"/>
    <w:rsid w:val="008B3389"/>
    <w:rsid w:val="008B3F9B"/>
    <w:rsid w:val="008B5613"/>
    <w:rsid w:val="008B5617"/>
    <w:rsid w:val="008B57E5"/>
    <w:rsid w:val="008B59DF"/>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8A5"/>
    <w:rsid w:val="00922D49"/>
    <w:rsid w:val="00922E7F"/>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59C0"/>
    <w:rsid w:val="00946587"/>
    <w:rsid w:val="0094720D"/>
    <w:rsid w:val="0094772D"/>
    <w:rsid w:val="009511E5"/>
    <w:rsid w:val="0095149D"/>
    <w:rsid w:val="009521C1"/>
    <w:rsid w:val="00952A15"/>
    <w:rsid w:val="009534C9"/>
    <w:rsid w:val="00953EF6"/>
    <w:rsid w:val="0095402B"/>
    <w:rsid w:val="00955290"/>
    <w:rsid w:val="00955EBD"/>
    <w:rsid w:val="009568B5"/>
    <w:rsid w:val="00960C7F"/>
    <w:rsid w:val="00962F77"/>
    <w:rsid w:val="00963193"/>
    <w:rsid w:val="00964AA4"/>
    <w:rsid w:val="00964B5B"/>
    <w:rsid w:val="00964DE9"/>
    <w:rsid w:val="00965598"/>
    <w:rsid w:val="009665B5"/>
    <w:rsid w:val="0096660F"/>
    <w:rsid w:val="009677C7"/>
    <w:rsid w:val="009712EA"/>
    <w:rsid w:val="00972642"/>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936"/>
    <w:rsid w:val="009C7B49"/>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36B4"/>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4C4"/>
    <w:rsid w:val="00A02A8E"/>
    <w:rsid w:val="00A02BE8"/>
    <w:rsid w:val="00A0304E"/>
    <w:rsid w:val="00A0323A"/>
    <w:rsid w:val="00A04E41"/>
    <w:rsid w:val="00A05E5D"/>
    <w:rsid w:val="00A069A8"/>
    <w:rsid w:val="00A079A4"/>
    <w:rsid w:val="00A1046C"/>
    <w:rsid w:val="00A10996"/>
    <w:rsid w:val="00A123E9"/>
    <w:rsid w:val="00A12A8C"/>
    <w:rsid w:val="00A12D45"/>
    <w:rsid w:val="00A134DC"/>
    <w:rsid w:val="00A137EE"/>
    <w:rsid w:val="00A15114"/>
    <w:rsid w:val="00A151A7"/>
    <w:rsid w:val="00A15EAB"/>
    <w:rsid w:val="00A1667B"/>
    <w:rsid w:val="00A16854"/>
    <w:rsid w:val="00A16A80"/>
    <w:rsid w:val="00A16D1A"/>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13E5"/>
    <w:rsid w:val="00A6310F"/>
    <w:rsid w:val="00A63741"/>
    <w:rsid w:val="00A63E2A"/>
    <w:rsid w:val="00A6494D"/>
    <w:rsid w:val="00A64AFA"/>
    <w:rsid w:val="00A64BC4"/>
    <w:rsid w:val="00A64E0C"/>
    <w:rsid w:val="00A65B5B"/>
    <w:rsid w:val="00A65E42"/>
    <w:rsid w:val="00A66E3D"/>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6EAA"/>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50F"/>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65C"/>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2A38"/>
    <w:rsid w:val="00B85616"/>
    <w:rsid w:val="00B90C3E"/>
    <w:rsid w:val="00B914C7"/>
    <w:rsid w:val="00B9160E"/>
    <w:rsid w:val="00B9248D"/>
    <w:rsid w:val="00B92AC7"/>
    <w:rsid w:val="00B95615"/>
    <w:rsid w:val="00B96064"/>
    <w:rsid w:val="00B9623A"/>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3302"/>
    <w:rsid w:val="00BC4504"/>
    <w:rsid w:val="00BC54FE"/>
    <w:rsid w:val="00BC6C3B"/>
    <w:rsid w:val="00BC6F81"/>
    <w:rsid w:val="00BD0182"/>
    <w:rsid w:val="00BD01FC"/>
    <w:rsid w:val="00BD0C09"/>
    <w:rsid w:val="00BD1505"/>
    <w:rsid w:val="00BD178B"/>
    <w:rsid w:val="00BD2878"/>
    <w:rsid w:val="00BD296C"/>
    <w:rsid w:val="00BD2B58"/>
    <w:rsid w:val="00BD38C5"/>
    <w:rsid w:val="00BD3B30"/>
    <w:rsid w:val="00BD675C"/>
    <w:rsid w:val="00BD6C42"/>
    <w:rsid w:val="00BD71E6"/>
    <w:rsid w:val="00BE029F"/>
    <w:rsid w:val="00BE03E9"/>
    <w:rsid w:val="00BE0988"/>
    <w:rsid w:val="00BE37E0"/>
    <w:rsid w:val="00BE4965"/>
    <w:rsid w:val="00BE531E"/>
    <w:rsid w:val="00BE5EA7"/>
    <w:rsid w:val="00BE630D"/>
    <w:rsid w:val="00BE7384"/>
    <w:rsid w:val="00BF044F"/>
    <w:rsid w:val="00BF1F74"/>
    <w:rsid w:val="00BF3CC5"/>
    <w:rsid w:val="00BF42A4"/>
    <w:rsid w:val="00BF6CCE"/>
    <w:rsid w:val="00BF7116"/>
    <w:rsid w:val="00BF7AA1"/>
    <w:rsid w:val="00BF7EF8"/>
    <w:rsid w:val="00C00A84"/>
    <w:rsid w:val="00C010F3"/>
    <w:rsid w:val="00C01558"/>
    <w:rsid w:val="00C01C0D"/>
    <w:rsid w:val="00C02754"/>
    <w:rsid w:val="00C03083"/>
    <w:rsid w:val="00C03C73"/>
    <w:rsid w:val="00C040D9"/>
    <w:rsid w:val="00C04386"/>
    <w:rsid w:val="00C04A0A"/>
    <w:rsid w:val="00C05394"/>
    <w:rsid w:val="00C06339"/>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2611D"/>
    <w:rsid w:val="00C3070D"/>
    <w:rsid w:val="00C308C8"/>
    <w:rsid w:val="00C31D0F"/>
    <w:rsid w:val="00C320E7"/>
    <w:rsid w:val="00C3450D"/>
    <w:rsid w:val="00C353BF"/>
    <w:rsid w:val="00C35EE4"/>
    <w:rsid w:val="00C4085B"/>
    <w:rsid w:val="00C409CD"/>
    <w:rsid w:val="00C41220"/>
    <w:rsid w:val="00C41706"/>
    <w:rsid w:val="00C43668"/>
    <w:rsid w:val="00C43CDD"/>
    <w:rsid w:val="00C443B1"/>
    <w:rsid w:val="00C45621"/>
    <w:rsid w:val="00C4624B"/>
    <w:rsid w:val="00C46382"/>
    <w:rsid w:val="00C46854"/>
    <w:rsid w:val="00C47C77"/>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46C1"/>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70C"/>
    <w:rsid w:val="00C90B47"/>
    <w:rsid w:val="00C90BC0"/>
    <w:rsid w:val="00C9124C"/>
    <w:rsid w:val="00C92423"/>
    <w:rsid w:val="00C95789"/>
    <w:rsid w:val="00C95D08"/>
    <w:rsid w:val="00C96091"/>
    <w:rsid w:val="00C969A5"/>
    <w:rsid w:val="00C96B43"/>
    <w:rsid w:val="00C97EE5"/>
    <w:rsid w:val="00CA02EF"/>
    <w:rsid w:val="00CA07ED"/>
    <w:rsid w:val="00CA1595"/>
    <w:rsid w:val="00CA1A7A"/>
    <w:rsid w:val="00CA1C4B"/>
    <w:rsid w:val="00CA2809"/>
    <w:rsid w:val="00CA39BF"/>
    <w:rsid w:val="00CA4073"/>
    <w:rsid w:val="00CA43A3"/>
    <w:rsid w:val="00CA44DA"/>
    <w:rsid w:val="00CA4558"/>
    <w:rsid w:val="00CA47FD"/>
    <w:rsid w:val="00CA4E2D"/>
    <w:rsid w:val="00CA53C5"/>
    <w:rsid w:val="00CA54D1"/>
    <w:rsid w:val="00CA761A"/>
    <w:rsid w:val="00CA77B7"/>
    <w:rsid w:val="00CB13D3"/>
    <w:rsid w:val="00CB1E24"/>
    <w:rsid w:val="00CB2283"/>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79E"/>
    <w:rsid w:val="00CC6E6D"/>
    <w:rsid w:val="00CC710B"/>
    <w:rsid w:val="00CC758B"/>
    <w:rsid w:val="00CC7E84"/>
    <w:rsid w:val="00CD133E"/>
    <w:rsid w:val="00CD14D9"/>
    <w:rsid w:val="00CD1B85"/>
    <w:rsid w:val="00CD2727"/>
    <w:rsid w:val="00CD293F"/>
    <w:rsid w:val="00CD3559"/>
    <w:rsid w:val="00CD3FC9"/>
    <w:rsid w:val="00CD5494"/>
    <w:rsid w:val="00CD5C96"/>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2FED"/>
    <w:rsid w:val="00D03561"/>
    <w:rsid w:val="00D03764"/>
    <w:rsid w:val="00D03998"/>
    <w:rsid w:val="00D0513D"/>
    <w:rsid w:val="00D074AE"/>
    <w:rsid w:val="00D0792B"/>
    <w:rsid w:val="00D10410"/>
    <w:rsid w:val="00D10817"/>
    <w:rsid w:val="00D114FE"/>
    <w:rsid w:val="00D11AF0"/>
    <w:rsid w:val="00D13696"/>
    <w:rsid w:val="00D13727"/>
    <w:rsid w:val="00D1425A"/>
    <w:rsid w:val="00D15224"/>
    <w:rsid w:val="00D1549F"/>
    <w:rsid w:val="00D17D22"/>
    <w:rsid w:val="00D21745"/>
    <w:rsid w:val="00D227D7"/>
    <w:rsid w:val="00D228C5"/>
    <w:rsid w:val="00D228EE"/>
    <w:rsid w:val="00D2438E"/>
    <w:rsid w:val="00D255A3"/>
    <w:rsid w:val="00D25F82"/>
    <w:rsid w:val="00D27368"/>
    <w:rsid w:val="00D3198F"/>
    <w:rsid w:val="00D31CB3"/>
    <w:rsid w:val="00D33D8A"/>
    <w:rsid w:val="00D34087"/>
    <w:rsid w:val="00D343EC"/>
    <w:rsid w:val="00D373E5"/>
    <w:rsid w:val="00D37527"/>
    <w:rsid w:val="00D3772C"/>
    <w:rsid w:val="00D40268"/>
    <w:rsid w:val="00D40382"/>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6975"/>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2FC0"/>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DD9"/>
    <w:rsid w:val="00DC60D5"/>
    <w:rsid w:val="00DC7FAB"/>
    <w:rsid w:val="00DD0BE7"/>
    <w:rsid w:val="00DD1477"/>
    <w:rsid w:val="00DD29E9"/>
    <w:rsid w:val="00DD3164"/>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47C7"/>
    <w:rsid w:val="00E46189"/>
    <w:rsid w:val="00E46878"/>
    <w:rsid w:val="00E46C28"/>
    <w:rsid w:val="00E47FD3"/>
    <w:rsid w:val="00E50BA5"/>
    <w:rsid w:val="00E5254D"/>
    <w:rsid w:val="00E5284F"/>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06CC"/>
    <w:rsid w:val="00E81429"/>
    <w:rsid w:val="00E81824"/>
    <w:rsid w:val="00E8357C"/>
    <w:rsid w:val="00E83B42"/>
    <w:rsid w:val="00E87438"/>
    <w:rsid w:val="00E901AF"/>
    <w:rsid w:val="00E90BF4"/>
    <w:rsid w:val="00E91008"/>
    <w:rsid w:val="00E91741"/>
    <w:rsid w:val="00E91833"/>
    <w:rsid w:val="00E92409"/>
    <w:rsid w:val="00E936A6"/>
    <w:rsid w:val="00E96931"/>
    <w:rsid w:val="00E97C36"/>
    <w:rsid w:val="00EA0079"/>
    <w:rsid w:val="00EA0837"/>
    <w:rsid w:val="00EA16CA"/>
    <w:rsid w:val="00EA247D"/>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72D"/>
    <w:rsid w:val="00EB3BB1"/>
    <w:rsid w:val="00EB4916"/>
    <w:rsid w:val="00EB4C23"/>
    <w:rsid w:val="00EB50A0"/>
    <w:rsid w:val="00EB52FE"/>
    <w:rsid w:val="00EB568A"/>
    <w:rsid w:val="00EB57A3"/>
    <w:rsid w:val="00EB5E88"/>
    <w:rsid w:val="00EB6CAF"/>
    <w:rsid w:val="00EB7BDE"/>
    <w:rsid w:val="00EC106E"/>
    <w:rsid w:val="00EC1A37"/>
    <w:rsid w:val="00EC38E4"/>
    <w:rsid w:val="00EC4B5F"/>
    <w:rsid w:val="00EC6320"/>
    <w:rsid w:val="00EC6340"/>
    <w:rsid w:val="00EC6FC1"/>
    <w:rsid w:val="00ED00B0"/>
    <w:rsid w:val="00ED01F1"/>
    <w:rsid w:val="00ED0E81"/>
    <w:rsid w:val="00ED1385"/>
    <w:rsid w:val="00ED15C2"/>
    <w:rsid w:val="00ED347F"/>
    <w:rsid w:val="00ED37A2"/>
    <w:rsid w:val="00ED491A"/>
    <w:rsid w:val="00ED4BB5"/>
    <w:rsid w:val="00ED5E40"/>
    <w:rsid w:val="00ED6E15"/>
    <w:rsid w:val="00EE04E7"/>
    <w:rsid w:val="00EE083D"/>
    <w:rsid w:val="00EE0DB2"/>
    <w:rsid w:val="00EE0E9A"/>
    <w:rsid w:val="00EE12A7"/>
    <w:rsid w:val="00EE15B2"/>
    <w:rsid w:val="00EE2409"/>
    <w:rsid w:val="00EE3042"/>
    <w:rsid w:val="00EE30FD"/>
    <w:rsid w:val="00EE3C5A"/>
    <w:rsid w:val="00EE4547"/>
    <w:rsid w:val="00EE45A6"/>
    <w:rsid w:val="00EE4822"/>
    <w:rsid w:val="00EE4D72"/>
    <w:rsid w:val="00EE5292"/>
    <w:rsid w:val="00EE658F"/>
    <w:rsid w:val="00EE6649"/>
    <w:rsid w:val="00EE6B18"/>
    <w:rsid w:val="00EE758A"/>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8E2"/>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742"/>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634"/>
    <w:rsid w:val="00FA783C"/>
    <w:rsid w:val="00FB0A48"/>
    <w:rsid w:val="00FB0EF2"/>
    <w:rsid w:val="00FB0F14"/>
    <w:rsid w:val="00FB1367"/>
    <w:rsid w:val="00FB1DA9"/>
    <w:rsid w:val="00FB301D"/>
    <w:rsid w:val="00FB3070"/>
    <w:rsid w:val="00FB34C4"/>
    <w:rsid w:val="00FB3B5A"/>
    <w:rsid w:val="00FB4643"/>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2B22"/>
    <w:rsid w:val="00FD32D1"/>
    <w:rsid w:val="00FD3AAE"/>
    <w:rsid w:val="00FD3F95"/>
    <w:rsid w:val="00FD4271"/>
    <w:rsid w:val="00FE1FB9"/>
    <w:rsid w:val="00FE2588"/>
    <w:rsid w:val="00FE28E3"/>
    <w:rsid w:val="00FE50EC"/>
    <w:rsid w:val="00FE5CC4"/>
    <w:rsid w:val="00FE6451"/>
    <w:rsid w:val="00FE6819"/>
    <w:rsid w:val="00FE745F"/>
    <w:rsid w:val="00FE761A"/>
    <w:rsid w:val="00FE7AF1"/>
    <w:rsid w:val="00FE7B7D"/>
    <w:rsid w:val="00FF06EE"/>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EFE4-9DE2-4F8C-871E-A1047524173C}"/>
</file>

<file path=customXml/itemProps2.xml><?xml version="1.0" encoding="utf-8"?>
<ds:datastoreItem xmlns:ds="http://schemas.openxmlformats.org/officeDocument/2006/customXml" ds:itemID="{A455C3CD-3AD8-419D-B02D-025587C26451}">
  <ds:schemaRefs/>
</ds:datastoreItem>
</file>

<file path=customXml/itemProps3.xml><?xml version="1.0" encoding="utf-8"?>
<ds:datastoreItem xmlns:ds="http://schemas.openxmlformats.org/officeDocument/2006/customXml" ds:itemID="{73416B36-DF6C-4C53-9F1D-7B374D61BBF9}">
  <ds:schemaRefs/>
</ds:datastoreItem>
</file>

<file path=customXml/itemProps4.xml><?xml version="1.0" encoding="utf-8"?>
<ds:datastoreItem xmlns:ds="http://schemas.openxmlformats.org/officeDocument/2006/customXml" ds:itemID="{2BA8E21A-1F70-4128-85DC-2E70B883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