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10996" w:rsidRPr="00170230" w:rsidP="00C9070C">
      <w:pPr>
        <w:tabs>
          <w:tab w:val="left" w:pos="340"/>
        </w:tabs>
        <w:spacing w:line="264" w:lineRule="exact"/>
        <w:ind w:left="3969"/>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r w:rsidRPr="00170230">
        <w:rPr>
          <w:rFonts w:ascii="Tahoma" w:hAnsi="Tahoma" w:cs="Tahoma"/>
          <w:b/>
          <w:bCs/>
          <w:sz w:val="24"/>
          <w:szCs w:val="24"/>
          <w:rtl/>
        </w:rPr>
        <w:t>מבקר המדינה</w:t>
      </w:r>
    </w:p>
    <w:p w:rsidR="00BE4965" w:rsidP="00C9070C">
      <w:pPr>
        <w:tabs>
          <w:tab w:val="left" w:pos="340"/>
        </w:tabs>
        <w:spacing w:line="264" w:lineRule="exact"/>
        <w:ind w:left="3969"/>
        <w:rPr>
          <w:rFonts w:ascii="Tahoma" w:hAnsi="Tahoma" w:cs="Tahoma"/>
          <w:sz w:val="22"/>
          <w:szCs w:val="22"/>
          <w:rtl/>
        </w:rPr>
      </w:pPr>
      <w:r>
        <w:rPr>
          <w:rFonts w:ascii="Tahoma" w:hAnsi="Tahoma" w:cs="Tahoma" w:hint="cs"/>
          <w:sz w:val="22"/>
          <w:szCs w:val="22"/>
          <w:rtl/>
        </w:rPr>
        <w:t>דוח ביקורת מיוחד</w:t>
      </w:r>
    </w:p>
    <w:p w:rsidR="001A07B8" w:rsidP="00C9070C">
      <w:pPr>
        <w:tabs>
          <w:tab w:val="left" w:pos="340"/>
        </w:tabs>
        <w:spacing w:line="300" w:lineRule="exact"/>
        <w:ind w:left="3969"/>
        <w:rPr>
          <w:rFonts w:ascii="Tahoma" w:hAnsi="Tahoma" w:cs="Tahoma"/>
          <w:sz w:val="22"/>
          <w:szCs w:val="22"/>
          <w:rtl/>
        </w:rPr>
      </w:pPr>
      <w:r w:rsidRPr="00C9070C">
        <w:rPr>
          <w:rFonts w:ascii="Tahoma" w:hAnsi="Tahoma" w:cs="Tahoma" w:hint="eastAsia"/>
          <w:sz w:val="22"/>
          <w:szCs w:val="22"/>
          <w:rtl/>
        </w:rPr>
        <w:t>התמודדות</w:t>
      </w:r>
      <w:r w:rsidRPr="00C9070C">
        <w:rPr>
          <w:rFonts w:ascii="Tahoma" w:hAnsi="Tahoma" w:cs="Tahoma"/>
          <w:sz w:val="22"/>
          <w:szCs w:val="22"/>
          <w:rtl/>
        </w:rPr>
        <w:t xml:space="preserve"> </w:t>
      </w:r>
      <w:r w:rsidRPr="00C9070C">
        <w:rPr>
          <w:rFonts w:ascii="Tahoma" w:hAnsi="Tahoma" w:cs="Tahoma" w:hint="eastAsia"/>
          <w:sz w:val="22"/>
          <w:szCs w:val="22"/>
          <w:rtl/>
        </w:rPr>
        <w:t>משטרת</w:t>
      </w:r>
      <w:r w:rsidRPr="00C9070C">
        <w:rPr>
          <w:rFonts w:ascii="Tahoma" w:hAnsi="Tahoma" w:cs="Tahoma"/>
          <w:sz w:val="22"/>
          <w:szCs w:val="22"/>
          <w:rtl/>
        </w:rPr>
        <w:t xml:space="preserve"> </w:t>
      </w:r>
      <w:r w:rsidRPr="00C9070C">
        <w:rPr>
          <w:rFonts w:ascii="Tahoma" w:hAnsi="Tahoma" w:cs="Tahoma" w:hint="eastAsia"/>
          <w:sz w:val="22"/>
          <w:szCs w:val="22"/>
          <w:rtl/>
        </w:rPr>
        <w:t>ישראל</w:t>
      </w:r>
      <w:r w:rsidRPr="00C9070C">
        <w:rPr>
          <w:rFonts w:ascii="Tahoma" w:hAnsi="Tahoma" w:cs="Tahoma"/>
          <w:sz w:val="22"/>
          <w:szCs w:val="22"/>
          <w:rtl/>
        </w:rPr>
        <w:t xml:space="preserve"> </w:t>
      </w:r>
      <w:r w:rsidRPr="00C9070C">
        <w:rPr>
          <w:rFonts w:ascii="Tahoma" w:hAnsi="Tahoma" w:cs="Tahoma" w:hint="eastAsia"/>
          <w:sz w:val="22"/>
          <w:szCs w:val="22"/>
          <w:rtl/>
        </w:rPr>
        <w:t>עם</w:t>
      </w:r>
      <w:r w:rsidRPr="00C9070C">
        <w:rPr>
          <w:rFonts w:ascii="Tahoma" w:hAnsi="Tahoma" w:cs="Tahoma"/>
          <w:sz w:val="22"/>
          <w:szCs w:val="22"/>
          <w:rtl/>
        </w:rPr>
        <w:t xml:space="preserve"> </w:t>
      </w:r>
      <w:r w:rsidRPr="00C9070C">
        <w:rPr>
          <w:rFonts w:ascii="Tahoma" w:hAnsi="Tahoma" w:cs="Tahoma" w:hint="eastAsia"/>
          <w:sz w:val="22"/>
          <w:szCs w:val="22"/>
          <w:rtl/>
        </w:rPr>
        <w:t>החזקת</w:t>
      </w:r>
      <w:r w:rsidRPr="00C9070C">
        <w:rPr>
          <w:rFonts w:ascii="Tahoma" w:hAnsi="Tahoma" w:cs="Tahoma"/>
          <w:sz w:val="22"/>
          <w:szCs w:val="22"/>
          <w:rtl/>
        </w:rPr>
        <w:t xml:space="preserve"> </w:t>
      </w:r>
      <w:r w:rsidRPr="00C9070C">
        <w:rPr>
          <w:rFonts w:ascii="Tahoma" w:hAnsi="Tahoma" w:cs="Tahoma" w:hint="eastAsia"/>
          <w:sz w:val="22"/>
          <w:szCs w:val="22"/>
          <w:rtl/>
        </w:rPr>
        <w:t>אמצעי</w:t>
      </w:r>
      <w:r w:rsidRPr="00C9070C">
        <w:rPr>
          <w:rFonts w:ascii="Tahoma" w:hAnsi="Tahoma" w:cs="Tahoma"/>
          <w:sz w:val="22"/>
          <w:szCs w:val="22"/>
          <w:rtl/>
        </w:rPr>
        <w:t xml:space="preserve"> </w:t>
      </w:r>
      <w:r w:rsidRPr="00C9070C">
        <w:rPr>
          <w:rFonts w:ascii="Tahoma" w:hAnsi="Tahoma" w:cs="Tahoma" w:hint="eastAsia"/>
          <w:sz w:val="22"/>
          <w:szCs w:val="22"/>
          <w:rtl/>
        </w:rPr>
        <w:t>לחימה</w:t>
      </w:r>
      <w:r w:rsidRPr="00C9070C">
        <w:rPr>
          <w:rFonts w:ascii="Tahoma" w:hAnsi="Tahoma" w:cs="Tahoma"/>
          <w:sz w:val="22"/>
          <w:szCs w:val="22"/>
          <w:rtl/>
        </w:rPr>
        <w:t xml:space="preserve"> </w:t>
      </w:r>
      <w:r w:rsidRPr="00C9070C">
        <w:rPr>
          <w:rFonts w:ascii="Tahoma" w:hAnsi="Tahoma" w:cs="Tahoma" w:hint="eastAsia"/>
          <w:sz w:val="22"/>
          <w:szCs w:val="22"/>
          <w:rtl/>
        </w:rPr>
        <w:t>לא</w:t>
      </w:r>
      <w:r w:rsidRPr="00C9070C">
        <w:rPr>
          <w:rFonts w:ascii="Tahoma" w:hAnsi="Tahoma" w:cs="Tahoma"/>
          <w:sz w:val="22"/>
          <w:szCs w:val="22"/>
          <w:rtl/>
        </w:rPr>
        <w:t xml:space="preserve"> </w:t>
      </w:r>
      <w:r w:rsidRPr="00C9070C">
        <w:rPr>
          <w:rFonts w:ascii="Tahoma" w:hAnsi="Tahoma" w:cs="Tahoma" w:hint="eastAsia"/>
          <w:sz w:val="22"/>
          <w:szCs w:val="22"/>
          <w:rtl/>
        </w:rPr>
        <w:t>חוקיים</w:t>
      </w:r>
      <w:r w:rsidRPr="00C9070C">
        <w:rPr>
          <w:rFonts w:ascii="Tahoma" w:hAnsi="Tahoma" w:cs="Tahoma"/>
          <w:sz w:val="22"/>
          <w:szCs w:val="22"/>
          <w:rtl/>
        </w:rPr>
        <w:t xml:space="preserve"> </w:t>
      </w:r>
      <w:r w:rsidRPr="00C9070C">
        <w:rPr>
          <w:rFonts w:ascii="Tahoma" w:hAnsi="Tahoma" w:cs="Tahoma" w:hint="eastAsia"/>
          <w:sz w:val="22"/>
          <w:szCs w:val="22"/>
          <w:rtl/>
        </w:rPr>
        <w:t>ואירועי</w:t>
      </w:r>
      <w:r w:rsidRPr="00C9070C">
        <w:rPr>
          <w:rFonts w:ascii="Tahoma" w:hAnsi="Tahoma" w:cs="Tahoma"/>
          <w:sz w:val="22"/>
          <w:szCs w:val="22"/>
          <w:rtl/>
        </w:rPr>
        <w:t xml:space="preserve"> </w:t>
      </w:r>
      <w:r w:rsidRPr="00C9070C">
        <w:rPr>
          <w:rFonts w:ascii="Tahoma" w:hAnsi="Tahoma" w:cs="Tahoma" w:hint="eastAsia"/>
          <w:sz w:val="22"/>
          <w:szCs w:val="22"/>
          <w:rtl/>
        </w:rPr>
        <w:t>ירי</w:t>
      </w:r>
      <w:r w:rsidRPr="00C9070C">
        <w:rPr>
          <w:rFonts w:ascii="Tahoma" w:hAnsi="Tahoma" w:cs="Tahoma"/>
          <w:sz w:val="22"/>
          <w:szCs w:val="22"/>
          <w:rtl/>
        </w:rPr>
        <w:t xml:space="preserve"> </w:t>
      </w:r>
      <w:r w:rsidRPr="00C9070C">
        <w:rPr>
          <w:rFonts w:ascii="Tahoma" w:hAnsi="Tahoma" w:cs="Tahoma" w:hint="eastAsia"/>
          <w:sz w:val="22"/>
          <w:szCs w:val="22"/>
          <w:rtl/>
        </w:rPr>
        <w:t>ביישובי</w:t>
      </w:r>
      <w:r w:rsidRPr="00C9070C">
        <w:rPr>
          <w:rFonts w:ascii="Tahoma" w:hAnsi="Tahoma" w:cs="Tahoma"/>
          <w:sz w:val="22"/>
          <w:szCs w:val="22"/>
          <w:rtl/>
        </w:rPr>
        <w:t xml:space="preserve"> </w:t>
      </w:r>
      <w:r w:rsidRPr="00C9070C">
        <w:rPr>
          <w:rFonts w:ascii="Tahoma" w:hAnsi="Tahoma" w:cs="Tahoma" w:hint="eastAsia"/>
          <w:sz w:val="22"/>
          <w:szCs w:val="22"/>
          <w:rtl/>
        </w:rPr>
        <w:t>החברה</w:t>
      </w:r>
      <w:r w:rsidRPr="00C9070C">
        <w:rPr>
          <w:rFonts w:ascii="Tahoma" w:hAnsi="Tahoma" w:cs="Tahoma"/>
          <w:sz w:val="22"/>
          <w:szCs w:val="22"/>
          <w:rtl/>
        </w:rPr>
        <w:t xml:space="preserve"> </w:t>
      </w:r>
      <w:r w:rsidRPr="00C9070C">
        <w:rPr>
          <w:rFonts w:ascii="Tahoma" w:hAnsi="Tahoma" w:cs="Tahoma" w:hint="eastAsia"/>
          <w:sz w:val="22"/>
          <w:szCs w:val="22"/>
          <w:rtl/>
        </w:rPr>
        <w:t>הערבית</w:t>
      </w:r>
      <w:r w:rsidRPr="00C9070C">
        <w:rPr>
          <w:rFonts w:ascii="Tahoma" w:hAnsi="Tahoma" w:cs="Tahoma"/>
          <w:sz w:val="22"/>
          <w:szCs w:val="22"/>
          <w:rtl/>
        </w:rPr>
        <w:t xml:space="preserve"> </w:t>
      </w:r>
      <w:r w:rsidRPr="00C9070C">
        <w:rPr>
          <w:rFonts w:ascii="Tahoma" w:hAnsi="Tahoma" w:cs="Tahoma" w:hint="eastAsia"/>
          <w:sz w:val="22"/>
          <w:szCs w:val="22"/>
          <w:rtl/>
        </w:rPr>
        <w:t>וביישובים</w:t>
      </w:r>
      <w:r w:rsidRPr="00C9070C">
        <w:rPr>
          <w:rFonts w:ascii="Tahoma" w:hAnsi="Tahoma" w:cs="Tahoma"/>
          <w:sz w:val="22"/>
          <w:szCs w:val="22"/>
          <w:rtl/>
        </w:rPr>
        <w:t xml:space="preserve"> </w:t>
      </w:r>
      <w:r w:rsidRPr="00C9070C">
        <w:rPr>
          <w:rFonts w:ascii="Tahoma" w:hAnsi="Tahoma" w:cs="Tahoma" w:hint="eastAsia"/>
          <w:sz w:val="22"/>
          <w:szCs w:val="22"/>
          <w:rtl/>
        </w:rPr>
        <w:t>מעורבים</w:t>
      </w:r>
    </w:p>
    <w:p w:rsidR="00A10996">
      <w:pPr>
        <w:bidi w:val="0"/>
        <w:rPr>
          <w:w w:val="80"/>
        </w:rPr>
      </w:pPr>
      <w:r>
        <w:rPr>
          <w:w w:val="80"/>
        </w:rPr>
        <w:br w:type="page"/>
      </w:r>
    </w:p>
    <w:p w:rsidR="00A10996" w:rsidRPr="0097737E" w:rsidP="00E077B7">
      <w:pPr>
        <w:rPr>
          <w:w w:val="80"/>
          <w:rtl/>
        </w:rPr>
      </w:pPr>
    </w:p>
    <w:p w:rsidR="006C5F46" w:rsidP="00E077B7">
      <w:pPr>
        <w:rPr>
          <w:szCs w:val="22"/>
          <w:rtl/>
        </w:rPr>
        <w:sectPr w:rsidSect="003B4D44">
          <w:headerReference w:type="default" r:id="rId6"/>
          <w:pgSz w:w="11906" w:h="16838" w:code="9"/>
          <w:pgMar w:top="3402" w:right="1701" w:bottom="2835" w:left="1701" w:header="1559" w:footer="709" w:gutter="0"/>
          <w:cols w:space="708"/>
          <w:titlePg/>
          <w:bidi/>
          <w:rtlGutter/>
          <w:docGrid w:linePitch="360"/>
        </w:sectPr>
      </w:pPr>
    </w:p>
    <w:p w:rsidR="001E2CC9" w:rsidRPr="00170230" w:rsidP="00A10996">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12427" name="israel-blue.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A10996" w:rsidRPr="00A10996" w:rsidP="00A10996">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BE4965" w:rsidRPr="00814592" w:rsidP="00BE4965">
      <w:pPr>
        <w:spacing w:before="2040" w:after="0" w:line="240" w:lineRule="auto"/>
        <w:jc w:val="center"/>
        <w:rPr>
          <w:rFonts w:ascii="Tahoma" w:hAnsi="Tahoma" w:cs="Tahoma"/>
          <w:color w:val="2A2AA6"/>
          <w:sz w:val="32"/>
          <w:szCs w:val="32"/>
          <w:rtl/>
        </w:rPr>
      </w:pPr>
      <w:r w:rsidRPr="00814592">
        <w:rPr>
          <w:rFonts w:ascii="Tahoma" w:hAnsi="Tahoma" w:cs="Tahoma" w:hint="cs"/>
          <w:color w:val="2A2AA6"/>
          <w:sz w:val="32"/>
          <w:szCs w:val="32"/>
          <w:rtl/>
        </w:rPr>
        <w:t>דוח ביקורת מיוחד</w:t>
      </w:r>
    </w:p>
    <w:p w:rsidR="00A16D1A" w:rsidRPr="00BE4965" w:rsidP="00BE4965">
      <w:pPr>
        <w:pStyle w:val="tab-name"/>
        <w:spacing w:before="120" w:line="240" w:lineRule="atLeast"/>
        <w:jc w:val="center"/>
        <w:outlineLvl w:val="0"/>
        <w:rPr>
          <w:color w:val="2A2AA6"/>
          <w:sz w:val="52"/>
          <w:szCs w:val="52"/>
          <w:rtl/>
        </w:rPr>
      </w:pPr>
      <w:r w:rsidRPr="00C9070C">
        <w:rPr>
          <w:rFonts w:hint="eastAsia"/>
          <w:color w:val="2A2AA6"/>
          <w:sz w:val="52"/>
          <w:szCs w:val="52"/>
          <w:rtl/>
        </w:rPr>
        <w:t>התמודדות</w:t>
      </w:r>
      <w:r w:rsidRPr="00C9070C">
        <w:rPr>
          <w:color w:val="2A2AA6"/>
          <w:sz w:val="52"/>
          <w:szCs w:val="52"/>
          <w:rtl/>
        </w:rPr>
        <w:t xml:space="preserve"> </w:t>
      </w:r>
      <w:r w:rsidRPr="00C9070C">
        <w:rPr>
          <w:rFonts w:hint="eastAsia"/>
          <w:color w:val="2A2AA6"/>
          <w:sz w:val="52"/>
          <w:szCs w:val="52"/>
          <w:rtl/>
        </w:rPr>
        <w:t>משטרת</w:t>
      </w:r>
      <w:r w:rsidRPr="00C9070C">
        <w:rPr>
          <w:color w:val="2A2AA6"/>
          <w:sz w:val="52"/>
          <w:szCs w:val="52"/>
          <w:rtl/>
        </w:rPr>
        <w:t xml:space="preserve"> </w:t>
      </w:r>
      <w:r w:rsidRPr="00C9070C">
        <w:rPr>
          <w:rFonts w:hint="eastAsia"/>
          <w:color w:val="2A2AA6"/>
          <w:sz w:val="52"/>
          <w:szCs w:val="52"/>
          <w:rtl/>
        </w:rPr>
        <w:t>ישראל</w:t>
      </w:r>
      <w:r w:rsidRPr="00C9070C">
        <w:rPr>
          <w:color w:val="2A2AA6"/>
          <w:sz w:val="52"/>
          <w:szCs w:val="52"/>
          <w:rtl/>
        </w:rPr>
        <w:t xml:space="preserve"> </w:t>
      </w:r>
      <w:r w:rsidRPr="00C9070C">
        <w:rPr>
          <w:rFonts w:hint="eastAsia"/>
          <w:color w:val="2A2AA6"/>
          <w:sz w:val="52"/>
          <w:szCs w:val="52"/>
          <w:rtl/>
        </w:rPr>
        <w:t>עם</w:t>
      </w:r>
      <w:r w:rsidRPr="00C9070C">
        <w:rPr>
          <w:color w:val="2A2AA6"/>
          <w:sz w:val="52"/>
          <w:szCs w:val="52"/>
          <w:rtl/>
        </w:rPr>
        <w:t xml:space="preserve"> </w:t>
      </w:r>
      <w:r w:rsidRPr="00C9070C">
        <w:rPr>
          <w:rFonts w:hint="eastAsia"/>
          <w:color w:val="2A2AA6"/>
          <w:sz w:val="52"/>
          <w:szCs w:val="52"/>
          <w:rtl/>
        </w:rPr>
        <w:t>החזקת</w:t>
      </w:r>
      <w:r w:rsidRPr="00C9070C">
        <w:rPr>
          <w:color w:val="2A2AA6"/>
          <w:sz w:val="52"/>
          <w:szCs w:val="52"/>
          <w:rtl/>
        </w:rPr>
        <w:t xml:space="preserve"> </w:t>
      </w:r>
      <w:r w:rsidRPr="00C9070C">
        <w:rPr>
          <w:rFonts w:hint="eastAsia"/>
          <w:color w:val="2A2AA6"/>
          <w:sz w:val="52"/>
          <w:szCs w:val="52"/>
          <w:rtl/>
        </w:rPr>
        <w:t>אמצעי</w:t>
      </w:r>
      <w:r w:rsidRPr="00C9070C">
        <w:rPr>
          <w:color w:val="2A2AA6"/>
          <w:sz w:val="52"/>
          <w:szCs w:val="52"/>
          <w:rtl/>
        </w:rPr>
        <w:t xml:space="preserve"> </w:t>
      </w:r>
      <w:r w:rsidRPr="00C9070C">
        <w:rPr>
          <w:rFonts w:hint="eastAsia"/>
          <w:color w:val="2A2AA6"/>
          <w:sz w:val="52"/>
          <w:szCs w:val="52"/>
          <w:rtl/>
        </w:rPr>
        <w:t>לחימה</w:t>
      </w:r>
      <w:r w:rsidRPr="00C9070C">
        <w:rPr>
          <w:color w:val="2A2AA6"/>
          <w:sz w:val="52"/>
          <w:szCs w:val="52"/>
          <w:rtl/>
        </w:rPr>
        <w:t xml:space="preserve"> </w:t>
      </w:r>
      <w:r w:rsidRPr="00C9070C">
        <w:rPr>
          <w:rFonts w:hint="eastAsia"/>
          <w:color w:val="2A2AA6"/>
          <w:sz w:val="52"/>
          <w:szCs w:val="52"/>
          <w:rtl/>
        </w:rPr>
        <w:t>לא</w:t>
      </w:r>
      <w:r w:rsidRPr="00C9070C">
        <w:rPr>
          <w:color w:val="2A2AA6"/>
          <w:sz w:val="52"/>
          <w:szCs w:val="52"/>
          <w:rtl/>
        </w:rPr>
        <w:t xml:space="preserve"> </w:t>
      </w:r>
      <w:r w:rsidRPr="00C9070C">
        <w:rPr>
          <w:rFonts w:hint="eastAsia"/>
          <w:color w:val="2A2AA6"/>
          <w:sz w:val="52"/>
          <w:szCs w:val="52"/>
          <w:rtl/>
        </w:rPr>
        <w:t>חוקיים</w:t>
      </w:r>
      <w:r w:rsidRPr="00C9070C">
        <w:rPr>
          <w:color w:val="2A2AA6"/>
          <w:sz w:val="52"/>
          <w:szCs w:val="52"/>
          <w:rtl/>
        </w:rPr>
        <w:t xml:space="preserve"> </w:t>
      </w:r>
      <w:r w:rsidRPr="00C9070C">
        <w:rPr>
          <w:rFonts w:hint="eastAsia"/>
          <w:color w:val="2A2AA6"/>
          <w:sz w:val="52"/>
          <w:szCs w:val="52"/>
          <w:rtl/>
        </w:rPr>
        <w:t>ואירועי</w:t>
      </w:r>
      <w:r w:rsidRPr="00C9070C">
        <w:rPr>
          <w:color w:val="2A2AA6"/>
          <w:sz w:val="52"/>
          <w:szCs w:val="52"/>
          <w:rtl/>
        </w:rPr>
        <w:t xml:space="preserve"> </w:t>
      </w:r>
      <w:r w:rsidRPr="00C9070C">
        <w:rPr>
          <w:rFonts w:hint="eastAsia"/>
          <w:color w:val="2A2AA6"/>
          <w:sz w:val="52"/>
          <w:szCs w:val="52"/>
          <w:rtl/>
        </w:rPr>
        <w:t>ירי</w:t>
      </w:r>
      <w:r w:rsidRPr="00C9070C">
        <w:rPr>
          <w:color w:val="2A2AA6"/>
          <w:sz w:val="52"/>
          <w:szCs w:val="52"/>
          <w:rtl/>
        </w:rPr>
        <w:t xml:space="preserve"> </w:t>
      </w:r>
      <w:r w:rsidRPr="00C9070C">
        <w:rPr>
          <w:rFonts w:hint="eastAsia"/>
          <w:color w:val="2A2AA6"/>
          <w:sz w:val="52"/>
          <w:szCs w:val="52"/>
          <w:rtl/>
        </w:rPr>
        <w:t>ביישובי</w:t>
      </w:r>
      <w:r w:rsidRPr="00C9070C">
        <w:rPr>
          <w:color w:val="2A2AA6"/>
          <w:sz w:val="52"/>
          <w:szCs w:val="52"/>
          <w:rtl/>
        </w:rPr>
        <w:t xml:space="preserve"> </w:t>
      </w:r>
      <w:r w:rsidRPr="00C9070C">
        <w:rPr>
          <w:rFonts w:hint="eastAsia"/>
          <w:color w:val="2A2AA6"/>
          <w:sz w:val="52"/>
          <w:szCs w:val="52"/>
          <w:rtl/>
        </w:rPr>
        <w:t>החברה</w:t>
      </w:r>
      <w:r w:rsidRPr="00C9070C">
        <w:rPr>
          <w:color w:val="2A2AA6"/>
          <w:sz w:val="52"/>
          <w:szCs w:val="52"/>
          <w:rtl/>
        </w:rPr>
        <w:t xml:space="preserve"> </w:t>
      </w:r>
      <w:r w:rsidRPr="00C9070C">
        <w:rPr>
          <w:rFonts w:hint="eastAsia"/>
          <w:color w:val="2A2AA6"/>
          <w:sz w:val="52"/>
          <w:szCs w:val="52"/>
          <w:rtl/>
        </w:rPr>
        <w:t>הערבית</w:t>
      </w:r>
      <w:r w:rsidRPr="00C9070C">
        <w:rPr>
          <w:color w:val="2A2AA6"/>
          <w:sz w:val="52"/>
          <w:szCs w:val="52"/>
          <w:rtl/>
        </w:rPr>
        <w:t xml:space="preserve"> </w:t>
      </w:r>
      <w:r w:rsidRPr="00C9070C">
        <w:rPr>
          <w:rFonts w:hint="eastAsia"/>
          <w:color w:val="2A2AA6"/>
          <w:sz w:val="52"/>
          <w:szCs w:val="52"/>
          <w:rtl/>
        </w:rPr>
        <w:t>וביישובים</w:t>
      </w:r>
      <w:r w:rsidRPr="00C9070C">
        <w:rPr>
          <w:color w:val="2A2AA6"/>
          <w:sz w:val="52"/>
          <w:szCs w:val="52"/>
          <w:rtl/>
        </w:rPr>
        <w:t xml:space="preserve"> </w:t>
      </w:r>
      <w:r w:rsidRPr="00C9070C">
        <w:rPr>
          <w:rFonts w:hint="eastAsia"/>
          <w:color w:val="2A2AA6"/>
          <w:sz w:val="52"/>
          <w:szCs w:val="52"/>
          <w:rtl/>
        </w:rPr>
        <w:t>מעורבים</w:t>
      </w:r>
    </w:p>
    <w:p w:rsidR="00A10996" w:rsidP="00C9070C">
      <w:pPr>
        <w:spacing w:before="2520" w:line="240" w:lineRule="atLeast"/>
        <w:jc w:val="center"/>
        <w:rPr>
          <w:rFonts w:ascii="Tahoma" w:hAnsi="Tahoma" w:cs="Tahoma"/>
          <w:noProof/>
          <w:sz w:val="24"/>
          <w:szCs w:val="24"/>
        </w:rPr>
      </w:pPr>
      <w:r>
        <w:rPr>
          <w:rFonts w:ascii="Tahoma" w:hAnsi="Tahoma" w:cs="Tahoma"/>
          <w:noProof/>
          <w:sz w:val="24"/>
          <w:szCs w:val="24"/>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77844" name="mevaker-semel.new-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6C5F46" w:rsidP="00C9070C">
      <w:pPr>
        <w:spacing w:after="0" w:line="240" w:lineRule="auto"/>
        <w:jc w:val="center"/>
        <w:rPr>
          <w:rFonts w:ascii="Tahoma" w:hAnsi="Tahoma" w:cs="Tahoma"/>
          <w:sz w:val="22"/>
          <w:szCs w:val="22"/>
          <w:rtl/>
        </w:rPr>
      </w:pPr>
      <w:r w:rsidRPr="00A10996">
        <w:rPr>
          <w:rFonts w:ascii="Tahoma" w:hAnsi="Tahoma" w:cs="Tahoma"/>
          <w:sz w:val="22"/>
          <w:szCs w:val="22"/>
          <w:rtl/>
        </w:rPr>
        <w:t xml:space="preserve">ירושלים, </w:t>
      </w:r>
      <w:r w:rsidR="00C9070C">
        <w:rPr>
          <w:rFonts w:ascii="Tahoma" w:hAnsi="Tahoma" w:cs="Tahoma" w:hint="cs"/>
          <w:sz w:val="22"/>
          <w:szCs w:val="22"/>
          <w:rtl/>
        </w:rPr>
        <w:t>אלול</w:t>
      </w:r>
      <w:r w:rsidRPr="00A10996">
        <w:rPr>
          <w:rFonts w:ascii="Tahoma" w:hAnsi="Tahoma" w:cs="Tahoma"/>
          <w:sz w:val="22"/>
          <w:szCs w:val="22"/>
          <w:rtl/>
        </w:rPr>
        <w:t xml:space="preserve"> </w:t>
      </w:r>
      <w:r w:rsidRPr="00A10996">
        <w:rPr>
          <w:rFonts w:ascii="Tahoma" w:hAnsi="Tahoma" w:cs="Tahoma"/>
          <w:sz w:val="22"/>
          <w:szCs w:val="22"/>
          <w:rtl/>
        </w:rPr>
        <w:t>התשע"</w:t>
      </w:r>
      <w:r w:rsidR="00B25183">
        <w:rPr>
          <w:rFonts w:ascii="Tahoma" w:hAnsi="Tahoma" w:cs="Tahoma" w:hint="cs"/>
          <w:sz w:val="22"/>
          <w:szCs w:val="22"/>
          <w:rtl/>
        </w:rPr>
        <w:t>ח</w:t>
      </w:r>
      <w:r w:rsidRPr="00A10996">
        <w:rPr>
          <w:rFonts w:ascii="Tahoma" w:hAnsi="Tahoma" w:cs="Tahoma"/>
          <w:sz w:val="22"/>
          <w:szCs w:val="22"/>
          <w:rtl/>
        </w:rPr>
        <w:t xml:space="preserve">, </w:t>
      </w:r>
      <w:r w:rsidR="00C9070C">
        <w:rPr>
          <w:rFonts w:ascii="Tahoma" w:hAnsi="Tahoma" w:cs="Tahoma" w:hint="cs"/>
          <w:sz w:val="22"/>
          <w:szCs w:val="22"/>
          <w:rtl/>
        </w:rPr>
        <w:t>אוגוסט</w:t>
      </w:r>
      <w:r w:rsidRPr="00A10996">
        <w:rPr>
          <w:rFonts w:ascii="Tahoma" w:hAnsi="Tahoma" w:cs="Tahoma"/>
          <w:sz w:val="22"/>
          <w:szCs w:val="22"/>
          <w:rtl/>
        </w:rPr>
        <w:t xml:space="preserve"> 201</w:t>
      </w:r>
      <w:r w:rsidR="00B25183">
        <w:rPr>
          <w:rFonts w:ascii="Tahoma" w:hAnsi="Tahoma" w:cs="Tahoma" w:hint="cs"/>
          <w:sz w:val="22"/>
          <w:szCs w:val="22"/>
          <w:rtl/>
        </w:rPr>
        <w:t>8</w:t>
      </w:r>
    </w:p>
    <w:p w:rsidR="00B73F67" w:rsidRPr="007D0D3E" w:rsidP="00B25183">
      <w:pPr>
        <w:spacing w:after="0" w:line="240" w:lineRule="auto"/>
        <w:rPr>
          <w:rFonts w:ascii="Tahoma" w:hAnsi="Tahoma" w:cs="Tahoma"/>
          <w:sz w:val="22"/>
          <w:szCs w:val="22"/>
          <w:rtl/>
        </w:rPr>
        <w:sectPr w:rsidSect="00410B08">
          <w:pgSz w:w="11906" w:h="16838" w:code="9"/>
          <w:pgMar w:top="3402" w:right="1701" w:bottom="2835" w:left="1701" w:header="1559" w:footer="709" w:gutter="0"/>
          <w:cols w:space="708"/>
          <w:titlePg/>
          <w:bidi/>
          <w:rtlGutter/>
          <w:docGrid w:linePitch="360"/>
        </w:sectPr>
      </w:pPr>
    </w:p>
    <w:p w:rsidR="00A10996" w:rsidRPr="00170230" w:rsidP="00C9070C">
      <w:pPr>
        <w:spacing w:before="8000" w:after="0" w:line="240" w:lineRule="auto"/>
        <w:jc w:val="center"/>
        <w:rPr>
          <w:rFonts w:ascii="Tahoma" w:hAnsi="Tahoma" w:cs="Tahoma"/>
          <w:sz w:val="16"/>
          <w:szCs w:val="20"/>
          <w:rtl/>
        </w:rPr>
      </w:pPr>
      <w:r w:rsidRPr="00170230">
        <w:rPr>
          <w:rFonts w:ascii="Tahoma" w:hAnsi="Tahoma" w:cs="Tahoma"/>
          <w:sz w:val="16"/>
          <w:szCs w:val="20"/>
          <w:rtl/>
        </w:rPr>
        <w:t xml:space="preserve">מס' קטלוגי </w:t>
      </w:r>
      <w:r w:rsidR="005C76A4">
        <w:rPr>
          <w:rFonts w:ascii="Tahoma" w:hAnsi="Tahoma" w:cs="Tahoma"/>
          <w:sz w:val="16"/>
          <w:szCs w:val="20"/>
        </w:rPr>
        <w:t>00</w:t>
      </w:r>
      <w:r w:rsidR="00C9070C">
        <w:rPr>
          <w:rFonts w:ascii="Tahoma" w:hAnsi="Tahoma" w:cs="Tahoma"/>
          <w:sz w:val="16"/>
          <w:szCs w:val="20"/>
        </w:rPr>
        <w:t>6</w:t>
      </w:r>
      <w:r w:rsidRPr="00170230">
        <w:rPr>
          <w:rFonts w:ascii="Tahoma" w:hAnsi="Tahoma" w:cs="Tahoma"/>
          <w:sz w:val="16"/>
          <w:szCs w:val="20"/>
          <w:rtl/>
        </w:rPr>
        <w:t>-</w:t>
      </w:r>
      <w:r w:rsidR="009B1CAD">
        <w:rPr>
          <w:rFonts w:ascii="Tahoma" w:hAnsi="Tahoma" w:cs="Tahoma"/>
          <w:sz w:val="16"/>
          <w:szCs w:val="20"/>
        </w:rPr>
        <w:t>201</w:t>
      </w:r>
      <w:r w:rsidR="00B25183">
        <w:rPr>
          <w:rFonts w:ascii="Tahoma" w:hAnsi="Tahoma" w:cs="Tahoma"/>
          <w:sz w:val="16"/>
          <w:szCs w:val="20"/>
        </w:rPr>
        <w:t>8</w:t>
      </w:r>
    </w:p>
    <w:p w:rsidR="005C76A4" w:rsidRPr="005C76A4" w:rsidP="005C76A4">
      <w:pPr>
        <w:spacing w:after="0" w:line="240" w:lineRule="auto"/>
        <w:jc w:val="center"/>
        <w:rPr>
          <w:rFonts w:ascii="Tahoma" w:hAnsi="Tahoma" w:cs="Tahoma"/>
          <w:sz w:val="16"/>
          <w:szCs w:val="16"/>
        </w:rPr>
      </w:pPr>
      <w:r w:rsidRPr="005C76A4">
        <w:rPr>
          <w:rFonts w:ascii="Tahoma" w:hAnsi="Tahoma" w:cs="Tahoma"/>
          <w:sz w:val="16"/>
          <w:szCs w:val="16"/>
        </w:rPr>
        <w:t>ISSN: 0793-1948</w:t>
      </w:r>
      <w:r w:rsidRPr="005C76A4">
        <w:rPr>
          <w:rFonts w:ascii="Tahoma" w:hAnsi="Tahoma" w:cs="Tahoma"/>
          <w:sz w:val="16"/>
          <w:szCs w:val="16"/>
          <w:rtl/>
        </w:rPr>
        <w:t xml:space="preserve"> </w:t>
      </w:r>
    </w:p>
    <w:p w:rsidR="00A10996" w:rsidRPr="00170230" w:rsidP="00A10996">
      <w:pPr>
        <w:spacing w:after="0" w:line="240" w:lineRule="auto"/>
        <w:jc w:val="center"/>
        <w:rPr>
          <w:rFonts w:ascii="Tahoma" w:hAnsi="Tahoma" w:cs="Tahoma"/>
          <w:sz w:val="20"/>
          <w:szCs w:val="20"/>
        </w:rPr>
      </w:pPr>
    </w:p>
    <w:p w:rsidR="009A7B8A" w:rsidP="00A10996">
      <w:pPr>
        <w:spacing w:after="0" w:line="240" w:lineRule="auto"/>
        <w:jc w:val="center"/>
        <w:rPr>
          <w:rFonts w:ascii="Tahoma" w:hAnsi="Tahoma" w:cs="Tahoma"/>
          <w:sz w:val="18"/>
          <w:szCs w:val="18"/>
          <w:rtl/>
        </w:rPr>
      </w:pPr>
      <w:r>
        <w:rPr>
          <w:rFonts w:ascii="Tahoma" w:hAnsi="Tahoma" w:cs="Tahoma" w:hint="cs"/>
          <w:sz w:val="18"/>
          <w:szCs w:val="18"/>
          <w:rtl/>
        </w:rPr>
        <w:t>ניתן להוריד גרסה אלקטרונית של דוח זה</w:t>
      </w:r>
    </w:p>
    <w:p w:rsidR="00A10996" w:rsidRPr="00170230" w:rsidP="00A10996">
      <w:pPr>
        <w:spacing w:after="0" w:line="240" w:lineRule="auto"/>
        <w:jc w:val="center"/>
        <w:rPr>
          <w:rFonts w:ascii="Tahoma" w:hAnsi="Tahoma" w:cs="Tahoma"/>
          <w:sz w:val="18"/>
          <w:szCs w:val="18"/>
          <w:rtl/>
        </w:rPr>
      </w:pPr>
      <w:r>
        <w:rPr>
          <w:rFonts w:ascii="Tahoma" w:hAnsi="Tahoma" w:cs="Tahoma" w:hint="cs"/>
          <w:sz w:val="18"/>
          <w:szCs w:val="18"/>
          <w:rtl/>
        </w:rPr>
        <w:t>מאתר האינטרנט של</w:t>
      </w:r>
      <w:r w:rsidRPr="00170230">
        <w:rPr>
          <w:rFonts w:ascii="Tahoma" w:hAnsi="Tahoma" w:cs="Tahoma"/>
          <w:sz w:val="18"/>
          <w:szCs w:val="18"/>
          <w:rtl/>
        </w:rPr>
        <w:t xml:space="preserve"> משרד מבקר המדינה</w:t>
      </w:r>
    </w:p>
    <w:p w:rsidR="00A10996" w:rsidRPr="00170230" w:rsidP="00A10996">
      <w:pPr>
        <w:spacing w:after="0" w:line="240" w:lineRule="auto"/>
        <w:jc w:val="center"/>
        <w:rPr>
          <w:rFonts w:ascii="Tahoma" w:hAnsi="Tahoma" w:cs="Tahoma"/>
          <w:sz w:val="20"/>
          <w:szCs w:val="20"/>
          <w:rtl/>
        </w:rPr>
      </w:pPr>
      <w:r w:rsidRPr="00170230">
        <w:rPr>
          <w:rFonts w:ascii="Tahoma" w:hAnsi="Tahoma" w:cs="Tahoma"/>
          <w:sz w:val="20"/>
          <w:szCs w:val="20"/>
        </w:rPr>
        <w:t>www.mevaker.gov.il</w:t>
      </w:r>
    </w:p>
    <w:p w:rsidR="00A10996" w:rsidRPr="00170230" w:rsidP="00A10996">
      <w:pPr>
        <w:spacing w:after="0" w:line="240" w:lineRule="auto"/>
        <w:jc w:val="center"/>
        <w:rPr>
          <w:rFonts w:ascii="Tahoma" w:hAnsi="Tahoma" w:cs="Tahoma"/>
          <w:sz w:val="20"/>
          <w:szCs w:val="20"/>
          <w:rtl/>
        </w:rPr>
      </w:pPr>
    </w:p>
    <w:p w:rsidR="00A10996" w:rsidRPr="00170230" w:rsidP="00A10996">
      <w:pPr>
        <w:spacing w:after="0" w:line="240" w:lineRule="auto"/>
        <w:jc w:val="center"/>
        <w:rPr>
          <w:rFonts w:ascii="Tahoma" w:hAnsi="Tahoma" w:cs="Tahoma"/>
          <w:sz w:val="18"/>
          <w:szCs w:val="18"/>
          <w:rtl/>
        </w:rPr>
      </w:pPr>
      <w:r w:rsidRPr="00170230">
        <w:rPr>
          <w:rFonts w:ascii="Tahoma" w:hAnsi="Tahoma" w:cs="Tahoma"/>
          <w:sz w:val="18"/>
          <w:szCs w:val="18"/>
          <w:rtl/>
        </w:rPr>
        <w:t xml:space="preserve">סדר: </w:t>
      </w:r>
      <w:r w:rsidRPr="00170230">
        <w:rPr>
          <w:rFonts w:ascii="Tahoma" w:hAnsi="Tahoma" w:cs="Tahoma"/>
          <w:sz w:val="18"/>
          <w:szCs w:val="18"/>
          <w:rtl/>
        </w:rPr>
        <w:t>אונית</w:t>
      </w:r>
      <w:r w:rsidRPr="00170230">
        <w:rPr>
          <w:rFonts w:ascii="Tahoma" w:hAnsi="Tahoma" w:cs="Tahoma"/>
          <w:sz w:val="18"/>
          <w:szCs w:val="18"/>
          <w:rtl/>
        </w:rPr>
        <w:t xml:space="preserve"> שירותי מחשב בע"מ</w:t>
      </w:r>
    </w:p>
    <w:p w:rsidR="00D70CA7"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D70CA7" w:rsidRPr="00D70CA7" w:rsidP="004604AD">
      <w:pPr>
        <w:pStyle w:val="KOT3A"/>
        <w:spacing w:before="2040"/>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C9070C" w:rsidRPr="005B3251" w:rsidP="005B3251">
      <w:pPr>
        <w:jc w:val="both"/>
        <w:rPr>
          <w:rFonts w:ascii="Tahoma" w:hAnsi="Tahoma" w:cs="Tahoma"/>
          <w:sz w:val="18"/>
          <w:szCs w:val="18"/>
          <w:rtl/>
        </w:rPr>
      </w:pPr>
      <w:r w:rsidRPr="005B3251">
        <w:rPr>
          <w:rFonts w:ascii="Tahoma" w:hAnsi="Tahoma" w:cs="Tahoma"/>
          <w:b/>
          <w:bCs/>
          <w:sz w:val="18"/>
          <w:szCs w:val="18"/>
          <w:rtl/>
        </w:rPr>
        <w:t>החברה הישראלית היא חברה רב-תרבותית המורכבת מאוכלוסיות מגוונות. תפקידה של מדינה דמוקרטית, בין היתר, הוא להעניק ביטחון אישי לכל אזרחיה</w:t>
      </w:r>
      <w:r w:rsidRPr="005B3251">
        <w:rPr>
          <w:rFonts w:ascii="Tahoma" w:hAnsi="Tahoma" w:cs="Tahoma"/>
          <w:sz w:val="18"/>
          <w:szCs w:val="18"/>
          <w:rtl/>
        </w:rPr>
        <w:t>, ללא הבדל בין האוכלוסיות השונות, באמצעות אכיפת החוק והסדר הציבורי וחיזוק ההרתעה מפני אי-כיבוד החוק. הערך של "קדושת החיים", הכולל הן את הזכות לחיים ואת החובה להגן על החיים, הוא "בין הערכים הנעלים והמקודשים ביותר בשיטתנו המשפטית, בתולדות עמנו ובתולדות האנושות בכלל"</w:t>
      </w:r>
      <w:r>
        <w:rPr>
          <w:rStyle w:val="FootnoteReference"/>
          <w:rFonts w:ascii="Tahoma" w:hAnsi="Tahoma" w:cs="Tahoma"/>
          <w:sz w:val="18"/>
          <w:szCs w:val="18"/>
          <w:rtl/>
        </w:rPr>
        <w:footnoteReference w:id="3"/>
      </w:r>
      <w:r w:rsidRPr="005B3251">
        <w:rPr>
          <w:rFonts w:ascii="Tahoma" w:hAnsi="Tahoma" w:cs="Tahoma"/>
          <w:sz w:val="18"/>
          <w:szCs w:val="18"/>
          <w:rtl/>
        </w:rPr>
        <w:t>. לא לחינם קובע חוק העונשין שדי בסיכונם של החיים כדי לעבור עבירה, אף אם בפועל לא נפגעו החיים. כך גם נקבע במשפט הבין-לאומי, עוד בהכרזה לכל באי עולם בדבר זכויות האדם משנת 1948, הקובעת: "לכל אדם הזכות לחיים, חופש וביטחון אישי"</w:t>
      </w:r>
      <w:r w:rsidRPr="005B3251">
        <w:rPr>
          <w:rFonts w:ascii="Tahoma" w:hAnsi="Tahoma" w:cs="Tahoma"/>
          <w:sz w:val="18"/>
          <w:szCs w:val="18"/>
        </w:rPr>
        <w:t>.</w:t>
      </w:r>
      <w:r w:rsidRPr="005B3251">
        <w:rPr>
          <w:rFonts w:ascii="Tahoma" w:hAnsi="Tahoma" w:cs="Tahoma"/>
          <w:sz w:val="18"/>
          <w:szCs w:val="18"/>
          <w:rtl/>
        </w:rPr>
        <w:t xml:space="preserve"> </w:t>
      </w:r>
    </w:p>
    <w:p w:rsidR="00C9070C" w:rsidRPr="005B3251" w:rsidP="005B3251">
      <w:pPr>
        <w:jc w:val="both"/>
        <w:rPr>
          <w:rFonts w:ascii="Tahoma" w:hAnsi="Tahoma" w:cs="Tahoma"/>
          <w:sz w:val="18"/>
          <w:szCs w:val="18"/>
          <w:rtl/>
        </w:rPr>
      </w:pPr>
      <w:r w:rsidRPr="005B3251">
        <w:rPr>
          <w:rFonts w:ascii="Tahoma" w:hAnsi="Tahoma" w:cs="Tahoma"/>
          <w:sz w:val="18"/>
          <w:szCs w:val="18"/>
          <w:rtl/>
        </w:rPr>
        <w:t>בעקבות התנגשויות בין אזרחים ערבים לכוחות משטרה שאירעו באוקטובר 2000, ובהן נהרגו 12 אזרחים ערבים ונפצעו רבים נוספים, הוקמה ועדת חקירה ממלכתית בראשות השופט בדימוס תיאודור אור לבדיקת האירועים האמורים</w:t>
      </w:r>
      <w:r>
        <w:rPr>
          <w:rStyle w:val="FootnoteReference"/>
          <w:rFonts w:ascii="Tahoma" w:hAnsi="Tahoma" w:cs="Tahoma"/>
          <w:sz w:val="18"/>
          <w:szCs w:val="18"/>
          <w:rtl/>
        </w:rPr>
        <w:footnoteReference w:id="4"/>
      </w:r>
      <w:r w:rsidRPr="005B3251">
        <w:rPr>
          <w:rFonts w:ascii="Tahoma" w:hAnsi="Tahoma" w:cs="Tahoma"/>
          <w:sz w:val="18"/>
          <w:szCs w:val="18"/>
          <w:rtl/>
        </w:rPr>
        <w:t xml:space="preserve">. </w:t>
      </w:r>
    </w:p>
    <w:p w:rsidR="00C9070C" w:rsidRPr="005B3251" w:rsidP="005B3251">
      <w:pPr>
        <w:jc w:val="both"/>
        <w:rPr>
          <w:rFonts w:ascii="Tahoma" w:hAnsi="Tahoma" w:cs="Tahoma"/>
          <w:sz w:val="18"/>
          <w:szCs w:val="18"/>
          <w:rtl/>
        </w:rPr>
      </w:pPr>
      <w:r w:rsidRPr="005B3251">
        <w:rPr>
          <w:rFonts w:ascii="Tahoma" w:hAnsi="Tahoma" w:cs="Tahoma"/>
          <w:sz w:val="18"/>
          <w:szCs w:val="18"/>
          <w:rtl/>
        </w:rPr>
        <w:t xml:space="preserve">ועדת אור עמדה על כך שהממסד הישראלי לא גילה רגישות מספקת לצורכי החברה הערבית ולא פעל באופן מספק כדי שמשאבי המדינה יוקצו באופן שוויוני גם לאוכלוסייה הערבית. הכשל המרכזי שעליו הצביעה הוועדה הוא שלא נעשה די כדי לאכוף את החוק בקרב האוכלוסייה הערבית, וכך השתרשו בה תופעות בלתי לגיטימיות ובלתי רצויות. דוח ביקורת זה דן באחת הבעיות המרכזיות המשפיעות על יכולתה של המדינה להעניק ביטחון אישי לתושבים בחברה הערבית: החזקת אמצעי לחימה שלא כחוק ושימוש בהם. </w:t>
      </w:r>
    </w:p>
    <w:p w:rsidR="00C9070C" w:rsidRPr="005B3251" w:rsidP="005B3251">
      <w:pPr>
        <w:jc w:val="both"/>
        <w:rPr>
          <w:rFonts w:ascii="Tahoma" w:hAnsi="Tahoma" w:cs="Tahoma"/>
          <w:sz w:val="18"/>
          <w:szCs w:val="18"/>
          <w:rtl/>
        </w:rPr>
      </w:pPr>
      <w:r w:rsidRPr="005B3251">
        <w:rPr>
          <w:rFonts w:ascii="Tahoma" w:hAnsi="Tahoma" w:cs="Tahoma"/>
          <w:sz w:val="18"/>
          <w:szCs w:val="18"/>
          <w:rtl/>
        </w:rPr>
        <w:t xml:space="preserve">בית המשפט המחוזי בחיפה ציין כבר לפני כחמש שנים עת דן באירוע ירי חמור שהתרחש בחברה הערבית כדלהלן: </w:t>
      </w:r>
    </w:p>
    <w:p w:rsidR="00C9070C" w:rsidRPr="005B3251" w:rsidP="005B3251">
      <w:pPr>
        <w:ind w:left="567" w:right="567"/>
        <w:jc w:val="both"/>
        <w:rPr>
          <w:rFonts w:ascii="Tahoma" w:hAnsi="Tahoma" w:cs="Tahoma"/>
          <w:sz w:val="18"/>
          <w:szCs w:val="18"/>
          <w:rtl/>
        </w:rPr>
      </w:pPr>
      <w:r w:rsidRPr="005B3251">
        <w:rPr>
          <w:rFonts w:ascii="Tahoma" w:hAnsi="Tahoma" w:cs="Tahoma"/>
          <w:sz w:val="18"/>
          <w:szCs w:val="18"/>
          <w:rtl/>
        </w:rPr>
        <w:t>"זמינותו של נשק חם המוחזק באופן בלתי חוקי הפכה זה מכבר לרעה חולה... נפשו של הציבור קצה במצב שבו עבריינים מחזיקים בנשק חם ומשתמשים בו כדי לפגוע ביריביהם. דומה שכיום אין עוד צורך להכביר מילים באשר לחומרתן הרבה של עבירות בנשק"</w:t>
      </w:r>
      <w:r>
        <w:rPr>
          <w:rStyle w:val="FootnoteReference"/>
          <w:rFonts w:ascii="Tahoma" w:hAnsi="Tahoma" w:cs="Tahoma"/>
          <w:sz w:val="18"/>
          <w:szCs w:val="18"/>
          <w:rtl/>
        </w:rPr>
        <w:footnoteReference w:id="5"/>
      </w:r>
      <w:r w:rsidRPr="005B3251">
        <w:rPr>
          <w:rFonts w:ascii="Tahoma" w:hAnsi="Tahoma" w:cs="Tahoma"/>
          <w:sz w:val="18"/>
          <w:szCs w:val="18"/>
          <w:rtl/>
        </w:rPr>
        <w:t xml:space="preserve">. </w:t>
      </w:r>
    </w:p>
    <w:p w:rsidR="00C9070C" w:rsidRPr="005B3251" w:rsidP="005B3251">
      <w:pPr>
        <w:jc w:val="both"/>
        <w:rPr>
          <w:rFonts w:ascii="Tahoma" w:hAnsi="Tahoma" w:cs="Tahoma"/>
          <w:sz w:val="18"/>
          <w:szCs w:val="18"/>
          <w:rtl/>
        </w:rPr>
      </w:pPr>
      <w:r w:rsidRPr="005B3251">
        <w:rPr>
          <w:rFonts w:ascii="Tahoma" w:hAnsi="Tahoma" w:cs="Tahoma"/>
          <w:sz w:val="18"/>
          <w:szCs w:val="18"/>
          <w:rtl/>
        </w:rPr>
        <w:t xml:space="preserve">ניכר כי מאז פרסום דוח ועדת אור עשתה משטרת ישראל מאמצים להפחתת אירועי האלימות החמורה והשימוש באמצעי לחימה לא חוקיים, ובשנים האחרונות אף גיבשה תכנית פעולה רחבה להתמודדות עם הפשיעה בחברה הערבית. ועם זאת, ממצאיו של דוח זה מצביעים על שורה של ליקויים וקשיים ביישום הפעולות שהוביל פיקוד המשטרה. </w:t>
      </w:r>
    </w:p>
    <w:p w:rsidR="00C9070C" w:rsidRPr="005B3251" w:rsidP="005B3251">
      <w:pPr>
        <w:jc w:val="both"/>
        <w:rPr>
          <w:rFonts w:ascii="Tahoma" w:hAnsi="Tahoma" w:cs="Tahoma"/>
          <w:sz w:val="18"/>
          <w:szCs w:val="18"/>
          <w:rtl/>
        </w:rPr>
      </w:pPr>
      <w:r w:rsidRPr="005B3251">
        <w:rPr>
          <w:rFonts w:ascii="Tahoma" w:hAnsi="Tahoma" w:cs="Tahoma"/>
          <w:sz w:val="18"/>
          <w:szCs w:val="18"/>
          <w:rtl/>
        </w:rPr>
        <w:t>הסיכון החמור הנשקף משימוש באמצעי לחימה לא חוקיים ומאירועי ירי והנורמות השליליות שהם יוצרים, של התנכרות וזלזול בחיי אדם, מחייבים פעולה ממשלתית ומשטרתית רחבה. פעולה זו נדרשת בראש ובראשונה כדי לשנות נורמות אלה ולבצר את הערך הנגדי של "קדושת החיים".</w:t>
      </w:r>
      <w:r w:rsidRPr="005B3251">
        <w:rPr>
          <w:rFonts w:ascii="Tahoma" w:hAnsi="Tahoma" w:cs="Tahoma"/>
          <w:sz w:val="18"/>
          <w:szCs w:val="18"/>
          <w:rtl/>
        </w:rPr>
        <w:t xml:space="preserve"> </w:t>
      </w:r>
      <w:r w:rsidRPr="005B3251">
        <w:rPr>
          <w:rFonts w:ascii="Tahoma" w:hAnsi="Tahoma" w:cs="Tahoma"/>
          <w:sz w:val="18"/>
          <w:szCs w:val="18"/>
          <w:rtl/>
        </w:rPr>
        <w:t xml:space="preserve">לא זו אף זו, בחברה דמוקרטית נדרש כי פעולת המשטרה תתבסס על הסכמה ציבורית רחבה ככל האפשר ועל אמון הציבור בה. כל עוד המשטרה תתקשה לאכוף את החוק ולמנוע תופעות של עבריינות חמורה, במיוחד תופעות אלימות וירי בקרב האוכלוסייה הערבית, היא תיתפס כלא יעילה ולא מקצועית </w:t>
      </w:r>
      <w:r w:rsidRPr="005B3251">
        <w:rPr>
          <w:rFonts w:ascii="Tahoma" w:hAnsi="Tahoma" w:cs="Tahoma"/>
          <w:sz w:val="18"/>
          <w:szCs w:val="18"/>
          <w:rtl/>
        </w:rPr>
        <w:t>וככזו</w:t>
      </w:r>
      <w:r w:rsidRPr="005B3251">
        <w:rPr>
          <w:rFonts w:ascii="Tahoma" w:hAnsi="Tahoma" w:cs="Tahoma"/>
          <w:sz w:val="18"/>
          <w:szCs w:val="18"/>
          <w:rtl/>
        </w:rPr>
        <w:t xml:space="preserve"> שאינה נותנת יחס שווה לכלל אזרחי המדינה. ככל שתדמית זו תתקבע, יקטן אמון הציבור בקרב החברה הערבית במשטרה ובכלל מוסדות המדינה, ולכך עלולות להיות השפעות מרחיקות לכת על החברה הישראלית בכללה. </w:t>
      </w:r>
    </w:p>
    <w:p w:rsidR="00C9070C" w:rsidRPr="005B3251" w:rsidP="005B3251">
      <w:pPr>
        <w:jc w:val="both"/>
        <w:rPr>
          <w:rFonts w:ascii="Tahoma" w:hAnsi="Tahoma" w:cs="Tahoma"/>
          <w:sz w:val="18"/>
          <w:szCs w:val="18"/>
          <w:rtl/>
        </w:rPr>
      </w:pPr>
      <w:r w:rsidRPr="005B3251">
        <w:rPr>
          <w:rFonts w:ascii="Tahoma" w:hAnsi="Tahoma" w:cs="Tahoma"/>
          <w:sz w:val="18"/>
          <w:szCs w:val="18"/>
          <w:rtl/>
        </w:rPr>
        <w:t>כדי לאפשר למשטרה להעצים את פעולתה בקרב החברה הערבית ולהביא לשינוי המיוחל ביכולת אכיפת החוק, בשמירה על הסדר הציבורי ובהגברת הביטחון האישי של האזרחים, יש לממש את החלטת ממשלה</w:t>
      </w:r>
      <w:r w:rsidRPr="005B3251">
        <w:rPr>
          <w:rFonts w:ascii="Tahoma" w:hAnsi="Tahoma" w:cs="Tahoma"/>
          <w:sz w:val="18"/>
          <w:szCs w:val="18"/>
        </w:rPr>
        <w:t xml:space="preserve"> </w:t>
      </w:r>
      <w:r w:rsidRPr="005B3251">
        <w:rPr>
          <w:rFonts w:ascii="Tahoma" w:hAnsi="Tahoma" w:cs="Tahoma"/>
          <w:sz w:val="18"/>
          <w:szCs w:val="18"/>
          <w:rtl/>
        </w:rPr>
        <w:t xml:space="preserve">מס' 922 מדצמבר 2015, ולפיה המשטרה תתוגבר בכוח אדם ובמשאבים כדי לתת מענה לרמה הגבוהה של הפשיעה והאלימות בקרב האוכלוסייה הערבית. ואולם בחיזוק המשטרה כשלעצמו אין די. נדרשת מעורבות משמעותית של יתר משרדי הממשלה בהגדלת שיעורי התעסוקה, בפיתוח כלכלי, בחיזוק מערכת החינוך, בשיפור איכות החיים והבריאות של האוכלוסייה ובחיזוק מערכי הרווחה, התשתיות, התחבורה והדיור. </w:t>
      </w:r>
    </w:p>
    <w:p w:rsidR="00C9070C" w:rsidRPr="005B3251" w:rsidP="005B3251">
      <w:pPr>
        <w:jc w:val="both"/>
        <w:rPr>
          <w:rFonts w:ascii="Tahoma" w:hAnsi="Tahoma" w:cs="Tahoma"/>
          <w:sz w:val="18"/>
          <w:szCs w:val="18"/>
          <w:rtl/>
        </w:rPr>
      </w:pPr>
      <w:r w:rsidRPr="005B3251">
        <w:rPr>
          <w:rFonts w:ascii="Tahoma" w:hAnsi="Tahoma" w:cs="Tahoma"/>
          <w:sz w:val="18"/>
          <w:szCs w:val="18"/>
          <w:rtl/>
        </w:rPr>
        <w:t xml:space="preserve">בני החברה הערבית הם הראשונים שיפיקו תועלת מפעילות אכיפה נמרצת של המשטרה לביעור התופעות הקשות של עבריינות בקרבם, בדגש על אלימות חמורה ואירועי ירי </w:t>
      </w:r>
      <w:r w:rsidRPr="005B3251">
        <w:rPr>
          <w:rFonts w:ascii="Tahoma" w:hAnsi="Tahoma" w:cs="Tahoma"/>
          <w:sz w:val="18"/>
          <w:szCs w:val="18"/>
          <w:rtl/>
        </w:rPr>
        <w:t>מְסַכּני</w:t>
      </w:r>
      <w:r w:rsidRPr="005B3251">
        <w:rPr>
          <w:rFonts w:ascii="Tahoma" w:hAnsi="Tahoma" w:cs="Tahoma"/>
          <w:sz w:val="18"/>
          <w:szCs w:val="18"/>
          <w:rtl/>
        </w:rPr>
        <w:t xml:space="preserve"> חיים, הפוגעים קשות במרקם החיים בקרב האוכלוסייה הערבית ובביטחון האישי של התושבים. שיתוף פעולה בין החברה הערבית ומנהיגיה לבין המשטרה הכרחי לקידום פעולות מניעה ואכיפה כלפי תופעות עבריינות בחברה זו.</w:t>
      </w:r>
    </w:p>
    <w:p w:rsidR="00C9070C" w:rsidRPr="005B3251" w:rsidP="005B3251">
      <w:pPr>
        <w:jc w:val="both"/>
        <w:rPr>
          <w:rFonts w:ascii="Tahoma" w:hAnsi="Tahoma" w:cs="Tahoma"/>
          <w:sz w:val="18"/>
          <w:szCs w:val="18"/>
        </w:rPr>
      </w:pPr>
      <w:r w:rsidRPr="005B3251">
        <w:rPr>
          <w:rFonts w:ascii="Tahoma" w:hAnsi="Tahoma" w:cs="Tahoma"/>
          <w:sz w:val="18"/>
          <w:szCs w:val="18"/>
          <w:rtl/>
        </w:rPr>
        <w:t xml:space="preserve">אירועי אלימות חמורים </w:t>
      </w:r>
      <w:r w:rsidRPr="005B3251">
        <w:rPr>
          <w:rFonts w:ascii="Tahoma" w:hAnsi="Tahoma" w:cs="Tahoma"/>
          <w:sz w:val="18"/>
          <w:szCs w:val="18"/>
          <w:rtl/>
        </w:rPr>
        <w:t>ש</w:t>
      </w:r>
      <w:r w:rsidRPr="005B3251">
        <w:rPr>
          <w:rFonts w:ascii="Tahoma" w:hAnsi="Tahoma" w:cs="Tahoma"/>
          <w:sz w:val="18"/>
          <w:szCs w:val="18"/>
          <w:rtl/>
        </w:rPr>
        <w:t xml:space="preserve">נעשה </w:t>
      </w:r>
      <w:r w:rsidRPr="005B3251">
        <w:rPr>
          <w:rFonts w:ascii="Tahoma" w:hAnsi="Tahoma" w:cs="Tahoma"/>
          <w:sz w:val="18"/>
          <w:szCs w:val="18"/>
          <w:rtl/>
        </w:rPr>
        <w:t xml:space="preserve">בהם </w:t>
      </w:r>
      <w:r w:rsidRPr="005B3251">
        <w:rPr>
          <w:rFonts w:ascii="Tahoma" w:hAnsi="Tahoma" w:cs="Tahoma"/>
          <w:sz w:val="18"/>
          <w:szCs w:val="18"/>
          <w:rtl/>
        </w:rPr>
        <w:t xml:space="preserve">שימוש </w:t>
      </w:r>
      <w:r w:rsidRPr="005B3251">
        <w:rPr>
          <w:rFonts w:ascii="Tahoma" w:hAnsi="Tahoma" w:cs="Tahoma"/>
          <w:sz w:val="18"/>
          <w:szCs w:val="18"/>
          <w:rtl/>
        </w:rPr>
        <w:t>באמצעי לחימה לא חוקיים</w:t>
      </w:r>
      <w:r w:rsidRPr="005B3251">
        <w:rPr>
          <w:rFonts w:ascii="Tahoma" w:hAnsi="Tahoma" w:cs="Tahoma"/>
          <w:sz w:val="18"/>
          <w:szCs w:val="18"/>
          <w:rtl/>
        </w:rPr>
        <w:t xml:space="preserve"> מתרבים בקצב הולך וגובר בשנים האחרונות, הן מבחינת תדירותם והן מבחינת עוצמתם. </w:t>
      </w:r>
      <w:r w:rsidRPr="005B3251">
        <w:rPr>
          <w:rFonts w:ascii="Tahoma" w:hAnsi="Tahoma" w:cs="Tahoma"/>
          <w:sz w:val="18"/>
          <w:szCs w:val="18"/>
          <w:rtl/>
        </w:rPr>
        <w:t>יישום המלצות דוח זה על ידי הממשלה והמשטרה בשיתוף הנהגת החברה הערבית יתרום להתמודדות עם תופעה קשה זו.</w:t>
      </w:r>
    </w:p>
    <w:p w:rsidR="009228A5" w:rsidRPr="00C9070C" w:rsidP="00BE4965">
      <w:pPr>
        <w:jc w:val="both"/>
        <w:rPr>
          <w:rFonts w:ascii="Tahoma" w:hAnsi="Tahoma" w:cs="Tahoma"/>
          <w:sz w:val="18"/>
          <w:szCs w:val="18"/>
          <w:rtl/>
        </w:rPr>
      </w:pPr>
    </w:p>
    <w:p w:rsidR="00006188" w:rsidRPr="00170230" w:rsidP="00C47C77">
      <w:pPr>
        <w:tabs>
          <w:tab w:val="center" w:pos="4535"/>
        </w:tabs>
        <w:spacing w:before="12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0759" name="Shapira_Sig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091821">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CE5221" w:rsidP="00CE5221">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D70CA7" w:rsidRPr="00D70CA7" w:rsidP="00091821">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3C726F" w:rsidP="003C726F">
      <w:pPr>
        <w:tabs>
          <w:tab w:val="left" w:pos="898"/>
        </w:tabs>
        <w:spacing w:after="0" w:line="280" w:lineRule="exact"/>
        <w:rPr>
          <w:rFonts w:ascii="Tahoma" w:hAnsi="Tahoma" w:cs="Tahoma"/>
          <w:sz w:val="16"/>
          <w:szCs w:val="16"/>
          <w:rtl/>
        </w:rPr>
      </w:pPr>
    </w:p>
    <w:p w:rsidR="00D9505F" w:rsidRPr="00D9505F" w:rsidP="005B3251">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5B3251">
        <w:rPr>
          <w:rFonts w:ascii="Tahoma" w:hAnsi="Tahoma" w:cs="Tahoma" w:hint="cs"/>
          <w:sz w:val="16"/>
          <w:szCs w:val="16"/>
          <w:rtl/>
        </w:rPr>
        <w:t>אלול</w:t>
      </w:r>
      <w:r w:rsidR="003C726F">
        <w:rPr>
          <w:rFonts w:ascii="Tahoma" w:hAnsi="Tahoma" w:cs="Tahoma" w:hint="cs"/>
          <w:sz w:val="16"/>
          <w:szCs w:val="16"/>
          <w:rtl/>
        </w:rPr>
        <w:t xml:space="preserve"> </w:t>
      </w:r>
      <w:r w:rsidR="003C726F">
        <w:rPr>
          <w:rFonts w:ascii="Tahoma" w:hAnsi="Tahoma" w:cs="Tahoma" w:hint="cs"/>
          <w:sz w:val="16"/>
          <w:szCs w:val="16"/>
          <w:rtl/>
        </w:rPr>
        <w:t>התשע"ח</w:t>
      </w:r>
    </w:p>
    <w:p w:rsidR="00D9505F" w:rsidP="005B3251">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5B3251">
        <w:rPr>
          <w:rFonts w:ascii="Tahoma" w:hAnsi="Tahoma" w:cs="Tahoma" w:hint="cs"/>
          <w:sz w:val="16"/>
          <w:szCs w:val="16"/>
          <w:rtl/>
        </w:rPr>
        <w:t>אוגוסט</w:t>
      </w:r>
      <w:r w:rsidR="003C726F">
        <w:rPr>
          <w:rFonts w:ascii="Tahoma" w:hAnsi="Tahoma" w:cs="Tahoma" w:hint="cs"/>
          <w:sz w:val="16"/>
          <w:szCs w:val="16"/>
          <w:rtl/>
        </w:rPr>
        <w:t xml:space="preserve"> 2018</w:t>
      </w:r>
    </w:p>
    <w:p w:rsidR="00FB34C4" w:rsidP="005B3251">
      <w:pPr>
        <w:tabs>
          <w:tab w:val="left" w:pos="898"/>
        </w:tabs>
        <w:spacing w:after="0" w:line="280" w:lineRule="exact"/>
        <w:rPr>
          <w:rFonts w:ascii="Tahoma" w:hAnsi="Tahoma" w:cs="Tahoma"/>
          <w:sz w:val="16"/>
          <w:szCs w:val="16"/>
        </w:rPr>
      </w:pPr>
    </w:p>
    <w:p w:rsidR="002501E3" w:rsidP="004604AD">
      <w:pPr>
        <w:tabs>
          <w:tab w:val="left" w:pos="898"/>
        </w:tabs>
        <w:spacing w:after="0" w:line="280" w:lineRule="exact"/>
        <w:rPr>
          <w:rFonts w:ascii="Tahoma" w:hAnsi="Tahoma" w:cs="Tahoma"/>
          <w:sz w:val="16"/>
          <w:szCs w:val="16"/>
          <w:rtl/>
        </w:rPr>
        <w:sectPr w:rsidSect="00CD5C96">
          <w:headerReference w:type="even" r:id="rId10"/>
          <w:headerReference w:type="default" r:id="rId11"/>
          <w:pgSz w:w="11906" w:h="16838" w:code="9"/>
          <w:pgMar w:top="3402" w:right="1701" w:bottom="2835" w:left="3402" w:header="1559" w:footer="709" w:gutter="0"/>
          <w:cols w:space="708"/>
          <w:bidi/>
          <w:rtlGutter/>
          <w:docGrid w:linePitch="360"/>
        </w:sectPr>
      </w:pPr>
      <w:bookmarkEnd w:id="0"/>
      <w:bookmarkEnd w:id="1"/>
      <w:bookmarkEnd w:id="2"/>
      <w:bookmarkEnd w:id="3"/>
      <w:bookmarkEnd w:id="4"/>
    </w:p>
    <w:p w:rsidR="007B5426" w:rsidP="004604AD">
      <w:pPr>
        <w:tabs>
          <w:tab w:val="left" w:pos="898"/>
        </w:tabs>
        <w:spacing w:after="0" w:line="280" w:lineRule="exact"/>
        <w:rPr>
          <w:rFonts w:ascii="Tahoma" w:hAnsi="Tahoma" w:cs="Tahoma"/>
          <w:sz w:val="16"/>
          <w:szCs w:val="16"/>
        </w:rPr>
      </w:pPr>
    </w:p>
    <w:p w:rsidR="002501E3" w:rsidP="004604AD">
      <w:pPr>
        <w:tabs>
          <w:tab w:val="left" w:pos="898"/>
        </w:tabs>
        <w:spacing w:after="0" w:line="280" w:lineRule="exact"/>
        <w:rPr>
          <w:rFonts w:ascii="Tahoma" w:hAnsi="Tahoma" w:cs="Tahoma"/>
          <w:sz w:val="16"/>
          <w:szCs w:val="16"/>
          <w:rtl/>
        </w:rPr>
        <w:sectPr w:rsidSect="002501E3">
          <w:headerReference w:type="even" r:id="rId12"/>
          <w:pgSz w:w="11906" w:h="16838" w:code="9"/>
          <w:pgMar w:top="3402" w:right="1701" w:bottom="2835" w:left="3402" w:header="1559" w:footer="709" w:gutter="0"/>
          <w:cols w:space="708"/>
          <w:bidi/>
          <w:rtlGutter/>
          <w:docGrid w:linePitch="360"/>
        </w:sectPr>
      </w:pPr>
    </w:p>
    <w:p w:rsidR="00FF06EE" w:rsidRPr="00FF06EE" w:rsidP="00FF06EE">
      <w:pPr>
        <w:pageBreakBefore/>
        <w:spacing w:before="1200" w:after="180" w:line="380" w:lineRule="exact"/>
        <w:outlineLvl w:val="0"/>
        <w:rPr>
          <w:rFonts w:ascii="Tahoma" w:hAnsi="Tahoma" w:cs="Tahoma"/>
          <w:b/>
          <w:bCs/>
          <w:color w:val="2A2AA6"/>
          <w:sz w:val="28"/>
          <w:szCs w:val="28"/>
          <w:rtl/>
          <w:lang w:bidi="ar-SA"/>
        </w:rPr>
      </w:pPr>
      <w:r w:rsidRPr="00FF06EE">
        <w:rPr>
          <w:rFonts w:ascii="Tahoma" w:hAnsi="Tahoma" w:cs="Tahoma"/>
          <w:b/>
          <w:bCs/>
          <w:color w:val="2A2AA6"/>
          <w:sz w:val="28"/>
          <w:szCs w:val="28"/>
          <w:rtl/>
          <w:lang w:bidi="ar-SA"/>
        </w:rPr>
        <w:t xml:space="preserve">المقدّمة </w:t>
      </w:r>
    </w:p>
    <w:p w:rsidR="00FF06EE" w:rsidRPr="00FF06EE" w:rsidP="000B4CE8">
      <w:pPr>
        <w:jc w:val="both"/>
        <w:rPr>
          <w:rFonts w:ascii="Tahoma" w:hAnsi="Tahoma" w:cs="Tahoma"/>
          <w:sz w:val="20"/>
          <w:szCs w:val="20"/>
          <w:rtl/>
          <w:lang w:bidi="ar-SA"/>
        </w:rPr>
      </w:pPr>
      <w:r w:rsidRPr="00FF06EE">
        <w:rPr>
          <w:rFonts w:ascii="Tahoma" w:hAnsi="Tahoma" w:cs="Tahoma"/>
          <w:b/>
          <w:bCs/>
          <w:sz w:val="20"/>
          <w:szCs w:val="20"/>
          <w:rtl/>
          <w:lang w:bidi="ar-SA"/>
        </w:rPr>
        <w:t>المجتمع الإسرائيليّ هو مجتمع متعدّد الثقافات يتألّف من مجموعات سكّانيّة متنوّعة.</w:t>
      </w:r>
      <w:r w:rsidRPr="00FF06EE">
        <w:rPr>
          <w:rFonts w:ascii="Tahoma" w:hAnsi="Tahoma" w:cs="Tahoma"/>
          <w:sz w:val="20"/>
          <w:szCs w:val="20"/>
          <w:rtl/>
          <w:lang w:bidi="ar-SA"/>
        </w:rPr>
        <w:t xml:space="preserve"> من بين الأدوار المنوطة </w:t>
      </w:r>
      <w:r w:rsidR="000B4CE8">
        <w:rPr>
          <w:rFonts w:ascii="Tahoma" w:hAnsi="Tahoma" w:cs="Tahoma" w:hint="cs"/>
          <w:sz w:val="20"/>
          <w:szCs w:val="20"/>
          <w:rtl/>
          <w:lang w:bidi="ar-SA"/>
        </w:rPr>
        <w:t>ب</w:t>
      </w:r>
      <w:r w:rsidRPr="00FF06EE">
        <w:rPr>
          <w:rFonts w:ascii="Tahoma" w:hAnsi="Tahoma" w:cs="Tahoma"/>
          <w:sz w:val="20"/>
          <w:szCs w:val="20"/>
          <w:rtl/>
          <w:lang w:bidi="ar-SA"/>
        </w:rPr>
        <w:t xml:space="preserve">الدولة الديمقراطيّة أيضًا، توفير الأمن الشخصيّ لجميع مواطنيها، من دون تمييز بين المجموعات السكّانيّة المختلفة، وذلك من خلال فرض القانون والنظام العامّ وتعزيز الردع في وجه </w:t>
      </w:r>
      <w:r w:rsidR="000B4CE8">
        <w:rPr>
          <w:rFonts w:ascii="Tahoma" w:hAnsi="Tahoma" w:cs="Tahoma" w:hint="cs"/>
          <w:sz w:val="20"/>
          <w:szCs w:val="20"/>
          <w:rtl/>
          <w:lang w:bidi="ar-SA"/>
        </w:rPr>
        <w:t>خرق</w:t>
      </w:r>
      <w:r w:rsidRPr="00FF06EE">
        <w:rPr>
          <w:rFonts w:ascii="Tahoma" w:hAnsi="Tahoma" w:cs="Tahoma"/>
          <w:sz w:val="20"/>
          <w:szCs w:val="20"/>
          <w:rtl/>
          <w:lang w:bidi="ar-SA"/>
        </w:rPr>
        <w:t xml:space="preserve"> القانون. إنّ قيمة "قدسيّة الحياة" التي تشمل الحقّ في الحياة وواجب حماية الحياة على حدّ سواء، هي "من بين أسمى القيم المقدّسة في نهجنا القضائيّ، في تاريخ شعبنا وتاريخ الإنسانيّة جمعاء"</w:t>
      </w:r>
      <w:r>
        <w:rPr>
          <w:rStyle w:val="FootnoteReference"/>
          <w:rFonts w:ascii="Tahoma" w:hAnsi="Tahoma" w:cs="Tahoma"/>
          <w:sz w:val="20"/>
          <w:szCs w:val="20"/>
          <w:rtl/>
        </w:rPr>
        <w:footnoteReference w:id="6"/>
      </w:r>
      <w:r w:rsidRPr="00FF06EE">
        <w:rPr>
          <w:rFonts w:ascii="Tahoma" w:hAnsi="Tahoma" w:cs="Tahoma"/>
          <w:sz w:val="20"/>
          <w:szCs w:val="20"/>
          <w:rtl/>
          <w:lang w:bidi="ar-SA"/>
        </w:rPr>
        <w:t xml:space="preserve">. ليس عبثًا أنّ قانون العقوبات ينصّ على أنّه كفى بتشكيل الخطر على الحياة لارتكاب مخالفة، حتّى لو لم يتّم المسّ بالحياة فعليًّا. وعلى هذا ينصّ القانون الدوليّ أيضًا، وكذلك الإعلان العالميّ لحقوق الإنسان </w:t>
      </w:r>
      <w:r w:rsidR="000B4CE8">
        <w:rPr>
          <w:rFonts w:ascii="Tahoma" w:hAnsi="Tahoma" w:cs="Tahoma" w:hint="cs"/>
          <w:sz w:val="20"/>
          <w:szCs w:val="20"/>
          <w:rtl/>
          <w:lang w:bidi="ar-SA"/>
        </w:rPr>
        <w:t>الصادر</w:t>
      </w:r>
      <w:r w:rsidRPr="00FF06EE">
        <w:rPr>
          <w:rFonts w:ascii="Tahoma" w:hAnsi="Tahoma" w:cs="Tahoma"/>
          <w:sz w:val="20"/>
          <w:szCs w:val="20"/>
          <w:rtl/>
          <w:lang w:bidi="ar-SA"/>
        </w:rPr>
        <w:t xml:space="preserve"> </w:t>
      </w:r>
      <w:r w:rsidR="000B4CE8">
        <w:rPr>
          <w:rFonts w:ascii="Tahoma" w:hAnsi="Tahoma" w:cs="Tahoma" w:hint="cs"/>
          <w:sz w:val="20"/>
          <w:szCs w:val="20"/>
          <w:rtl/>
          <w:lang w:bidi="ar-SA"/>
        </w:rPr>
        <w:t>عام</w:t>
      </w:r>
      <w:r w:rsidRPr="00FF06EE">
        <w:rPr>
          <w:rFonts w:ascii="Tahoma" w:hAnsi="Tahoma" w:cs="Tahoma"/>
          <w:sz w:val="20"/>
          <w:szCs w:val="20"/>
          <w:rtl/>
          <w:lang w:bidi="ar-SA"/>
        </w:rPr>
        <w:t xml:space="preserve"> </w:t>
      </w:r>
      <w:r w:rsidRPr="00FF06EE">
        <w:rPr>
          <w:rFonts w:ascii="Tahoma" w:hAnsi="Tahoma" w:cs="Tahoma"/>
          <w:sz w:val="20"/>
          <w:szCs w:val="20"/>
          <w:rtl/>
        </w:rPr>
        <w:t>1948</w:t>
      </w:r>
      <w:r w:rsidRPr="00FF06EE">
        <w:rPr>
          <w:rFonts w:ascii="Tahoma" w:hAnsi="Tahoma" w:cs="Tahoma"/>
          <w:sz w:val="20"/>
          <w:szCs w:val="20"/>
          <w:rtl/>
          <w:lang w:bidi="ar-SA"/>
        </w:rPr>
        <w:t xml:space="preserve">، حيث </w:t>
      </w:r>
      <w:r w:rsidR="000B4CE8">
        <w:rPr>
          <w:rFonts w:ascii="Tahoma" w:hAnsi="Tahoma" w:cs="Tahoma" w:hint="cs"/>
          <w:sz w:val="20"/>
          <w:szCs w:val="20"/>
          <w:rtl/>
          <w:lang w:bidi="ar-SA"/>
        </w:rPr>
        <w:t>ورد فيه</w:t>
      </w:r>
      <w:r w:rsidRPr="00FF06EE">
        <w:rPr>
          <w:rFonts w:ascii="Tahoma" w:hAnsi="Tahoma" w:cs="Tahoma"/>
          <w:sz w:val="20"/>
          <w:szCs w:val="20"/>
          <w:rtl/>
          <w:lang w:bidi="ar-SA"/>
        </w:rPr>
        <w:t xml:space="preserve"> أنّ "لكلّ</w:t>
      </w:r>
      <w:r w:rsidRPr="00FF06EE">
        <w:rPr>
          <w:rFonts w:ascii="Tahoma" w:hAnsi="Tahoma" w:cs="Tahoma"/>
          <w:sz w:val="20"/>
          <w:szCs w:val="20"/>
          <w:rtl/>
        </w:rPr>
        <w:t xml:space="preserve"> </w:t>
      </w:r>
      <w:r w:rsidRPr="00FF06EE">
        <w:rPr>
          <w:rFonts w:ascii="Tahoma" w:hAnsi="Tahoma" w:cs="Tahoma"/>
          <w:sz w:val="20"/>
          <w:szCs w:val="20"/>
          <w:rtl/>
          <w:lang w:bidi="ar-SA"/>
        </w:rPr>
        <w:t>فرد</w:t>
      </w:r>
      <w:r w:rsidRPr="00FF06EE">
        <w:rPr>
          <w:rFonts w:ascii="Tahoma" w:hAnsi="Tahoma" w:cs="Tahoma"/>
          <w:sz w:val="20"/>
          <w:szCs w:val="20"/>
          <w:rtl/>
        </w:rPr>
        <w:t xml:space="preserve"> </w:t>
      </w:r>
      <w:r w:rsidRPr="00FF06EE">
        <w:rPr>
          <w:rFonts w:ascii="Tahoma" w:hAnsi="Tahoma" w:cs="Tahoma"/>
          <w:sz w:val="20"/>
          <w:szCs w:val="20"/>
          <w:rtl/>
          <w:lang w:bidi="ar-SA"/>
        </w:rPr>
        <w:t>الحقّ في</w:t>
      </w:r>
      <w:r w:rsidRPr="00FF06EE">
        <w:rPr>
          <w:rFonts w:ascii="Tahoma" w:hAnsi="Tahoma" w:cs="Tahoma"/>
          <w:sz w:val="20"/>
          <w:szCs w:val="20"/>
          <w:rtl/>
        </w:rPr>
        <w:t xml:space="preserve"> </w:t>
      </w:r>
      <w:r w:rsidRPr="00FF06EE">
        <w:rPr>
          <w:rFonts w:ascii="Tahoma" w:hAnsi="Tahoma" w:cs="Tahoma"/>
          <w:sz w:val="20"/>
          <w:szCs w:val="20"/>
          <w:rtl/>
          <w:lang w:bidi="ar-SA"/>
        </w:rPr>
        <w:t>الحياة</w:t>
      </w:r>
      <w:r w:rsidRPr="00FF06EE">
        <w:rPr>
          <w:rFonts w:ascii="Tahoma" w:hAnsi="Tahoma" w:cs="Tahoma"/>
          <w:sz w:val="20"/>
          <w:szCs w:val="20"/>
          <w:rtl/>
        </w:rPr>
        <w:t xml:space="preserve"> </w:t>
      </w:r>
      <w:r w:rsidRPr="00FF06EE">
        <w:rPr>
          <w:rFonts w:ascii="Tahoma" w:hAnsi="Tahoma" w:cs="Tahoma"/>
          <w:sz w:val="20"/>
          <w:szCs w:val="20"/>
          <w:rtl/>
          <w:lang w:bidi="ar-SA"/>
        </w:rPr>
        <w:t>والحرّيّة</w:t>
      </w:r>
      <w:r w:rsidRPr="00FF06EE">
        <w:rPr>
          <w:rFonts w:ascii="Tahoma" w:hAnsi="Tahoma" w:cs="Tahoma"/>
          <w:sz w:val="20"/>
          <w:szCs w:val="20"/>
          <w:rtl/>
        </w:rPr>
        <w:t xml:space="preserve"> </w:t>
      </w:r>
      <w:r w:rsidRPr="00FF06EE">
        <w:rPr>
          <w:rFonts w:ascii="Tahoma" w:hAnsi="Tahoma" w:cs="Tahoma"/>
          <w:sz w:val="20"/>
          <w:szCs w:val="20"/>
          <w:rtl/>
          <w:lang w:bidi="ar-SA"/>
        </w:rPr>
        <w:t>وفي</w:t>
      </w:r>
      <w:r w:rsidRPr="00FF06EE">
        <w:rPr>
          <w:rFonts w:ascii="Tahoma" w:hAnsi="Tahoma" w:cs="Tahoma"/>
          <w:sz w:val="20"/>
          <w:szCs w:val="20"/>
          <w:rtl/>
        </w:rPr>
        <w:t xml:space="preserve"> </w:t>
      </w:r>
      <w:r w:rsidRPr="00FF06EE">
        <w:rPr>
          <w:rFonts w:ascii="Tahoma" w:hAnsi="Tahoma" w:cs="Tahoma"/>
          <w:sz w:val="20"/>
          <w:szCs w:val="20"/>
          <w:rtl/>
          <w:lang w:bidi="ar-SA"/>
        </w:rPr>
        <w:t>الأمان</w:t>
      </w:r>
      <w:r w:rsidRPr="00FF06EE">
        <w:rPr>
          <w:rFonts w:ascii="Tahoma" w:hAnsi="Tahoma" w:cs="Tahoma"/>
          <w:sz w:val="20"/>
          <w:szCs w:val="20"/>
          <w:rtl/>
        </w:rPr>
        <w:t xml:space="preserve"> </w:t>
      </w:r>
      <w:r w:rsidRPr="00FF06EE">
        <w:rPr>
          <w:rFonts w:ascii="Tahoma" w:hAnsi="Tahoma" w:cs="Tahoma"/>
          <w:sz w:val="20"/>
          <w:szCs w:val="20"/>
          <w:rtl/>
          <w:lang w:bidi="ar-SA"/>
        </w:rPr>
        <w:t>على</w:t>
      </w:r>
      <w:r w:rsidRPr="00FF06EE">
        <w:rPr>
          <w:rFonts w:ascii="Tahoma" w:hAnsi="Tahoma" w:cs="Tahoma"/>
          <w:sz w:val="20"/>
          <w:szCs w:val="20"/>
          <w:rtl/>
        </w:rPr>
        <w:t xml:space="preserve"> </w:t>
      </w:r>
      <w:r w:rsidRPr="00FF06EE">
        <w:rPr>
          <w:rFonts w:ascii="Tahoma" w:hAnsi="Tahoma" w:cs="Tahoma"/>
          <w:sz w:val="20"/>
          <w:szCs w:val="20"/>
          <w:rtl/>
          <w:lang w:bidi="ar-SA"/>
        </w:rPr>
        <w:t xml:space="preserve">شخصه".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في أعقاب الصدامات بين مواطنين عرب وقوّات الشرطة التي وقعت في تشرين الأوّل </w:t>
      </w:r>
      <w:r w:rsidRPr="00FF06EE">
        <w:rPr>
          <w:rFonts w:ascii="Tahoma" w:hAnsi="Tahoma" w:cs="Tahoma"/>
          <w:sz w:val="20"/>
          <w:szCs w:val="20"/>
          <w:rtl/>
        </w:rPr>
        <w:t>2000</w:t>
      </w:r>
      <w:r w:rsidRPr="00FF06EE">
        <w:rPr>
          <w:rFonts w:ascii="Tahoma" w:hAnsi="Tahoma" w:cs="Tahoma"/>
          <w:sz w:val="20"/>
          <w:szCs w:val="20"/>
          <w:rtl/>
          <w:lang w:bidi="ar-SA"/>
        </w:rPr>
        <w:t xml:space="preserve"> وقتل فيها</w:t>
      </w:r>
      <w:r w:rsidRPr="00FF06EE">
        <w:rPr>
          <w:rFonts w:ascii="Tahoma" w:hAnsi="Tahoma" w:cs="Tahoma"/>
          <w:sz w:val="20"/>
          <w:szCs w:val="20"/>
          <w:rtl/>
        </w:rPr>
        <w:t xml:space="preserve"> 12</w:t>
      </w:r>
      <w:r w:rsidRPr="00FF06EE">
        <w:rPr>
          <w:rFonts w:ascii="Tahoma" w:hAnsi="Tahoma" w:cs="Tahoma"/>
          <w:sz w:val="20"/>
          <w:szCs w:val="20"/>
          <w:rtl/>
          <w:lang w:bidi="ar-SA"/>
        </w:rPr>
        <w:t xml:space="preserve"> مواطنًا عربيًّا وأصيب مواطنون عرب آخرون، شُكّلت لجنة تحقيق رسميّة برئاسة القاضي المتقاعد </w:t>
      </w:r>
      <w:r w:rsidRPr="00FF06EE">
        <w:rPr>
          <w:rFonts w:ascii="Tahoma" w:hAnsi="Tahoma" w:cs="Tahoma"/>
          <w:sz w:val="20"/>
          <w:szCs w:val="20"/>
          <w:rtl/>
          <w:lang w:bidi="ar-SA"/>
        </w:rPr>
        <w:t>ثيئودور</w:t>
      </w:r>
      <w:r w:rsidRPr="00FF06EE">
        <w:rPr>
          <w:rFonts w:ascii="Tahoma" w:hAnsi="Tahoma" w:cs="Tahoma"/>
          <w:sz w:val="20"/>
          <w:szCs w:val="20"/>
          <w:rtl/>
          <w:lang w:bidi="ar-SA"/>
        </w:rPr>
        <w:t xml:space="preserve"> أور لفحص الأحداث المذكورة </w:t>
      </w:r>
      <w:r>
        <w:rPr>
          <w:rFonts w:ascii="Tahoma" w:hAnsi="Tahoma" w:cs="Tahoma"/>
          <w:sz w:val="20"/>
          <w:szCs w:val="20"/>
          <w:vertAlign w:val="superscript"/>
          <w:rtl/>
        </w:rPr>
        <w:footnoteReference w:id="7"/>
      </w:r>
      <w:r w:rsidRPr="00FF06EE">
        <w:rPr>
          <w:rFonts w:ascii="Tahoma" w:hAnsi="Tahoma" w:cs="Tahoma"/>
          <w:sz w:val="20"/>
          <w:szCs w:val="20"/>
          <w:rtl/>
          <w:lang w:bidi="ar-SA"/>
        </w:rPr>
        <w:t xml:space="preserve">. </w:t>
      </w:r>
    </w:p>
    <w:p w:rsidR="00FF06EE" w:rsidRPr="00FF06EE" w:rsidP="000B4CE8">
      <w:pPr>
        <w:jc w:val="both"/>
        <w:rPr>
          <w:rFonts w:ascii="Tahoma" w:hAnsi="Tahoma" w:cs="Tahoma"/>
          <w:sz w:val="20"/>
          <w:szCs w:val="20"/>
          <w:rtl/>
          <w:lang w:bidi="ar-SA"/>
        </w:rPr>
      </w:pPr>
      <w:r w:rsidRPr="00FF06EE">
        <w:rPr>
          <w:rFonts w:ascii="Tahoma" w:hAnsi="Tahoma" w:cs="Tahoma"/>
          <w:sz w:val="20"/>
          <w:szCs w:val="20"/>
          <w:rtl/>
          <w:lang w:bidi="ar-SA"/>
        </w:rPr>
        <w:t xml:space="preserve">أكّدت لجنة أور أنّ المؤسسّة الإسرائيليّة لم تُبْدِ حساسيّة كافية تُجاه احتياجات المجتمع العربيّ ولم تعمل بالقدر الكافي على تخصيص الموارد على قدم المساواة للسكّان العرب. الإخفاق المركزيّ الذي أشارت إليه اللجنة هو أنّه لم تُتّخذ الإجراءات الكافية لفرض القانون داخل المجتمع العربيّ، وعليه تجذّرت في هذا المجتمع ظواهر غير شرعيّة وغير مرغوب فيها. يناقش تقرير الرقابة الحاليّ إحدى المشاكل الرئيسيّة التي تؤثّر في قدرة الدولة على توفير الأمن الشخصيّ للسكّان في المجتمع العربيّ، ألا وهي الحيازة غير القانونيّة </w:t>
      </w:r>
      <w:r w:rsidR="000B4CE8">
        <w:rPr>
          <w:rFonts w:ascii="Tahoma" w:hAnsi="Tahoma" w:cs="Tahoma" w:hint="cs"/>
          <w:sz w:val="20"/>
          <w:szCs w:val="20"/>
          <w:rtl/>
          <w:lang w:bidi="ar-SA"/>
        </w:rPr>
        <w:t xml:space="preserve">للأسلحة </w:t>
      </w:r>
      <w:r w:rsidRPr="00FF06EE">
        <w:rPr>
          <w:rFonts w:ascii="Tahoma" w:hAnsi="Tahoma" w:cs="Tahoma"/>
          <w:sz w:val="20"/>
          <w:szCs w:val="20"/>
          <w:rtl/>
          <w:lang w:bidi="ar-SA"/>
        </w:rPr>
        <w:t>واستخدامه</w:t>
      </w:r>
      <w:r w:rsidR="000B4CE8">
        <w:rPr>
          <w:rFonts w:ascii="Tahoma" w:hAnsi="Tahoma" w:cs="Tahoma" w:hint="cs"/>
          <w:sz w:val="20"/>
          <w:szCs w:val="20"/>
          <w:rtl/>
          <w:lang w:bidi="ar-SA"/>
        </w:rPr>
        <w:t>ا</w:t>
      </w:r>
      <w:r w:rsidRPr="00FF06EE">
        <w:rPr>
          <w:rFonts w:ascii="Tahoma" w:hAnsi="Tahoma" w:cs="Tahoma"/>
          <w:sz w:val="20"/>
          <w:szCs w:val="20"/>
          <w:rtl/>
          <w:lang w:bidi="ar-SA"/>
        </w:rPr>
        <w:t xml:space="preserve">.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أكّدت المحكمة المركزيّة في حيفا قبل خمس سنوات، في سياق جلسات تناولت حادث إطلاق نار خطير وقع في المجتمع العربيّ، على ما يلي: </w:t>
      </w:r>
    </w:p>
    <w:p w:rsidR="00FF06EE" w:rsidRPr="00FF06EE" w:rsidP="000B4CE8">
      <w:pPr>
        <w:ind w:left="567" w:right="567"/>
        <w:jc w:val="both"/>
        <w:rPr>
          <w:rFonts w:ascii="Tahoma" w:hAnsi="Tahoma" w:cs="Tahoma"/>
          <w:sz w:val="20"/>
          <w:szCs w:val="20"/>
          <w:rtl/>
          <w:lang w:bidi="ar-SA"/>
        </w:rPr>
      </w:pPr>
      <w:r w:rsidRPr="00FF06EE">
        <w:rPr>
          <w:rFonts w:ascii="Tahoma" w:hAnsi="Tahoma" w:cs="Tahoma"/>
          <w:sz w:val="20"/>
          <w:szCs w:val="20"/>
          <w:rtl/>
          <w:lang w:bidi="ar-SA"/>
        </w:rPr>
        <w:t xml:space="preserve">"إنّ توفّر الأسلحة الناريّة بشكل غير قانونيّ قد أضحى منذ فترة </w:t>
      </w:r>
      <w:r w:rsidR="000B4CE8">
        <w:rPr>
          <w:rFonts w:ascii="Tahoma" w:hAnsi="Tahoma" w:cs="Tahoma"/>
          <w:sz w:val="20"/>
          <w:szCs w:val="20"/>
          <w:rtl/>
          <w:lang w:bidi="ar-SA"/>
        </w:rPr>
        <w:t>وباء متفشّ</w:t>
      </w:r>
      <w:r w:rsidR="000B4CE8">
        <w:rPr>
          <w:rFonts w:ascii="Tahoma" w:hAnsi="Tahoma" w:cs="Tahoma" w:hint="cs"/>
          <w:sz w:val="20"/>
          <w:szCs w:val="20"/>
          <w:rtl/>
          <w:lang w:bidi="ar-SA"/>
        </w:rPr>
        <w:t>يًا</w:t>
      </w:r>
      <w:r w:rsidRPr="00FF06EE">
        <w:rPr>
          <w:rFonts w:ascii="Tahoma" w:hAnsi="Tahoma" w:cs="Tahoma"/>
          <w:sz w:val="20"/>
          <w:szCs w:val="20"/>
          <w:rtl/>
          <w:lang w:bidi="ar-SA"/>
        </w:rPr>
        <w:t xml:space="preserve">... لقد سئم الجمهور هذا الوضع الذي فيه </w:t>
      </w:r>
      <w:r w:rsidR="000B4CE8">
        <w:rPr>
          <w:rFonts w:ascii="Tahoma" w:hAnsi="Tahoma" w:cs="Tahoma" w:hint="cs"/>
          <w:sz w:val="20"/>
          <w:szCs w:val="20"/>
          <w:rtl/>
          <w:lang w:bidi="ar-SA"/>
        </w:rPr>
        <w:t>يحصل فيه</w:t>
      </w:r>
      <w:r w:rsidR="000B4CE8">
        <w:rPr>
          <w:rFonts w:ascii="Tahoma" w:hAnsi="Tahoma" w:cs="Tahoma"/>
          <w:sz w:val="20"/>
          <w:szCs w:val="20"/>
          <w:rtl/>
          <w:lang w:bidi="ar-SA"/>
        </w:rPr>
        <w:t xml:space="preserve"> مخالف</w:t>
      </w:r>
      <w:r w:rsidR="000B4CE8">
        <w:rPr>
          <w:rFonts w:ascii="Tahoma" w:hAnsi="Tahoma" w:cs="Tahoma" w:hint="cs"/>
          <w:sz w:val="20"/>
          <w:szCs w:val="20"/>
          <w:rtl/>
          <w:lang w:bidi="ar-SA"/>
        </w:rPr>
        <w:t>و</w:t>
      </w:r>
      <w:r w:rsidRPr="00FF06EE">
        <w:rPr>
          <w:rFonts w:ascii="Tahoma" w:hAnsi="Tahoma" w:cs="Tahoma"/>
          <w:sz w:val="20"/>
          <w:szCs w:val="20"/>
          <w:rtl/>
          <w:lang w:bidi="ar-SA"/>
        </w:rPr>
        <w:t xml:space="preserve"> </w:t>
      </w:r>
      <w:bookmarkStart w:id="5" w:name="_GoBack"/>
      <w:r w:rsidRPr="00FF06EE">
        <w:rPr>
          <w:rFonts w:ascii="Tahoma" w:hAnsi="Tahoma" w:cs="Tahoma"/>
          <w:sz w:val="20"/>
          <w:szCs w:val="20"/>
          <w:rtl/>
          <w:lang w:bidi="ar-SA"/>
        </w:rPr>
        <w:t xml:space="preserve">القانون على سلاح ناريّ ويستخدمونه للمسّ بمنافسيهم. يبدو اليوم أنّه </w:t>
      </w:r>
      <w:bookmarkEnd w:id="5"/>
      <w:r w:rsidRPr="00FF06EE">
        <w:rPr>
          <w:rFonts w:ascii="Tahoma" w:hAnsi="Tahoma" w:cs="Tahoma"/>
          <w:sz w:val="20"/>
          <w:szCs w:val="20"/>
          <w:rtl/>
          <w:lang w:bidi="ar-SA"/>
        </w:rPr>
        <w:t>لا حاجة للإكثار من الكلام بالنسبة إلى الخطورة الكبيرة ل</w:t>
      </w:r>
      <w:r w:rsidR="000B4CE8">
        <w:rPr>
          <w:rFonts w:ascii="Tahoma" w:hAnsi="Tahoma" w:cs="Tahoma" w:hint="cs"/>
          <w:sz w:val="20"/>
          <w:szCs w:val="20"/>
          <w:rtl/>
          <w:lang w:bidi="ar-SA"/>
        </w:rPr>
        <w:t>ل</w:t>
      </w:r>
      <w:r w:rsidRPr="00FF06EE">
        <w:rPr>
          <w:rFonts w:ascii="Tahoma" w:hAnsi="Tahoma" w:cs="Tahoma"/>
          <w:sz w:val="20"/>
          <w:szCs w:val="20"/>
          <w:rtl/>
          <w:lang w:bidi="ar-SA"/>
        </w:rPr>
        <w:t xml:space="preserve">مخالفات المتعلّقة بالأسلحة" </w:t>
      </w:r>
      <w:r>
        <w:rPr>
          <w:rStyle w:val="FootnoteReference"/>
          <w:rFonts w:ascii="Tahoma" w:hAnsi="Tahoma" w:cs="Tahoma"/>
          <w:sz w:val="20"/>
          <w:szCs w:val="20"/>
          <w:rtl/>
        </w:rPr>
        <w:footnoteReference w:id="8"/>
      </w:r>
      <w:r w:rsidRPr="00FF06EE">
        <w:rPr>
          <w:rFonts w:ascii="Tahoma" w:hAnsi="Tahoma" w:cs="Tahoma"/>
          <w:sz w:val="20"/>
          <w:szCs w:val="20"/>
          <w:rtl/>
          <w:lang w:bidi="ar-SA"/>
        </w:rPr>
        <w:t xml:space="preserve">. </w:t>
      </w:r>
    </w:p>
    <w:p w:rsidR="00FF06EE" w:rsidRPr="00FF06EE" w:rsidP="000B4CE8">
      <w:pPr>
        <w:jc w:val="both"/>
        <w:rPr>
          <w:rFonts w:ascii="Tahoma" w:hAnsi="Tahoma" w:cs="Tahoma"/>
          <w:sz w:val="20"/>
          <w:szCs w:val="20"/>
          <w:rtl/>
        </w:rPr>
      </w:pPr>
      <w:r w:rsidRPr="00FF06EE">
        <w:rPr>
          <w:rFonts w:ascii="Tahoma" w:hAnsi="Tahoma" w:cs="Tahoma"/>
          <w:sz w:val="20"/>
          <w:szCs w:val="20"/>
          <w:rtl/>
          <w:lang w:bidi="ar-SA"/>
        </w:rPr>
        <w:t xml:space="preserve">يبدو واضحًا أيضًا أنّه منذ نشر تقرير لجنة أور، بذلت الشرطة جهودًا </w:t>
      </w:r>
      <w:r w:rsidR="000B4CE8">
        <w:rPr>
          <w:rFonts w:ascii="Tahoma" w:hAnsi="Tahoma" w:cs="Tahoma" w:hint="cs"/>
          <w:sz w:val="20"/>
          <w:szCs w:val="20"/>
          <w:rtl/>
          <w:lang w:bidi="ar-SA"/>
        </w:rPr>
        <w:t>للحدّ</w:t>
      </w:r>
      <w:r w:rsidRPr="00FF06EE">
        <w:rPr>
          <w:rFonts w:ascii="Tahoma" w:hAnsi="Tahoma" w:cs="Tahoma"/>
          <w:sz w:val="20"/>
          <w:szCs w:val="20"/>
          <w:rtl/>
          <w:lang w:bidi="ar-SA"/>
        </w:rPr>
        <w:t xml:space="preserve"> من أحداث العنف الخطيرة واستخدام </w:t>
      </w:r>
      <w:r w:rsidR="000B4CE8">
        <w:rPr>
          <w:rFonts w:ascii="Tahoma" w:hAnsi="Tahoma" w:cs="Tahoma" w:hint="cs"/>
          <w:sz w:val="20"/>
          <w:szCs w:val="20"/>
          <w:rtl/>
          <w:lang w:bidi="ar-SA"/>
        </w:rPr>
        <w:t xml:space="preserve">الأسلحة </w:t>
      </w:r>
      <w:r w:rsidRPr="00FF06EE">
        <w:rPr>
          <w:rFonts w:ascii="Tahoma" w:hAnsi="Tahoma" w:cs="Tahoma"/>
          <w:sz w:val="20"/>
          <w:szCs w:val="20"/>
          <w:rtl/>
          <w:lang w:bidi="ar-SA"/>
        </w:rPr>
        <w:t>غير القانونيّة، بل إنّها وضعت في السنوات الأخيرة خطّة عمل شاملة لمواجهة الإجرام في المجتمع العربيّ. ومع ذلك تشير النتائج التي كشف عنها هذا التقرير إلى سلسلة من النواقص والصعوبات في تنفيذ الخط</w:t>
      </w:r>
      <w:r>
        <w:rPr>
          <w:rFonts w:ascii="Tahoma" w:hAnsi="Tahoma" w:cs="Tahoma"/>
          <w:sz w:val="20"/>
          <w:szCs w:val="20"/>
          <w:rtl/>
          <w:lang w:bidi="ar-SA"/>
        </w:rPr>
        <w:t xml:space="preserve">وات التي </w:t>
      </w:r>
      <w:r w:rsidR="000B4CE8">
        <w:rPr>
          <w:rFonts w:ascii="Tahoma" w:hAnsi="Tahoma" w:cs="Tahoma" w:hint="cs"/>
          <w:sz w:val="20"/>
          <w:szCs w:val="20"/>
          <w:rtl/>
          <w:lang w:bidi="ar-SA"/>
        </w:rPr>
        <w:t>وضعتها</w:t>
      </w:r>
      <w:r>
        <w:rPr>
          <w:rFonts w:ascii="Tahoma" w:hAnsi="Tahoma" w:cs="Tahoma"/>
          <w:sz w:val="20"/>
          <w:szCs w:val="20"/>
          <w:rtl/>
          <w:lang w:bidi="ar-SA"/>
        </w:rPr>
        <w:t xml:space="preserve"> قيادة الشرطة. </w:t>
      </w:r>
    </w:p>
    <w:p w:rsidR="00FF06EE" w:rsidRPr="00FF06EE" w:rsidP="00FF06EE">
      <w:pPr>
        <w:pStyle w:val="PlainText"/>
        <w:widowControl/>
        <w:spacing w:after="120" w:line="360" w:lineRule="auto"/>
        <w:rPr>
          <w:rFonts w:ascii="Tahoma" w:hAnsi="Tahoma" w:eastAsiaTheme="minorEastAsia" w:cs="Tahoma"/>
          <w:spacing w:val="-4"/>
          <w:rtl/>
          <w:lang w:eastAsia="en-US" w:bidi="ar-SA"/>
        </w:rPr>
      </w:pPr>
      <w:r w:rsidRPr="00FF06EE">
        <w:rPr>
          <w:rFonts w:ascii="Tahoma" w:hAnsi="Tahoma" w:eastAsiaTheme="minorEastAsia" w:cs="Tahoma"/>
          <w:spacing w:val="-4"/>
          <w:rtl/>
          <w:lang w:eastAsia="en-US" w:bidi="ar-SA"/>
        </w:rPr>
        <w:t>يستوجب الخطر الكبير الناجم عن استخدام الأسلحة غير ا</w:t>
      </w:r>
      <w:r w:rsidR="000B4CE8">
        <w:rPr>
          <w:rFonts w:ascii="Tahoma" w:hAnsi="Tahoma" w:eastAsiaTheme="minorEastAsia" w:cs="Tahoma"/>
          <w:spacing w:val="-4"/>
          <w:rtl/>
          <w:lang w:eastAsia="en-US" w:bidi="ar-SA"/>
        </w:rPr>
        <w:t>لقانونيّة وإطلاق النار، وتأثيره</w:t>
      </w:r>
      <w:r w:rsidRPr="00FF06EE">
        <w:rPr>
          <w:rFonts w:ascii="Tahoma" w:hAnsi="Tahoma" w:eastAsiaTheme="minorEastAsia" w:cs="Tahoma"/>
          <w:spacing w:val="-4"/>
          <w:rtl/>
          <w:lang w:eastAsia="en-US" w:bidi="ar-SA"/>
        </w:rPr>
        <w:t xml:space="preserve"> في نشوء معايير سلبيّة من التجاهل والتخلّي والاستخفاف بحياة البشر، العمل على نطاق واسع من جانب الحكومة والشرطة. هذا العمل مطلوب بادئ ذي بدء لتغيير المعايير وتعزيز قيمة "قدسيّة الحياة" التي هي القيمة المضادّة. ليس هذا فحسب، بل إنّه في المجتمع الديمقراطيّ يجب أن يكون نشاط الشرطة استنادًا إلى اتّفاق عامّ واسع بأكبر قدر ممكن وإلى ثقة الجمهور بها أيضًا. ما دامت الشرطة تواجه صعوبات في إنفاذ القانون وتفادي ظواهر مخالفة القانون الخطيرة خاصّة ظواهر العنف وإطلاق النار من قبل سكّان عرب، فأنّه سينظر إليها على أنّها عديمة النجاعة وغير مهنيّة، إضافة إلى أنّها لا تتعامل على قدم المساواة مع جميع مواطني الدولة. كلّما ترسّخت هذه الصورة، قلّت ثقة الجمهور في المجتمع العربيّ بالشرطة وبجميع مؤسّسات الدولة، ممّا قد تترتّب عليه تأثيرات بعيدة المدى في المجتمع الإسرائيليّ عامّة.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لتمكين الشرطة من تعزيز نشاطها في المجتمع العربيّ وإحداث التغيير المنشود في قدرتها على فرض القانون، حماية النظام العامّ وتعزيز الأمن الشخصيّ للمواطنين، يحب </w:t>
      </w:r>
      <w:r w:rsidRPr="00FF06EE">
        <w:rPr>
          <w:rFonts w:ascii="Tahoma" w:hAnsi="Tahoma" w:cs="Tahoma"/>
          <w:sz w:val="20"/>
          <w:szCs w:val="20"/>
          <w:rtl/>
          <w:lang w:bidi="ar-SA"/>
        </w:rPr>
        <w:t xml:space="preserve">تنفيذ قرار الحكومة رقم </w:t>
      </w:r>
      <w:r w:rsidRPr="00FF06EE">
        <w:rPr>
          <w:rFonts w:ascii="Tahoma" w:hAnsi="Tahoma" w:cs="Tahoma"/>
          <w:sz w:val="20"/>
          <w:szCs w:val="20"/>
          <w:rtl/>
        </w:rPr>
        <w:t xml:space="preserve">922 </w:t>
      </w:r>
      <w:r w:rsidRPr="00FF06EE">
        <w:rPr>
          <w:rFonts w:ascii="Tahoma" w:hAnsi="Tahoma" w:cs="Tahoma"/>
          <w:sz w:val="20"/>
          <w:szCs w:val="20"/>
          <w:rtl/>
          <w:lang w:bidi="ar-SA"/>
        </w:rPr>
        <w:t>الصادر في كانون الأوّل</w:t>
      </w:r>
      <w:r w:rsidRPr="00FF06EE">
        <w:rPr>
          <w:rFonts w:ascii="Tahoma" w:hAnsi="Tahoma" w:cs="Tahoma"/>
          <w:sz w:val="20"/>
          <w:szCs w:val="20"/>
          <w:rtl/>
        </w:rPr>
        <w:t xml:space="preserve"> 2015</w:t>
      </w:r>
      <w:r w:rsidRPr="00FF06EE">
        <w:rPr>
          <w:rFonts w:ascii="Tahoma" w:hAnsi="Tahoma" w:cs="Tahoma"/>
          <w:sz w:val="20"/>
          <w:szCs w:val="20"/>
          <w:rtl/>
          <w:lang w:bidi="ar-SA"/>
        </w:rPr>
        <w:t xml:space="preserve"> والذي ينصّ على تعزيز الشرطة بقوًى بشريّة وموارد للتعامل مع مستوى الإجرام والعنف العالي في البلدات العربيّة. لكنّ تعزيز الشرطة وحده لا يكفي. إذ إنّ هناك حاجة إلى مشاركة كبيرة من جانب بقيّة الوزارات في زيادة نسب التشغيل، التطوير الاقتصاديّ، تعزيز جهاز التربية والتعليم، تحسين جودة الحياة والصحّة للسكّان من المجتمع العربيّ، تعزيز منظومات الرفاه الاجتماعيّ، البنى التحتيّة، المواصلات والسكن. </w:t>
      </w:r>
    </w:p>
    <w:p w:rsidR="00FF06EE" w:rsidRPr="00FF06EE" w:rsidP="00EB372D">
      <w:pPr>
        <w:jc w:val="both"/>
        <w:rPr>
          <w:rFonts w:ascii="Tahoma" w:hAnsi="Tahoma" w:cs="Tahoma"/>
          <w:sz w:val="20"/>
          <w:szCs w:val="20"/>
          <w:rtl/>
          <w:lang w:bidi="ar-SA"/>
        </w:rPr>
      </w:pPr>
      <w:r w:rsidRPr="00FF06EE">
        <w:rPr>
          <w:rFonts w:ascii="Tahoma" w:hAnsi="Tahoma" w:cs="Tahoma"/>
          <w:sz w:val="20"/>
          <w:szCs w:val="20"/>
          <w:rtl/>
          <w:lang w:bidi="ar-SA"/>
        </w:rPr>
        <w:t xml:space="preserve">السكّان من المجتمع العربيّ هم أوّل المستفيدين من نشاطات فرض القانون المعزّزة من قبل الشرطة بهدف القضاء على ظواهر مخالفة القانون </w:t>
      </w:r>
      <w:r w:rsidR="000B4CE8">
        <w:rPr>
          <w:rFonts w:ascii="Tahoma" w:hAnsi="Tahoma" w:cs="Tahoma" w:hint="cs"/>
          <w:sz w:val="20"/>
          <w:szCs w:val="20"/>
          <w:rtl/>
          <w:lang w:bidi="ar-SA"/>
        </w:rPr>
        <w:t>الخطيرة</w:t>
      </w:r>
      <w:r w:rsidRPr="00FF06EE">
        <w:rPr>
          <w:rFonts w:ascii="Tahoma" w:hAnsi="Tahoma" w:cs="Tahoma"/>
          <w:sz w:val="20"/>
          <w:szCs w:val="20"/>
          <w:rtl/>
          <w:lang w:bidi="ar-SA"/>
        </w:rPr>
        <w:t xml:space="preserve"> المنتشرة في المجتمع العربيّ، مع التركيز بشكل خاصّ على العنف الخطير وحالات إطلاق النار التي تشكّل تهديدًا لحياة الناس </w:t>
      </w:r>
      <w:r w:rsidR="00EB372D">
        <w:rPr>
          <w:rFonts w:ascii="Tahoma" w:hAnsi="Tahoma" w:cs="Tahoma" w:hint="cs"/>
          <w:sz w:val="20"/>
          <w:szCs w:val="20"/>
          <w:rtl/>
          <w:lang w:bidi="ar-SA"/>
        </w:rPr>
        <w:t>و</w:t>
      </w:r>
      <w:r w:rsidR="00EB372D">
        <w:rPr>
          <w:rFonts w:ascii="Tahoma" w:hAnsi="Tahoma" w:cs="Tahoma"/>
          <w:sz w:val="20"/>
          <w:szCs w:val="20"/>
          <w:rtl/>
          <w:lang w:bidi="ar-SA"/>
        </w:rPr>
        <w:t xml:space="preserve">هي </w:t>
      </w:r>
      <w:r w:rsidRPr="00FF06EE">
        <w:rPr>
          <w:rFonts w:ascii="Tahoma" w:hAnsi="Tahoma" w:cs="Tahoma"/>
          <w:sz w:val="20"/>
          <w:szCs w:val="20"/>
          <w:rtl/>
          <w:lang w:bidi="ar-SA"/>
        </w:rPr>
        <w:t xml:space="preserve">أحداث تمسّ بنسيج الحياة في البلدات العربيّة وبالأمن الشخصيّ للسكّان. إنّ التعاون بين المجتمع العربيّ وقياداته من جهة وبين الشرطة، من جهة أخرى، ضروريّ للنهوض بخطوات وقائيّة ولإنفاذ القانون بالنسبة إلى ظواهر مخالفة القانون داخل هذا المجتمع. </w:t>
      </w:r>
    </w:p>
    <w:p w:rsidR="00FF06EE" w:rsidP="00FF06EE">
      <w:pPr>
        <w:jc w:val="both"/>
        <w:rPr>
          <w:rFonts w:ascii="Tahoma" w:hAnsi="Tahoma" w:cs="Tahoma"/>
          <w:sz w:val="20"/>
          <w:szCs w:val="20"/>
          <w:rtl/>
          <w:lang w:bidi="ar-SA"/>
        </w:rPr>
      </w:pPr>
      <w:r w:rsidRPr="00FF06EE">
        <w:rPr>
          <w:rFonts w:ascii="Tahoma" w:hAnsi="Tahoma" w:cs="Tahoma"/>
          <w:sz w:val="20"/>
          <w:szCs w:val="20"/>
          <w:rtl/>
          <w:lang w:bidi="ar-SA"/>
        </w:rPr>
        <w:t>إنّ أحداث العنف التي تُستخدم فيها الأسلحة غير القانونيّة آخذة في الازدياد في السنوات الأخيرة، سواء أكان من حيث الوتيرة أو من حيث قوّتها. إنّ تنفيذ توصيات هذا التقرير من قبل الحكومة والشرطة با</w:t>
      </w:r>
      <w:r w:rsidR="00EB372D">
        <w:rPr>
          <w:rFonts w:ascii="Tahoma" w:hAnsi="Tahoma" w:cs="Tahoma"/>
          <w:sz w:val="20"/>
          <w:szCs w:val="20"/>
          <w:rtl/>
          <w:lang w:bidi="ar-SA"/>
        </w:rPr>
        <w:t>لتعاون مع قيادة المجتمع العربيّ</w:t>
      </w:r>
      <w:r w:rsidRPr="00FF06EE">
        <w:rPr>
          <w:rFonts w:ascii="Tahoma" w:hAnsi="Tahoma" w:cs="Tahoma"/>
          <w:sz w:val="20"/>
          <w:szCs w:val="20"/>
          <w:rtl/>
          <w:lang w:bidi="ar-SA"/>
        </w:rPr>
        <w:t xml:space="preserve"> سيُسهم في مواجهة هذه الطواهر القاسية. </w:t>
      </w:r>
    </w:p>
    <w:p w:rsidR="00822E5A" w:rsidP="00FF06EE">
      <w:pPr>
        <w:jc w:val="both"/>
        <w:rPr>
          <w:rFonts w:ascii="Tahoma" w:hAnsi="Tahoma" w:cs="Tahoma"/>
          <w:sz w:val="20"/>
          <w:szCs w:val="20"/>
          <w:rtl/>
          <w:lang w:bidi="ar-SA"/>
        </w:rPr>
      </w:pPr>
    </w:p>
    <w:p w:rsidR="00822E5A" w:rsidRPr="00FF06EE" w:rsidP="00BD0C09">
      <w:pPr>
        <w:jc w:val="both"/>
        <w:rPr>
          <w:rFonts w:ascii="Tahoma" w:hAnsi="Tahoma" w:cs="Tahoma"/>
          <w:sz w:val="20"/>
          <w:szCs w:val="20"/>
          <w:rtl/>
          <w:lang w:bidi="ar-SA"/>
        </w:rPr>
      </w:pPr>
      <w:r w:rsidRPr="00822E5A">
        <w:rPr>
          <w:rFonts w:ascii="Tahoma" w:hAnsi="Tahoma" w:cs="Tahoma" w:hint="cs"/>
          <w:sz w:val="20"/>
          <w:szCs w:val="20"/>
          <w:rtl/>
          <w:lang w:bidi="ar-SA"/>
        </w:rPr>
        <w:t xml:space="preserve">يرد موجز التقرير باللغة العربيّة في ص. </w:t>
      </w:r>
      <w:r w:rsidRPr="00822E5A">
        <w:rPr>
          <w:rFonts w:ascii="Tahoma" w:hAnsi="Tahoma" w:cs="Tahoma"/>
          <w:sz w:val="20"/>
          <w:szCs w:val="20"/>
          <w:rtl/>
        </w:rPr>
        <w:t>7</w:t>
      </w:r>
      <w:r w:rsidR="00BD0C09">
        <w:rPr>
          <w:rFonts w:ascii="Tahoma" w:hAnsi="Tahoma" w:cs="Tahoma" w:hint="cs"/>
          <w:sz w:val="20"/>
          <w:szCs w:val="20"/>
          <w:rtl/>
        </w:rPr>
        <w:t>1</w:t>
      </w:r>
      <w:r w:rsidRPr="00822E5A">
        <w:rPr>
          <w:rFonts w:ascii="Tahoma" w:hAnsi="Tahoma" w:cs="Tahoma" w:hint="cs"/>
          <w:sz w:val="20"/>
          <w:szCs w:val="20"/>
          <w:rtl/>
          <w:lang w:bidi="ar-SA"/>
        </w:rPr>
        <w:t xml:space="preserve">.   </w:t>
      </w:r>
    </w:p>
    <w:p w:rsidR="002501E3" w:rsidRPr="00170230" w:rsidP="002501E3">
      <w:pPr>
        <w:tabs>
          <w:tab w:val="center" w:pos="4535"/>
        </w:tabs>
        <w:spacing w:before="60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37305" name="Shapira_Sig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2501E3" w:rsidRPr="009B7FD5" w:rsidP="00EB372D">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w:t>
      </w:r>
      <w:r w:rsidRPr="009B7FD5">
        <w:rPr>
          <w:rFonts w:ascii="Tahoma" w:hAnsi="Tahoma" w:cs="Tahoma"/>
          <w:b/>
          <w:bCs/>
          <w:sz w:val="20"/>
          <w:szCs w:val="20"/>
          <w:rtl/>
          <w:lang w:bidi="ar-SA"/>
        </w:rPr>
        <w:t>ش</w:t>
      </w:r>
      <w:r w:rsidR="00EB372D">
        <w:rPr>
          <w:rFonts w:ascii="Tahoma" w:hAnsi="Tahoma" w:cs="Tahoma"/>
          <w:b/>
          <w:bCs/>
          <w:sz w:val="20"/>
          <w:szCs w:val="20"/>
          <w:rtl/>
          <w:lang w:bidi="ar-SA"/>
        </w:rPr>
        <w:t>پ</w:t>
      </w:r>
      <w:r w:rsidRPr="009B7FD5">
        <w:rPr>
          <w:rFonts w:ascii="Tahoma" w:hAnsi="Tahoma" w:cs="Tahoma"/>
          <w:b/>
          <w:bCs/>
          <w:sz w:val="20"/>
          <w:szCs w:val="20"/>
          <w:rtl/>
          <w:lang w:bidi="ar-SA"/>
        </w:rPr>
        <w:t>يرا</w:t>
      </w:r>
      <w:r w:rsidR="00C746C1">
        <w:rPr>
          <w:rFonts w:ascii="Tahoma" w:hAnsi="Tahoma" w:cs="Tahoma" w:hint="cs"/>
          <w:b/>
          <w:bCs/>
          <w:sz w:val="20"/>
          <w:szCs w:val="20"/>
          <w:rtl/>
          <w:lang w:bidi="ar-SA"/>
        </w:rPr>
        <w:t>،</w:t>
      </w:r>
      <w:r w:rsidRPr="009B7FD5">
        <w:rPr>
          <w:rFonts w:ascii="Tahoma" w:hAnsi="Tahoma" w:cs="Tahoma"/>
          <w:b/>
          <w:bCs/>
          <w:sz w:val="20"/>
          <w:szCs w:val="20"/>
          <w:rtl/>
          <w:lang w:bidi="ar-SA"/>
        </w:rPr>
        <w:t xml:space="preserve"> قاض</w:t>
      </w:r>
      <w:r w:rsidR="00483033">
        <w:rPr>
          <w:rFonts w:ascii="Tahoma" w:hAnsi="Tahoma" w:cs="Tahoma" w:hint="cs"/>
          <w:b/>
          <w:bCs/>
          <w:sz w:val="20"/>
          <w:szCs w:val="20"/>
          <w:rtl/>
          <w:lang w:bidi="ar-SA"/>
        </w:rPr>
        <w:t>ٍ</w:t>
      </w:r>
      <w:r w:rsidRPr="009B7FD5">
        <w:rPr>
          <w:rFonts w:ascii="Tahoma" w:hAnsi="Tahoma" w:cs="Tahoma"/>
          <w:b/>
          <w:bCs/>
          <w:sz w:val="20"/>
          <w:szCs w:val="20"/>
          <w:rtl/>
          <w:lang w:bidi="ar-SA"/>
        </w:rPr>
        <w:t xml:space="preserve"> </w:t>
      </w:r>
      <w:r w:rsidRPr="009B7FD5">
        <w:rPr>
          <w:rFonts w:ascii="Tahoma" w:hAnsi="Tahoma" w:cs="Tahoma"/>
          <w:b/>
          <w:bCs/>
          <w:sz w:val="20"/>
          <w:szCs w:val="20"/>
          <w:rtl/>
          <w:lang w:bidi="ar-AE"/>
        </w:rPr>
        <w:t>(متقاعد)</w:t>
      </w:r>
    </w:p>
    <w:p w:rsidR="002501E3" w:rsidRPr="009B7FD5" w:rsidP="002501E3">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 الدولة</w:t>
      </w:r>
    </w:p>
    <w:p w:rsidR="002501E3" w:rsidRPr="009B7FD5" w:rsidP="002501E3">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 شكاوى الجمهور</w:t>
      </w:r>
    </w:p>
    <w:p w:rsidR="002501E3" w:rsidP="002501E3">
      <w:pPr>
        <w:widowControl w:val="0"/>
        <w:tabs>
          <w:tab w:val="center" w:pos="4746"/>
        </w:tabs>
        <w:spacing w:after="0" w:line="280" w:lineRule="exact"/>
        <w:rPr>
          <w:rFonts w:ascii="Tahoma" w:hAnsi="Tahoma" w:cs="Tahoma"/>
          <w:sz w:val="20"/>
          <w:szCs w:val="20"/>
          <w:rtl/>
          <w:lang w:bidi="ar-SA"/>
        </w:rPr>
      </w:pPr>
    </w:p>
    <w:p w:rsidR="002501E3" w:rsidRPr="002501E3" w:rsidP="00FF06EE">
      <w:pPr>
        <w:widowControl w:val="0"/>
        <w:tabs>
          <w:tab w:val="center" w:pos="4746"/>
        </w:tabs>
        <w:spacing w:after="0" w:line="280" w:lineRule="exact"/>
        <w:rPr>
          <w:rFonts w:ascii="Tahoma" w:hAnsi="Tahoma" w:cs="Tahoma"/>
          <w:sz w:val="20"/>
          <w:szCs w:val="20"/>
          <w:lang w:bidi="ar-SA"/>
        </w:rPr>
      </w:pPr>
      <w:r w:rsidRPr="002501E3">
        <w:rPr>
          <w:rFonts w:ascii="Tahoma" w:hAnsi="Tahoma" w:cs="Tahoma"/>
          <w:sz w:val="20"/>
          <w:szCs w:val="20"/>
          <w:rtl/>
          <w:lang w:bidi="ar-SA"/>
        </w:rPr>
        <w:t>أورشليم القدس</w:t>
      </w:r>
      <w:r w:rsidRPr="007B5426">
        <w:rPr>
          <w:rFonts w:ascii="Tahoma" w:hAnsi="Tahoma" w:cs="Tahoma"/>
          <w:sz w:val="20"/>
          <w:szCs w:val="20"/>
          <w:rtl/>
          <w:lang w:bidi="ar-SA"/>
        </w:rPr>
        <w:t>،</w:t>
      </w:r>
      <w:r w:rsidRPr="002501E3">
        <w:rPr>
          <w:rFonts w:ascii="Tahoma" w:hAnsi="Tahoma" w:cs="Tahoma"/>
          <w:sz w:val="20"/>
          <w:szCs w:val="20"/>
          <w:rtl/>
          <w:lang w:bidi="ar-SA"/>
        </w:rPr>
        <w:t xml:space="preserve"> </w:t>
      </w:r>
      <w:r w:rsidR="00FF06EE">
        <w:rPr>
          <w:rFonts w:ascii="Sakkal Majalla" w:eastAsia="Tahoma" w:hAnsi="Sakkal Majalla" w:cs="Sakkal Majalla" w:hint="cs"/>
          <w:b/>
          <w:bCs/>
          <w:sz w:val="28"/>
          <w:szCs w:val="28"/>
          <w:rtl/>
          <w:lang w:bidi="ar-SA"/>
        </w:rPr>
        <w:t>آب</w:t>
      </w:r>
      <w:r w:rsidRPr="00477667" w:rsidR="00FF06EE">
        <w:rPr>
          <w:rFonts w:ascii="Sakkal Majalla" w:eastAsia="Tahoma" w:hAnsi="Sakkal Majalla" w:cs="Sakkal Majalla"/>
          <w:b/>
          <w:bCs/>
          <w:sz w:val="28"/>
          <w:szCs w:val="28"/>
          <w:rtl/>
          <w:lang w:bidi="ar-SA"/>
        </w:rPr>
        <w:t xml:space="preserve"> </w:t>
      </w:r>
      <w:r w:rsidRPr="002501E3">
        <w:rPr>
          <w:rFonts w:ascii="Tahoma" w:hAnsi="Tahoma" w:cs="Tahoma" w:hint="cs"/>
          <w:sz w:val="20"/>
          <w:szCs w:val="20"/>
          <w:rtl/>
        </w:rPr>
        <w:t>2018</w:t>
      </w:r>
    </w:p>
    <w:p w:rsidR="002501E3" w:rsidP="004604AD">
      <w:pPr>
        <w:tabs>
          <w:tab w:val="left" w:pos="898"/>
        </w:tabs>
        <w:spacing w:after="0" w:line="280" w:lineRule="exact"/>
        <w:rPr>
          <w:rFonts w:ascii="Tahoma" w:hAnsi="Tahoma" w:cs="Tahoma"/>
          <w:sz w:val="16"/>
          <w:szCs w:val="16"/>
          <w:rtl/>
        </w:rPr>
        <w:sectPr w:rsidSect="00CD5C96">
          <w:headerReference w:type="even" r:id="rId13"/>
          <w:headerReference w:type="default" r:id="rId14"/>
          <w:pgSz w:w="11906" w:h="16838" w:code="9"/>
          <w:pgMar w:top="3402" w:right="1701" w:bottom="2835" w:left="3402" w:header="1559" w:footer="709" w:gutter="0"/>
          <w:cols w:space="708"/>
          <w:bidi/>
          <w:rtlGutter/>
          <w:docGrid w:linePitch="360"/>
        </w:sectPr>
      </w:pPr>
    </w:p>
    <w:p w:rsidR="002501E3" w:rsidRPr="002501E3" w:rsidP="004604AD">
      <w:pPr>
        <w:tabs>
          <w:tab w:val="left" w:pos="898"/>
        </w:tabs>
        <w:spacing w:after="0" w:line="280" w:lineRule="exact"/>
        <w:rPr>
          <w:rFonts w:ascii="Tahoma" w:hAnsi="Tahoma" w:cs="Tahoma"/>
          <w:sz w:val="16"/>
          <w:szCs w:val="16"/>
          <w:rtl/>
        </w:rPr>
      </w:pPr>
    </w:p>
    <w:sectPr w:rsidSect="002501E3">
      <w:pgSz w:w="11906" w:h="16838" w:code="9"/>
      <w:pgMar w:top="3402" w:right="1701" w:bottom="2835" w:left="3402"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charset w:val="00"/>
    <w:family w:val="roman"/>
    <w:pitch w:val="variable"/>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4851" w:rsidRPr="008A007A" w:rsidP="008A007A">
      <w:pPr>
        <w:pStyle w:val="Footer"/>
      </w:pPr>
    </w:p>
  </w:footnote>
  <w:footnote w:type="continuationSeparator" w:id="1">
    <w:p w:rsidR="005A4851" w:rsidP="00CB3322">
      <w:pPr>
        <w:spacing w:after="0" w:line="240" w:lineRule="auto"/>
      </w:pPr>
      <w:r>
        <w:continuationSeparator/>
      </w:r>
    </w:p>
    <w:p w:rsidR="005A4851"/>
  </w:footnote>
  <w:footnote w:type="continuationNotice" w:id="2">
    <w:p w:rsidR="005A4851">
      <w:pPr>
        <w:spacing w:after="0" w:line="240" w:lineRule="auto"/>
      </w:pPr>
    </w:p>
  </w:footnote>
  <w:footnote w:id="3">
    <w:p w:rsidR="00C9070C" w:rsidRPr="00C9070C" w:rsidP="00C9070C">
      <w:pPr>
        <w:pStyle w:val="FootnoteText"/>
        <w:spacing w:after="40" w:line="200" w:lineRule="exact"/>
        <w:ind w:left="397" w:hanging="397"/>
        <w:jc w:val="both"/>
        <w:rPr>
          <w:rFonts w:ascii="Tahoma" w:hAnsi="Tahoma" w:cs="Tahoma"/>
          <w:sz w:val="14"/>
          <w:szCs w:val="14"/>
        </w:rPr>
      </w:pPr>
      <w:r w:rsidRPr="00C9070C">
        <w:rPr>
          <w:rStyle w:val="FootnoteReference"/>
          <w:rFonts w:ascii="Tahoma" w:hAnsi="Tahoma" w:cs="Tahoma"/>
          <w:sz w:val="14"/>
          <w:szCs w:val="14"/>
          <w:vertAlign w:val="baseline"/>
        </w:rPr>
        <w:footnoteRef/>
      </w:r>
      <w:r w:rsidRPr="00C9070C">
        <w:rPr>
          <w:rFonts w:ascii="Tahoma" w:hAnsi="Tahoma" w:cs="Tahoma"/>
          <w:sz w:val="14"/>
          <w:szCs w:val="14"/>
          <w:rtl/>
        </w:rPr>
        <w:t xml:space="preserve"> </w:t>
      </w:r>
      <w:r w:rsidRPr="00C9070C">
        <w:rPr>
          <w:rFonts w:ascii="Tahoma" w:hAnsi="Tahoma" w:cs="Tahoma"/>
          <w:sz w:val="14"/>
          <w:szCs w:val="14"/>
          <w:rtl/>
        </w:rPr>
        <w:tab/>
        <w:t xml:space="preserve">בג"ץ 2753/03 </w:t>
      </w:r>
      <w:r w:rsidRPr="00C9070C">
        <w:rPr>
          <w:rFonts w:ascii="Tahoma" w:hAnsi="Tahoma" w:cs="Tahoma"/>
          <w:b/>
          <w:bCs/>
          <w:sz w:val="14"/>
          <w:szCs w:val="14"/>
          <w:rtl/>
        </w:rPr>
        <w:t>קירש</w:t>
      </w:r>
      <w:r w:rsidRPr="00C9070C">
        <w:rPr>
          <w:rFonts w:ascii="Tahoma" w:hAnsi="Tahoma" w:cs="Tahoma"/>
          <w:b/>
          <w:bCs/>
          <w:sz w:val="14"/>
          <w:szCs w:val="14"/>
          <w:rtl/>
        </w:rPr>
        <w:t xml:space="preserve"> נ' ראש המטה הכללי של צה"ל</w:t>
      </w:r>
      <w:r w:rsidRPr="00C9070C">
        <w:rPr>
          <w:rFonts w:ascii="Tahoma" w:hAnsi="Tahoma" w:cs="Tahoma"/>
          <w:sz w:val="14"/>
          <w:szCs w:val="14"/>
          <w:rtl/>
        </w:rPr>
        <w:t xml:space="preserve">, פ"ד </w:t>
      </w:r>
      <w:r w:rsidRPr="00C9070C">
        <w:rPr>
          <w:rFonts w:ascii="Tahoma" w:hAnsi="Tahoma" w:cs="Tahoma"/>
          <w:sz w:val="14"/>
          <w:szCs w:val="14"/>
          <w:rtl/>
        </w:rPr>
        <w:t>נז</w:t>
      </w:r>
      <w:r w:rsidRPr="00C9070C">
        <w:rPr>
          <w:rFonts w:ascii="Tahoma" w:hAnsi="Tahoma" w:cs="Tahoma"/>
          <w:sz w:val="14"/>
          <w:szCs w:val="14"/>
          <w:rtl/>
        </w:rPr>
        <w:t>(6) 359, 377 (פורסם במאגר ממוחשב, 2003).</w:t>
      </w:r>
    </w:p>
  </w:footnote>
  <w:footnote w:id="4">
    <w:p w:rsidR="00C9070C" w:rsidRPr="00C9070C" w:rsidP="00C9070C">
      <w:pPr>
        <w:pStyle w:val="FootnoteText"/>
        <w:spacing w:after="40" w:line="200" w:lineRule="exact"/>
        <w:ind w:left="397" w:hanging="397"/>
        <w:jc w:val="both"/>
        <w:rPr>
          <w:rFonts w:ascii="Tahoma" w:hAnsi="Tahoma" w:cs="Tahoma"/>
          <w:b/>
          <w:bCs/>
          <w:sz w:val="14"/>
          <w:szCs w:val="14"/>
        </w:rPr>
      </w:pPr>
      <w:r w:rsidRPr="00C9070C">
        <w:rPr>
          <w:rStyle w:val="FootnoteReference"/>
          <w:rFonts w:ascii="Tahoma" w:hAnsi="Tahoma" w:cs="Tahoma"/>
          <w:sz w:val="14"/>
          <w:szCs w:val="14"/>
          <w:vertAlign w:val="baseline"/>
        </w:rPr>
        <w:footnoteRef/>
      </w:r>
      <w:r w:rsidRPr="00C9070C">
        <w:rPr>
          <w:rFonts w:ascii="Tahoma" w:hAnsi="Tahoma" w:cs="Tahoma"/>
          <w:sz w:val="14"/>
          <w:szCs w:val="14"/>
          <w:rtl/>
        </w:rPr>
        <w:t xml:space="preserve"> </w:t>
      </w:r>
      <w:r w:rsidRPr="00C9070C">
        <w:rPr>
          <w:rFonts w:ascii="Tahoma" w:hAnsi="Tahoma" w:cs="Tahoma"/>
          <w:sz w:val="14"/>
          <w:szCs w:val="14"/>
          <w:rtl/>
        </w:rPr>
        <w:tab/>
        <w:t>ועדת החקירה הממלכתית לבירור ההתנגשויות בין כוחות הביטחון לבין אזרחים ישראלים באוקטובר 2000.</w:t>
      </w:r>
      <w:r w:rsidRPr="00C9070C">
        <w:rPr>
          <w:rFonts w:ascii="Tahoma" w:hAnsi="Tahoma" w:cs="Tahoma"/>
          <w:b/>
          <w:bCs/>
          <w:sz w:val="14"/>
          <w:szCs w:val="14"/>
          <w:rtl/>
        </w:rPr>
        <w:t xml:space="preserve"> </w:t>
      </w:r>
    </w:p>
  </w:footnote>
  <w:footnote w:id="5">
    <w:p w:rsidR="00C9070C" w:rsidRPr="00C9070C" w:rsidP="00C9070C">
      <w:pPr>
        <w:pStyle w:val="FootnoteText"/>
        <w:spacing w:after="40" w:line="200" w:lineRule="exact"/>
        <w:ind w:left="397" w:hanging="397"/>
        <w:jc w:val="both"/>
        <w:rPr>
          <w:rFonts w:ascii="Tahoma" w:hAnsi="Tahoma" w:cs="Tahoma"/>
          <w:sz w:val="14"/>
          <w:szCs w:val="14"/>
          <w:rtl/>
        </w:rPr>
      </w:pPr>
      <w:r w:rsidRPr="00C9070C">
        <w:rPr>
          <w:rStyle w:val="FootnoteReference"/>
          <w:rFonts w:ascii="Tahoma" w:hAnsi="Tahoma" w:cs="Tahoma"/>
          <w:sz w:val="14"/>
          <w:szCs w:val="14"/>
          <w:vertAlign w:val="baseline"/>
        </w:rPr>
        <w:footnoteRef/>
      </w:r>
      <w:r w:rsidRPr="00C9070C">
        <w:rPr>
          <w:rFonts w:ascii="Tahoma" w:hAnsi="Tahoma" w:cs="Tahoma"/>
          <w:sz w:val="14"/>
          <w:szCs w:val="14"/>
          <w:rtl/>
        </w:rPr>
        <w:t xml:space="preserve"> </w:t>
      </w:r>
      <w:r w:rsidRPr="00C9070C">
        <w:rPr>
          <w:rFonts w:ascii="Tahoma" w:hAnsi="Tahoma" w:cs="Tahoma"/>
          <w:sz w:val="14"/>
          <w:szCs w:val="14"/>
          <w:rtl/>
        </w:rPr>
        <w:tab/>
        <w:t xml:space="preserve">תפ"ח (חיפה) 8398-05-12 </w:t>
      </w:r>
      <w:r w:rsidRPr="00C9070C">
        <w:rPr>
          <w:rFonts w:ascii="Tahoma" w:hAnsi="Tahoma" w:cs="Tahoma"/>
          <w:b/>
          <w:bCs/>
          <w:sz w:val="14"/>
          <w:szCs w:val="14"/>
          <w:rtl/>
        </w:rPr>
        <w:t>מדינת ישראל נ' אבו מוך</w:t>
      </w:r>
      <w:r w:rsidRPr="00C9070C">
        <w:rPr>
          <w:rFonts w:ascii="Tahoma" w:hAnsi="Tahoma" w:cs="Tahoma"/>
          <w:sz w:val="14"/>
          <w:szCs w:val="14"/>
          <w:rtl/>
        </w:rPr>
        <w:t xml:space="preserve"> (פורסם במאגר ממוחשב, 17.9.13) וההפניות שם לפסקי דין של בית המשפט העליון. ראו דברים דומים בבג"ץ 6605/13 </w:t>
      </w:r>
      <w:r w:rsidRPr="00C9070C">
        <w:rPr>
          <w:rFonts w:ascii="Tahoma" w:hAnsi="Tahoma" w:cs="Tahoma"/>
          <w:b/>
          <w:bCs/>
          <w:sz w:val="14"/>
          <w:szCs w:val="14"/>
          <w:rtl/>
        </w:rPr>
        <w:t xml:space="preserve">דהאמשה נ' יו"ר ועדת הבחירות </w:t>
      </w:r>
      <w:r w:rsidRPr="00C9070C">
        <w:rPr>
          <w:rFonts w:ascii="Tahoma" w:hAnsi="Tahoma" w:cs="Tahoma"/>
          <w:sz w:val="14"/>
          <w:szCs w:val="14"/>
          <w:rtl/>
        </w:rPr>
        <w:t>המרכזית (פורסם במאגר ממוחשב, 14.10.13).</w:t>
      </w:r>
    </w:p>
  </w:footnote>
  <w:footnote w:id="6">
    <w:p w:rsidR="00FF06EE" w:rsidRPr="00FF06EE" w:rsidP="00FF06EE">
      <w:pPr>
        <w:pStyle w:val="FootnoteText"/>
        <w:spacing w:after="40" w:line="200" w:lineRule="exact"/>
        <w:ind w:left="397" w:hanging="397"/>
        <w:jc w:val="both"/>
        <w:rPr>
          <w:rFonts w:ascii="Tahoma" w:hAnsi="Tahoma" w:cs="Tahoma"/>
          <w:sz w:val="14"/>
          <w:szCs w:val="14"/>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Style w:val="FootnoteReference"/>
          <w:rFonts w:ascii="Tahoma" w:hAnsi="Tahoma" w:cs="Tahoma"/>
          <w:sz w:val="14"/>
          <w:szCs w:val="14"/>
          <w:vertAlign w:val="baseline"/>
          <w:rtl/>
        </w:rPr>
        <w:tab/>
      </w:r>
      <w:r w:rsidRPr="00FF06EE">
        <w:rPr>
          <w:rFonts w:ascii="Tahoma" w:hAnsi="Tahoma" w:cs="Tahoma"/>
          <w:sz w:val="14"/>
          <w:szCs w:val="14"/>
          <w:rtl/>
          <w:lang w:bidi="ar-SA"/>
        </w:rPr>
        <w:t>التماس</w:t>
      </w:r>
      <w:r w:rsidRPr="00FF06EE">
        <w:rPr>
          <w:rFonts w:ascii="Tahoma" w:hAnsi="Tahoma" w:cs="Tahoma"/>
          <w:sz w:val="14"/>
          <w:szCs w:val="14"/>
          <w:rtl/>
        </w:rPr>
        <w:t xml:space="preserve"> 2753/03</w:t>
      </w:r>
      <w:r w:rsidRPr="00FF06EE">
        <w:rPr>
          <w:rFonts w:ascii="Tahoma" w:hAnsi="Tahoma" w:cs="Tahoma"/>
          <w:sz w:val="14"/>
          <w:szCs w:val="14"/>
          <w:rtl/>
          <w:lang w:bidi="ar-SA"/>
        </w:rPr>
        <w:t xml:space="preserve"> </w:t>
      </w:r>
      <w:r w:rsidRPr="00FF06EE">
        <w:rPr>
          <w:rFonts w:ascii="Tahoma" w:hAnsi="Tahoma" w:cs="Tahoma"/>
          <w:sz w:val="14"/>
          <w:szCs w:val="14"/>
          <w:rtl/>
          <w:lang w:bidi="ar-SA"/>
        </w:rPr>
        <w:t>كيرش</w:t>
      </w:r>
      <w:r w:rsidRPr="00FF06EE">
        <w:rPr>
          <w:rFonts w:ascii="Tahoma" w:hAnsi="Tahoma" w:cs="Tahoma"/>
          <w:sz w:val="14"/>
          <w:szCs w:val="14"/>
          <w:rtl/>
          <w:lang w:bidi="ar-SA"/>
        </w:rPr>
        <w:t xml:space="preserve"> ضدّ رئيس هيئة الأركان العامّة في جيش الدفاع الإسرائيليّ، قرار حكم </w:t>
      </w:r>
      <w:r w:rsidRPr="00FF06EE">
        <w:rPr>
          <w:rFonts w:ascii="Tahoma" w:hAnsi="Tahoma" w:cs="Tahoma"/>
          <w:sz w:val="14"/>
          <w:szCs w:val="14"/>
          <w:rtl/>
        </w:rPr>
        <w:t>57</w:t>
      </w:r>
      <w:r w:rsidRPr="00FF06EE">
        <w:rPr>
          <w:rFonts w:ascii="Tahoma" w:hAnsi="Tahoma" w:cs="Tahoma"/>
          <w:sz w:val="14"/>
          <w:szCs w:val="14"/>
          <w:rtl/>
          <w:lang w:bidi="ar-SA"/>
        </w:rPr>
        <w:t xml:space="preserve"> </w:t>
      </w:r>
      <w:r w:rsidRPr="00FF06EE">
        <w:rPr>
          <w:rFonts w:ascii="Tahoma" w:hAnsi="Tahoma" w:cs="Tahoma"/>
          <w:sz w:val="14"/>
          <w:szCs w:val="14"/>
          <w:rtl/>
        </w:rPr>
        <w:t>(6) 359, 377</w:t>
      </w:r>
      <w:r w:rsidRPr="00FF06EE">
        <w:rPr>
          <w:rFonts w:ascii="Tahoma" w:hAnsi="Tahoma" w:cs="Tahoma"/>
          <w:sz w:val="14"/>
          <w:szCs w:val="14"/>
          <w:rtl/>
          <w:lang w:bidi="ar-SA"/>
        </w:rPr>
        <w:t xml:space="preserve"> (نُشر في مجمّع معلومات محوسب،</w:t>
      </w:r>
      <w:r w:rsidRPr="00FF06EE">
        <w:rPr>
          <w:rFonts w:ascii="Tahoma" w:hAnsi="Tahoma" w:cs="Tahoma"/>
          <w:sz w:val="14"/>
          <w:szCs w:val="14"/>
          <w:rtl/>
        </w:rPr>
        <w:t xml:space="preserve"> 2003).</w:t>
      </w:r>
    </w:p>
  </w:footnote>
  <w:footnote w:id="7">
    <w:p w:rsidR="00FF06EE" w:rsidRPr="00FF06EE" w:rsidP="000B4CE8">
      <w:pPr>
        <w:pStyle w:val="FootnoteText"/>
        <w:spacing w:after="40" w:line="200" w:lineRule="exact"/>
        <w:ind w:left="397" w:hanging="397"/>
        <w:jc w:val="both"/>
        <w:rPr>
          <w:rFonts w:ascii="Tahoma" w:hAnsi="Tahoma" w:cs="Tahoma"/>
          <w:b/>
          <w:bCs/>
          <w:sz w:val="14"/>
          <w:szCs w:val="14"/>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Style w:val="FootnoteReference"/>
          <w:rFonts w:ascii="Tahoma" w:hAnsi="Tahoma" w:cs="Tahoma"/>
          <w:sz w:val="14"/>
          <w:szCs w:val="14"/>
          <w:vertAlign w:val="baseline"/>
          <w:rtl/>
        </w:rPr>
        <w:tab/>
      </w:r>
      <w:r w:rsidRPr="00FF06EE">
        <w:rPr>
          <w:rFonts w:ascii="Tahoma" w:hAnsi="Tahoma" w:cs="Tahoma"/>
          <w:b/>
          <w:bCs/>
          <w:sz w:val="14"/>
          <w:szCs w:val="14"/>
          <w:rtl/>
          <w:lang w:bidi="ar-SA"/>
        </w:rPr>
        <w:t xml:space="preserve">لجنة التحقيق الرسميّة لتقصّى الصدامات بين قوّات الأمن والمواطنين </w:t>
      </w:r>
      <w:r w:rsidR="000B4CE8">
        <w:rPr>
          <w:rFonts w:ascii="Tahoma" w:hAnsi="Tahoma" w:cs="Tahoma" w:hint="cs"/>
          <w:b/>
          <w:bCs/>
          <w:sz w:val="14"/>
          <w:szCs w:val="14"/>
          <w:rtl/>
          <w:lang w:bidi="ar-SA"/>
        </w:rPr>
        <w:t>الإسرائيليّين</w:t>
      </w:r>
      <w:r w:rsidRPr="00FF06EE">
        <w:rPr>
          <w:rFonts w:ascii="Tahoma" w:hAnsi="Tahoma" w:cs="Tahoma"/>
          <w:b/>
          <w:bCs/>
          <w:sz w:val="14"/>
          <w:szCs w:val="14"/>
          <w:rtl/>
          <w:lang w:bidi="ar-SA"/>
        </w:rPr>
        <w:t xml:space="preserve"> في </w:t>
      </w:r>
      <w:r w:rsidR="000B4CE8">
        <w:rPr>
          <w:rFonts w:ascii="Tahoma" w:hAnsi="Tahoma" w:cs="Tahoma" w:hint="cs"/>
          <w:b/>
          <w:bCs/>
          <w:sz w:val="14"/>
          <w:szCs w:val="14"/>
          <w:rtl/>
          <w:lang w:bidi="ar-SA"/>
        </w:rPr>
        <w:t>أكتوبر</w:t>
      </w:r>
      <w:r w:rsidRPr="00FF06EE">
        <w:rPr>
          <w:rFonts w:ascii="Tahoma" w:hAnsi="Tahoma" w:cs="Tahoma"/>
          <w:b/>
          <w:bCs/>
          <w:sz w:val="14"/>
          <w:szCs w:val="14"/>
          <w:rtl/>
          <w:lang w:bidi="ar-SA"/>
        </w:rPr>
        <w:t xml:space="preserve"> </w:t>
      </w:r>
      <w:r w:rsidRPr="00FF06EE">
        <w:rPr>
          <w:rFonts w:ascii="Tahoma" w:hAnsi="Tahoma" w:cs="Tahoma"/>
          <w:sz w:val="14"/>
          <w:szCs w:val="14"/>
          <w:rtl/>
        </w:rPr>
        <w:t>2000.</w:t>
      </w:r>
      <w:r w:rsidRPr="00FF06EE">
        <w:rPr>
          <w:rFonts w:ascii="Tahoma" w:hAnsi="Tahoma" w:cs="Tahoma"/>
          <w:b/>
          <w:bCs/>
          <w:sz w:val="14"/>
          <w:szCs w:val="14"/>
          <w:rtl/>
        </w:rPr>
        <w:t xml:space="preserve"> </w:t>
      </w:r>
    </w:p>
  </w:footnote>
  <w:footnote w:id="8">
    <w:p w:rsidR="00FF06EE" w:rsidRPr="00FF06EE" w:rsidP="000B4CE8">
      <w:pPr>
        <w:pStyle w:val="FootnoteText"/>
        <w:spacing w:after="40" w:line="200" w:lineRule="exact"/>
        <w:ind w:left="397" w:hanging="397"/>
        <w:jc w:val="both"/>
        <w:rPr>
          <w:rFonts w:ascii="Tahoma" w:hAnsi="Tahoma" w:cs="Tahoma"/>
          <w:sz w:val="14"/>
          <w:szCs w:val="14"/>
          <w:rtl/>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Fonts w:ascii="Tahoma" w:hAnsi="Tahoma" w:cs="Tahoma"/>
          <w:sz w:val="14"/>
          <w:szCs w:val="14"/>
          <w:rtl/>
        </w:rPr>
        <w:tab/>
      </w:r>
      <w:r w:rsidRPr="00FF06EE">
        <w:rPr>
          <w:rFonts w:ascii="Tahoma" w:hAnsi="Tahoma" w:cs="Tahoma"/>
          <w:sz w:val="14"/>
          <w:szCs w:val="14"/>
          <w:rtl/>
          <w:lang w:bidi="ar-SA"/>
        </w:rPr>
        <w:t xml:space="preserve">ملفّ إجرام خطير (حيفا) </w:t>
      </w:r>
      <w:r w:rsidRPr="00FF06EE">
        <w:rPr>
          <w:rFonts w:ascii="Tahoma" w:hAnsi="Tahoma" w:cs="Tahoma"/>
          <w:sz w:val="14"/>
          <w:szCs w:val="14"/>
          <w:rtl/>
        </w:rPr>
        <w:t>8398-05-12</w:t>
      </w:r>
      <w:r w:rsidRPr="00FF06EE">
        <w:rPr>
          <w:rFonts w:ascii="Tahoma" w:hAnsi="Tahoma" w:cs="Tahoma"/>
          <w:sz w:val="14"/>
          <w:szCs w:val="14"/>
          <w:rtl/>
          <w:lang w:bidi="ar-SA"/>
        </w:rPr>
        <w:t xml:space="preserve"> دولة إسرائيل ضدّ ن. أبو مخ (نُشر في مستودع معلومات محوسب، </w:t>
      </w:r>
      <w:r w:rsidRPr="00FF06EE">
        <w:rPr>
          <w:rFonts w:ascii="Tahoma" w:hAnsi="Tahoma" w:cs="Tahoma"/>
          <w:sz w:val="14"/>
          <w:szCs w:val="14"/>
          <w:rtl/>
        </w:rPr>
        <w:t>17.9.13</w:t>
      </w:r>
      <w:r w:rsidRPr="00FF06EE">
        <w:rPr>
          <w:rFonts w:ascii="Tahoma" w:hAnsi="Tahoma" w:cs="Tahoma"/>
          <w:sz w:val="14"/>
          <w:szCs w:val="14"/>
          <w:rtl/>
          <w:lang w:bidi="ar-SA"/>
        </w:rPr>
        <w:t xml:space="preserve">) والتوجيهات إلى قرارات الحكم الصادرة عن محكمة العدل العليا. انظروا أمورًا مشابهة في التماس </w:t>
      </w:r>
      <w:r w:rsidRPr="00FF06EE">
        <w:rPr>
          <w:rFonts w:ascii="Tahoma" w:hAnsi="Tahoma" w:cs="Tahoma"/>
          <w:sz w:val="14"/>
          <w:szCs w:val="14"/>
          <w:rtl/>
        </w:rPr>
        <w:t xml:space="preserve">6605/13 </w:t>
      </w:r>
      <w:r w:rsidRPr="00FF06EE">
        <w:rPr>
          <w:rFonts w:ascii="Tahoma" w:hAnsi="Tahoma" w:cs="Tahoma"/>
          <w:b/>
          <w:bCs/>
          <w:sz w:val="14"/>
          <w:szCs w:val="14"/>
          <w:rtl/>
          <w:lang w:bidi="ar-SA"/>
        </w:rPr>
        <w:t>دهامشة ضدّ رئيس لجنة الانتخابات المركزيّة</w:t>
      </w:r>
      <w:r w:rsidRPr="00FF06EE">
        <w:rPr>
          <w:rFonts w:ascii="Tahoma" w:hAnsi="Tahoma" w:cs="Tahoma"/>
          <w:b/>
          <w:bCs/>
          <w:sz w:val="14"/>
          <w:szCs w:val="14"/>
          <w:rtl/>
        </w:rPr>
        <w:t xml:space="preserve"> </w:t>
      </w:r>
      <w:r w:rsidRPr="00FF06EE">
        <w:rPr>
          <w:rFonts w:ascii="Tahoma" w:hAnsi="Tahoma" w:cs="Tahoma"/>
          <w:sz w:val="14"/>
          <w:szCs w:val="14"/>
          <w:rtl/>
          <w:lang w:bidi="ar-SA"/>
        </w:rPr>
        <w:t xml:space="preserve">(نُشر في </w:t>
      </w:r>
      <w:r w:rsidR="000B4CE8">
        <w:rPr>
          <w:rFonts w:ascii="Tahoma" w:hAnsi="Tahoma" w:cs="Tahoma" w:hint="cs"/>
          <w:sz w:val="14"/>
          <w:szCs w:val="14"/>
          <w:rtl/>
          <w:lang w:bidi="ar-SA"/>
        </w:rPr>
        <w:t>مُجمّع</w:t>
      </w:r>
      <w:r w:rsidRPr="00FF06EE">
        <w:rPr>
          <w:rFonts w:ascii="Tahoma" w:hAnsi="Tahoma" w:cs="Tahoma"/>
          <w:sz w:val="14"/>
          <w:szCs w:val="14"/>
          <w:rtl/>
          <w:lang w:bidi="ar-SA"/>
        </w:rPr>
        <w:t xml:space="preserve"> معلومات محوسب، </w:t>
      </w:r>
      <w:r w:rsidRPr="00FF06EE">
        <w:rPr>
          <w:rFonts w:ascii="Tahoma" w:hAnsi="Tahoma" w:cs="Tahoma"/>
          <w:sz w:val="14"/>
          <w:szCs w:val="14"/>
          <w:rtl/>
        </w:rPr>
        <w:t xml:space="preserve">14.10.13).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D70CA7">
      <w:rPr>
        <w:rFonts w:ascii="Arial Bold" w:hAnsi="Arial Bold" w:cs="Tahoma"/>
        <w:noProof/>
        <w:sz w:val="16"/>
        <w:szCs w:val="16"/>
        <w:rtl/>
      </w:rPr>
      <w:t>9</w:t>
    </w:r>
    <w:r w:rsidRPr="000536D4">
      <w:rPr>
        <w:rFonts w:ascii="Arial Bold" w:hAnsi="Arial Bold"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4D5" w:rsidRPr="000536D4" w:rsidP="00B5765C">
    <w:pPr>
      <w:spacing w:before="240" w:after="180" w:line="240" w:lineRule="auto"/>
      <w:rPr>
        <w:b/>
        <w:bCs/>
      </w:rPr>
    </w:pP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9070C" w:rsidR="00C9070C">
      <w:rPr>
        <w:rFonts w:ascii="Arial Bold" w:hAnsi="Arial Bold" w:eastAsiaTheme="majorEastAsia" w:cs="Tahoma" w:hint="eastAsia"/>
        <w:noProof/>
        <w:color w:val="0B5294" w:themeColor="accent1" w:themeShade="BF"/>
        <w:sz w:val="16"/>
        <w:szCs w:val="16"/>
        <w:rtl/>
      </w:rPr>
      <w:t xml:space="preserve"> </w:t>
    </w:r>
    <w:r w:rsidR="00B5765C">
      <w:rPr>
        <w:rFonts w:ascii="Arial Bold" w:hAnsi="Arial Bold" w:eastAsiaTheme="majorEastAsia" w:cs="Tahoma" w:hint="cs"/>
        <w:noProof/>
        <w:color w:val="0B5294" w:themeColor="accent1" w:themeShade="BF"/>
        <w:sz w:val="16"/>
        <w:szCs w:val="16"/>
        <w:rtl/>
      </w:rPr>
      <w:t>דוח ביקורת מיוחד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4D5" w:rsidRPr="00D70CA7" w:rsidP="00C9070C">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C9070C" w:rsidR="00C9070C">
      <w:rPr>
        <w:rFonts w:ascii="Arial Bold" w:hAnsi="Arial Bold" w:eastAsiaTheme="majorEastAsia" w:cs="Tahoma" w:hint="eastAsia"/>
        <w:noProof/>
        <w:color w:val="0B5294" w:themeColor="accent1" w:themeShade="BF"/>
        <w:sz w:val="16"/>
        <w:szCs w:val="16"/>
        <w:rtl/>
      </w:rPr>
      <w:t>התמודדות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משטרת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ישראל</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עם</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החזקת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אמצעי</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לחימה</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לא</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חוקיים</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ואירועי</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ירי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1E3" w:rsidRPr="000536D4" w:rsidP="00C3450D">
    <w:pPr>
      <w:spacing w:before="240" w:after="180" w:line="240" w:lineRule="auto"/>
      <w:rPr>
        <w:b/>
        <w:bCs/>
      </w:rPr>
    </w:pPr>
    <w:r>
      <w:rPr>
        <w:rFonts w:hint="eastAsia"/>
        <w:b/>
        <w:bCs/>
        <w:noProof/>
        <w:rtl/>
      </w:rPr>
      <mc:AlternateContent>
        <mc:Choice Requires="wps">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560000" cy="9720000"/>
              <wp:effectExtent l="0" t="0" r="22225"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3120" fillcolor="#fef7ea" strokecolor="white" strokeweight="1.5pt">
              <v:stroke endcap="round"/>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1E3" w:rsidRPr="000536D4" w:rsidP="00C9070C">
    <w:pPr>
      <w:spacing w:before="240" w:after="180" w:line="240" w:lineRule="auto"/>
      <w:rPr>
        <w:b/>
        <w:bCs/>
      </w:rPr>
    </w:pPr>
    <w:r>
      <w:rPr>
        <w:rFonts w:hint="eastAsia"/>
        <w:b/>
        <w:bCs/>
        <w:noProof/>
        <w:rtl/>
      </w:rPr>
      <mc:AlternateContent>
        <mc:Choice Requires="wps">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560000" cy="9720000"/>
              <wp:effectExtent l="0" t="0" r="2222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2"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49024" fillcolor="#fef7ea" strokecolor="white" strokeweight="1.5pt">
              <v:stroke endcap="round"/>
            </v:rect>
          </w:pict>
        </mc:Fallback>
      </mc:AlternateContent>
    </w:r>
    <w:r w:rsidR="00B5765C">
      <w:rPr>
        <w:rFonts w:ascii="Arial Bold" w:hAnsi="Arial Bold" w:eastAsiaTheme="majorEastAsia" w:cs="Tahoma" w:hint="cs"/>
        <w:noProof/>
        <w:color w:val="0B5294" w:themeColor="accent1" w:themeShade="BF"/>
        <w:sz w:val="16"/>
        <w:szCs w:val="16"/>
        <w:rtl/>
      </w:rPr>
      <w:t>דוח ביקורת מיוחד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1E3" w:rsidRPr="00D70CA7" w:rsidP="00C9070C">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60000" cy="9720000"/>
              <wp:effectExtent l="0" t="0" r="22225" b="1460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3"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1072" fillcolor="#fef7ea" strokecolor="white" strokeweight="1.5pt">
              <v:stroke endcap="round"/>
            </v:rect>
          </w:pict>
        </mc:Fallback>
      </mc:AlternateContent>
    </w:r>
    <w:r w:rsidRPr="00C9070C" w:rsidR="00C9070C">
      <w:rPr>
        <w:rFonts w:ascii="Arial Bold" w:hAnsi="Arial Bold" w:eastAsiaTheme="majorEastAsia" w:cs="Tahoma" w:hint="eastAsia"/>
        <w:noProof/>
        <w:color w:val="0B5294" w:themeColor="accent1" w:themeShade="BF"/>
        <w:sz w:val="16"/>
        <w:szCs w:val="16"/>
        <w:rtl/>
      </w:rPr>
      <w:t>התמודדות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משטרת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ישראל</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עם</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החזקת</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אמצעי</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לחימה</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לא</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חוקיים</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ואירועי</w:t>
    </w:r>
    <w:r w:rsidRPr="00C9070C" w:rsidR="00C9070C">
      <w:rPr>
        <w:rFonts w:ascii="Arial Bold" w:hAnsi="Arial Bold" w:eastAsiaTheme="majorEastAsia" w:cs="Tahoma"/>
        <w:noProof/>
        <w:color w:val="0B5294" w:themeColor="accent1" w:themeShade="BF"/>
        <w:sz w:val="16"/>
        <w:szCs w:val="16"/>
        <w:rtl/>
      </w:rPr>
      <w:t xml:space="preserve"> </w:t>
    </w:r>
    <w:r w:rsidRPr="00C9070C" w:rsidR="00C9070C">
      <w:rPr>
        <w:rFonts w:ascii="Arial Bold" w:hAnsi="Arial Bold" w:eastAsiaTheme="majorEastAsia" w:cs="Tahoma" w:hint="eastAsia"/>
        <w:noProof/>
        <w:color w:val="0B5294" w:themeColor="accent1" w:themeShade="BF"/>
        <w:sz w:val="16"/>
        <w:szCs w:val="16"/>
        <w:rtl/>
      </w:rPr>
      <w:t>ירי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397"/>
  <w:evenAndOddHeaders/>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4772E"/>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E8"/>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C7E9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87F01"/>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2E4"/>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01E3"/>
    <w:rsid w:val="002511A2"/>
    <w:rsid w:val="002518DB"/>
    <w:rsid w:val="002530C2"/>
    <w:rsid w:val="00255959"/>
    <w:rsid w:val="00255CC3"/>
    <w:rsid w:val="00260172"/>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36F7"/>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5"/>
    <w:rsid w:val="00330697"/>
    <w:rsid w:val="0033100C"/>
    <w:rsid w:val="00331522"/>
    <w:rsid w:val="00331A56"/>
    <w:rsid w:val="00331DAB"/>
    <w:rsid w:val="00333FB0"/>
    <w:rsid w:val="00334BBC"/>
    <w:rsid w:val="00335960"/>
    <w:rsid w:val="00335F65"/>
    <w:rsid w:val="00336A22"/>
    <w:rsid w:val="00336A9C"/>
    <w:rsid w:val="00337F70"/>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7D2A"/>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EF"/>
    <w:rsid w:val="004604AD"/>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68E"/>
    <w:rsid w:val="004768DA"/>
    <w:rsid w:val="00477667"/>
    <w:rsid w:val="004800D1"/>
    <w:rsid w:val="0048083D"/>
    <w:rsid w:val="00480E15"/>
    <w:rsid w:val="00480F04"/>
    <w:rsid w:val="004813E6"/>
    <w:rsid w:val="0048191F"/>
    <w:rsid w:val="00483033"/>
    <w:rsid w:val="0048341F"/>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C7"/>
    <w:rsid w:val="00512C90"/>
    <w:rsid w:val="00512CF1"/>
    <w:rsid w:val="00513862"/>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851"/>
    <w:rsid w:val="005A4DBF"/>
    <w:rsid w:val="005B0219"/>
    <w:rsid w:val="005B07DE"/>
    <w:rsid w:val="005B0DFE"/>
    <w:rsid w:val="005B12E9"/>
    <w:rsid w:val="005B1713"/>
    <w:rsid w:val="005B2281"/>
    <w:rsid w:val="005B2537"/>
    <w:rsid w:val="005B3251"/>
    <w:rsid w:val="005B3350"/>
    <w:rsid w:val="005B426A"/>
    <w:rsid w:val="005B463B"/>
    <w:rsid w:val="005B515A"/>
    <w:rsid w:val="005B5C18"/>
    <w:rsid w:val="005B5C8A"/>
    <w:rsid w:val="005B622B"/>
    <w:rsid w:val="005B6767"/>
    <w:rsid w:val="005B7EBA"/>
    <w:rsid w:val="005C0B09"/>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266"/>
    <w:rsid w:val="0064502B"/>
    <w:rsid w:val="006453AA"/>
    <w:rsid w:val="00646CF4"/>
    <w:rsid w:val="006474EC"/>
    <w:rsid w:val="00650187"/>
    <w:rsid w:val="0065147A"/>
    <w:rsid w:val="00651AFD"/>
    <w:rsid w:val="00652312"/>
    <w:rsid w:val="00652A0E"/>
    <w:rsid w:val="00652ADF"/>
    <w:rsid w:val="006554D5"/>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CF0"/>
    <w:rsid w:val="006C3E19"/>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2D37"/>
    <w:rsid w:val="00763840"/>
    <w:rsid w:val="00763FE4"/>
    <w:rsid w:val="0076417E"/>
    <w:rsid w:val="00764C43"/>
    <w:rsid w:val="00765FE4"/>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B7D"/>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AA5"/>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92"/>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2E5A"/>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7737E"/>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4C4"/>
    <w:rsid w:val="00A02A8E"/>
    <w:rsid w:val="00A02BE8"/>
    <w:rsid w:val="00A0304E"/>
    <w:rsid w:val="00A0323A"/>
    <w:rsid w:val="00A04E41"/>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EAA"/>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65C"/>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2A38"/>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0C09"/>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A0A"/>
    <w:rsid w:val="00C05394"/>
    <w:rsid w:val="00C06339"/>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D0F"/>
    <w:rsid w:val="00C320E7"/>
    <w:rsid w:val="00C3450D"/>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46C1"/>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70C"/>
    <w:rsid w:val="00C90B47"/>
    <w:rsid w:val="00C90BC0"/>
    <w:rsid w:val="00C9124C"/>
    <w:rsid w:val="00C92423"/>
    <w:rsid w:val="00C95789"/>
    <w:rsid w:val="00C95D08"/>
    <w:rsid w:val="00C96091"/>
    <w:rsid w:val="00C969A5"/>
    <w:rsid w:val="00C96B43"/>
    <w:rsid w:val="00C97EE5"/>
    <w:rsid w:val="00CA02EF"/>
    <w:rsid w:val="00CA07ED"/>
    <w:rsid w:val="00CA1595"/>
    <w:rsid w:val="00CA1A7A"/>
    <w:rsid w:val="00CA1C4B"/>
    <w:rsid w:val="00CA2809"/>
    <w:rsid w:val="00CA39BF"/>
    <w:rsid w:val="00CA4073"/>
    <w:rsid w:val="00CA43A3"/>
    <w:rsid w:val="00CA44DA"/>
    <w:rsid w:val="00CA4558"/>
    <w:rsid w:val="00CA47FD"/>
    <w:rsid w:val="00CA4E2D"/>
    <w:rsid w:val="00CA53C5"/>
    <w:rsid w:val="00CA54D1"/>
    <w:rsid w:val="00CA761A"/>
    <w:rsid w:val="00CA77B7"/>
    <w:rsid w:val="00CB13D3"/>
    <w:rsid w:val="00CB1E24"/>
    <w:rsid w:val="00CB2283"/>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79E"/>
    <w:rsid w:val="00CC6E6D"/>
    <w:rsid w:val="00CC710B"/>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2FED"/>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549F"/>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6975"/>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2FC0"/>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06CC"/>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72D"/>
    <w:rsid w:val="00EB3BB1"/>
    <w:rsid w:val="00EB4916"/>
    <w:rsid w:val="00EB4C23"/>
    <w:rsid w:val="00EB50A0"/>
    <w:rsid w:val="00EB52FE"/>
    <w:rsid w:val="00EB568A"/>
    <w:rsid w:val="00EB57A3"/>
    <w:rsid w:val="00EB5E88"/>
    <w:rsid w:val="00EB6CAF"/>
    <w:rsid w:val="00EB7BDE"/>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8E2"/>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4C4"/>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6EE"/>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10C2A0DA-C43C-421E-AE72-9B60014C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12"/>
    <w:unhideWhenUsed/>
    <w:rsid w:val="0023718D"/>
    <w:pPr>
      <w:spacing w:line="240" w:lineRule="auto"/>
    </w:pPr>
    <w:rPr>
      <w:rFonts w:cs="David"/>
      <w:sz w:val="20"/>
      <w:szCs w:val="20"/>
    </w:rPr>
  </w:style>
  <w:style w:type="character" w:customStyle="1" w:styleId="12">
    <w:name w:val="טקסט הערת שוליים תו1"/>
    <w:basedOn w:val="DefaultParagraphFont"/>
    <w:link w:val="FootnoteText"/>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a11"/>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8" Type="http://schemas.openxmlformats.org/officeDocument/2006/relationships/image" Target="media/image2.jpe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styles" Target="styles.xml"/><Relationship Id="rId7" Type="http://schemas.openxmlformats.org/officeDocument/2006/relationships/image" Target="media/image1.jpeg"/><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image" Target="media/image3.jpeg"/></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CEA775-B840-4290-A057-FAD7F6F16A9E}">
  <ds:schemaRefs>
    <ds:schemaRef ds:uri="http://schemas.openxmlformats.org/officeDocument/2006/bibliography"/>
  </ds:schemaRefs>
</ds:datastoreItem>
</file>

<file path=customXml/itemProps2.xml><?xml version="1.0" encoding="utf-8"?>
<ds:datastoreItem xmlns:ds="http://schemas.openxmlformats.org/officeDocument/2006/customXml" ds:itemID="{C8BF6732-08B9-409A-941F-CC011C223CA6}"/>
</file>

<file path=customXml/itemProps3.xml><?xml version="1.0" encoding="utf-8"?>
<ds:datastoreItem xmlns:ds="http://schemas.openxmlformats.org/officeDocument/2006/customXml" ds:itemID="{0659D313-8109-4AA4-9418-82C69DE2CB41}"/>
</file>

<file path=customXml/itemProps4.xml><?xml version="1.0" encoding="utf-8"?>
<ds:datastoreItem xmlns:ds="http://schemas.openxmlformats.org/officeDocument/2006/customXml" ds:itemID="{2D90C603-1155-4D17-ADDC-EF585EF6062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