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7C636C">
      <w:pPr>
        <w:pStyle w:val="KOT3A"/>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bookmarkStart w:id="5" w:name="_GoBack"/>
      <w:bookmarkEnd w:id="5"/>
      <w:r w:rsidRPr="0035618E">
        <w:rPr>
          <w:rFonts w:ascii="Tahoma" w:hAnsi="Tahoma" w:cs="Tahoma"/>
          <w:color w:val="2A2AA6"/>
          <w:sz w:val="20"/>
          <w:szCs w:val="24"/>
          <w:rtl/>
        </w:rPr>
        <w:t>פ</w:t>
      </w:r>
      <w:r w:rsidRPr="00D70CA7">
        <w:rPr>
          <w:rFonts w:ascii="Tahoma" w:hAnsi="Tahoma" w:cs="Tahoma"/>
          <w:color w:val="2A2AA6"/>
          <w:sz w:val="20"/>
          <w:szCs w:val="24"/>
          <w:rtl/>
        </w:rPr>
        <w:t>תח דבר</w:t>
      </w:r>
    </w:p>
    <w:p w:rsidR="0035618E" w:rsidP="00E34ED8">
      <w:pPr>
        <w:ind w:right="1701"/>
        <w:jc w:val="both"/>
        <w:rPr>
          <w:rFonts w:ascii="Tahoma" w:hAnsi="Tahoma" w:cs="Tahoma"/>
          <w:sz w:val="18"/>
          <w:szCs w:val="18"/>
          <w:rtl/>
        </w:rPr>
      </w:pPr>
      <w:r w:rsidRPr="0035618E">
        <w:rPr>
          <w:rFonts w:ascii="Tahoma" w:hAnsi="Tahoma" w:cs="Tahoma"/>
          <w:b/>
          <w:bCs/>
          <w:sz w:val="18"/>
          <w:szCs w:val="18"/>
          <w:rtl/>
        </w:rPr>
        <w:t>גל השריפות שהתחולל ברחבי הארץ בנובמבר 2016 היה החמור ביותר בתולדות המדינה מבחינת הנזק לרכוש ולסביבה, והוא פגע לראשונה פגיעה ממשית בשכונות עירוניות המאוכלסות בצפיפות ובהן מתגוררים עשרות אלפי תושבים.</w:t>
      </w:r>
      <w:r w:rsidRPr="0035618E">
        <w:rPr>
          <w:rFonts w:ascii="Tahoma" w:hAnsi="Tahoma" w:cs="Tahoma"/>
          <w:sz w:val="18"/>
          <w:szCs w:val="18"/>
          <w:rtl/>
        </w:rPr>
        <w:t xml:space="preserve"> השריפות כילו שטחים בהיקף של יותר מ-41,000 דונם, ובמהלכן נפגעו</w:t>
      </w:r>
      <w:r w:rsidR="00E34ED8">
        <w:rPr>
          <w:rFonts w:ascii="Tahoma" w:hAnsi="Tahoma" w:cs="Tahoma"/>
          <w:sz w:val="18"/>
          <w:szCs w:val="18"/>
          <w:rtl/>
        </w:rPr>
        <w:br/>
      </w:r>
      <w:r w:rsidRPr="0035618E">
        <w:rPr>
          <w:rFonts w:ascii="Tahoma" w:hAnsi="Tahoma" w:cs="Tahoma"/>
          <w:sz w:val="18"/>
          <w:szCs w:val="18"/>
          <w:rtl/>
        </w:rPr>
        <w:t>כ-1,900 דירות - מהן כ-580 נפסלו למגורים - וניזוקו 123 כלי רכב. למרבה המזל לא היו הפעם קורבנות בנפש.</w:t>
      </w:r>
    </w:p>
    <w:p w:rsidR="008F56AA" w:rsidRPr="0035618E" w:rsidP="007C636C">
      <w:pPr>
        <w:spacing w:line="240" w:lineRule="auto"/>
        <w:ind w:right="1701"/>
        <w:jc w:val="both"/>
        <w:rPr>
          <w:rFonts w:ascii="Tahoma" w:hAnsi="Tahoma" w:cs="Tahoma"/>
          <w:sz w:val="18"/>
          <w:szCs w:val="18"/>
          <w:rtl/>
        </w:rPr>
      </w:pPr>
    </w:p>
    <w:p w:rsidR="008F56AA" w:rsidP="00EA3DD8">
      <w:pPr>
        <w:ind w:right="1701"/>
        <w:jc w:val="both"/>
        <w:rPr>
          <w:rFonts w:ascii="Tahoma" w:hAnsi="Tahoma" w:cs="Tahoma"/>
          <w:sz w:val="18"/>
          <w:szCs w:val="18"/>
          <w:rtl/>
        </w:rPr>
      </w:pPr>
      <w:r w:rsidRPr="0035618E">
        <w:rPr>
          <w:rFonts w:ascii="Tahoma" w:hAnsi="Tahoma" w:cs="Tahoma" w:hint="cs"/>
          <w:sz w:val="18"/>
          <w:szCs w:val="18"/>
          <w:rtl/>
        </w:rPr>
        <w:t>אנו זוכרים וכואבים את האסון הנורא בשנת 2010 שבו נספו בדליקה ענקית בכרמל 44 אישה ואיש, ונער ביניהם, כולם "מלח הארץ". בדברי המבוא לדוח על השריפה בכרמל נכתב: "מי ייתן ומחיר אבדן החיים ששילמו 44 צעירות וצעירים, בראשית דרכם בחיים, יתרום למניעת אסונות דומים בעתיד. הפקת לקחים מן המקרה ויישומם באופן מידי הם בגדר נחמה פורתא". ואולם מממצאי דוח זה עולה תמונה עגומה ולפיה הרשויות המקומיות שנבדקו וגופי החירום - רשות החירום הלאומית (</w:t>
      </w:r>
      <w:r w:rsidRPr="0035618E">
        <w:rPr>
          <w:rFonts w:ascii="Tahoma" w:hAnsi="Tahoma" w:cs="Tahoma" w:hint="cs"/>
          <w:sz w:val="18"/>
          <w:szCs w:val="18"/>
          <w:rtl/>
        </w:rPr>
        <w:t>רח"ל</w:t>
      </w:r>
      <w:r w:rsidRPr="0035618E">
        <w:rPr>
          <w:rFonts w:ascii="Tahoma" w:hAnsi="Tahoma" w:cs="Tahoma" w:hint="cs"/>
          <w:sz w:val="18"/>
          <w:szCs w:val="18"/>
          <w:rtl/>
        </w:rPr>
        <w:t>), פיקוד העורף, משטרת ישראל ורשות הכבאות - לא יישמו את מלוא הלקחים מאירועי החירום הקודמים ולא תיקנו את כל הליקויים שהועלו בדוחות ביקורת קודמים של משרדי בנוגע לשיתוף הפעולה שלהן עם גורמי החירום וההצלה במדינה - בכלל זה ליקויים שהובאו בדוח בנושא השריפה בכרמל</w:t>
      </w:r>
      <w:r w:rsidRPr="0035618E">
        <w:rPr>
          <w:rFonts w:ascii="Tahoma" w:hAnsi="Tahoma" w:cs="Tahoma"/>
          <w:sz w:val="18"/>
          <w:szCs w:val="18"/>
          <w:rtl/>
        </w:rPr>
        <w:t xml:space="preserve"> </w:t>
      </w:r>
      <w:r w:rsidRPr="0035618E">
        <w:rPr>
          <w:rFonts w:ascii="Tahoma" w:hAnsi="Tahoma" w:cs="Tahoma" w:hint="cs"/>
          <w:sz w:val="18"/>
          <w:szCs w:val="18"/>
          <w:rtl/>
        </w:rPr>
        <w:t>בשנת</w:t>
      </w:r>
      <w:r w:rsidRPr="0035618E">
        <w:rPr>
          <w:rFonts w:ascii="Tahoma" w:hAnsi="Tahoma" w:cs="Tahoma"/>
          <w:sz w:val="18"/>
          <w:szCs w:val="18"/>
          <w:rtl/>
        </w:rPr>
        <w:t xml:space="preserve"> 2010</w:t>
      </w:r>
      <w:r w:rsidRPr="0035618E">
        <w:rPr>
          <w:rFonts w:ascii="Tahoma" w:hAnsi="Tahoma" w:cs="Tahoma" w:hint="cs"/>
          <w:sz w:val="18"/>
          <w:szCs w:val="18"/>
          <w:rtl/>
        </w:rPr>
        <w:t xml:space="preserve"> (פורסם ב-2012), והדוח בנושא היערכות</w:t>
      </w:r>
      <w:r w:rsidRPr="00C92D3C">
        <w:rPr>
          <w:rFonts w:ascii="Generic1-Regular" w:hint="cs"/>
          <w:sz w:val="26"/>
          <w:szCs w:val="26"/>
          <w:rtl/>
        </w:rPr>
        <w:t xml:space="preserve"> </w:t>
      </w:r>
      <w:r w:rsidRPr="0035618E">
        <w:rPr>
          <w:rFonts w:ascii="Tahoma" w:hAnsi="Tahoma" w:cs="Tahoma" w:hint="cs"/>
          <w:sz w:val="18"/>
          <w:szCs w:val="18"/>
          <w:rtl/>
        </w:rPr>
        <w:t>הרשויות</w:t>
      </w:r>
      <w:r w:rsidRPr="0035618E">
        <w:rPr>
          <w:rFonts w:ascii="Tahoma" w:hAnsi="Tahoma" w:cs="Tahoma"/>
          <w:sz w:val="18"/>
          <w:szCs w:val="18"/>
          <w:rtl/>
        </w:rPr>
        <w:t xml:space="preserve"> </w:t>
      </w:r>
      <w:r w:rsidRPr="0035618E">
        <w:rPr>
          <w:rFonts w:ascii="Tahoma" w:hAnsi="Tahoma" w:cs="Tahoma" w:hint="cs"/>
          <w:sz w:val="18"/>
          <w:szCs w:val="18"/>
          <w:rtl/>
        </w:rPr>
        <w:t>המקומיות</w:t>
      </w:r>
      <w:r w:rsidRPr="0035618E">
        <w:rPr>
          <w:rFonts w:ascii="Tahoma" w:hAnsi="Tahoma" w:cs="Tahoma"/>
          <w:sz w:val="18"/>
          <w:szCs w:val="18"/>
          <w:rtl/>
        </w:rPr>
        <w:t xml:space="preserve"> </w:t>
      </w:r>
      <w:r w:rsidRPr="0035618E">
        <w:rPr>
          <w:rFonts w:ascii="Tahoma" w:hAnsi="Tahoma" w:cs="Tahoma" w:hint="cs"/>
          <w:sz w:val="18"/>
          <w:szCs w:val="18"/>
          <w:rtl/>
        </w:rPr>
        <w:t>לשריפות</w:t>
      </w:r>
      <w:r w:rsidRPr="0035618E">
        <w:rPr>
          <w:rFonts w:ascii="Tahoma" w:hAnsi="Tahoma" w:cs="Tahoma"/>
          <w:sz w:val="18"/>
          <w:szCs w:val="18"/>
          <w:rtl/>
        </w:rPr>
        <w:t xml:space="preserve"> </w:t>
      </w:r>
      <w:r w:rsidRPr="0035618E">
        <w:rPr>
          <w:rFonts w:ascii="Tahoma" w:hAnsi="Tahoma" w:cs="Tahoma" w:hint="cs"/>
          <w:sz w:val="18"/>
          <w:szCs w:val="18"/>
          <w:rtl/>
        </w:rPr>
        <w:t>ולפגעי</w:t>
      </w:r>
      <w:r w:rsidRPr="0035618E">
        <w:rPr>
          <w:rFonts w:ascii="Tahoma" w:hAnsi="Tahoma" w:cs="Tahoma"/>
          <w:sz w:val="18"/>
          <w:szCs w:val="18"/>
          <w:rtl/>
        </w:rPr>
        <w:t xml:space="preserve"> </w:t>
      </w:r>
      <w:r w:rsidRPr="0035618E">
        <w:rPr>
          <w:rFonts w:ascii="Tahoma" w:hAnsi="Tahoma" w:cs="Tahoma" w:hint="cs"/>
          <w:sz w:val="18"/>
          <w:szCs w:val="18"/>
          <w:rtl/>
        </w:rPr>
        <w:t>מזג</w:t>
      </w:r>
      <w:r w:rsidRPr="0035618E">
        <w:rPr>
          <w:rFonts w:ascii="Tahoma" w:hAnsi="Tahoma" w:cs="Tahoma"/>
          <w:sz w:val="18"/>
          <w:szCs w:val="18"/>
          <w:rtl/>
        </w:rPr>
        <w:t xml:space="preserve"> </w:t>
      </w:r>
      <w:r w:rsidRPr="0035618E">
        <w:rPr>
          <w:rFonts w:ascii="Tahoma" w:hAnsi="Tahoma" w:cs="Tahoma" w:hint="cs"/>
          <w:sz w:val="18"/>
          <w:szCs w:val="18"/>
          <w:rtl/>
        </w:rPr>
        <w:t>אוויר</w:t>
      </w:r>
      <w:r w:rsidRPr="0035618E">
        <w:rPr>
          <w:rFonts w:ascii="Tahoma" w:hAnsi="Tahoma" w:cs="Tahoma"/>
          <w:sz w:val="18"/>
          <w:szCs w:val="18"/>
          <w:rtl/>
        </w:rPr>
        <w:t xml:space="preserve"> </w:t>
      </w:r>
      <w:r w:rsidRPr="0035618E">
        <w:rPr>
          <w:rFonts w:ascii="Tahoma" w:hAnsi="Tahoma" w:cs="Tahoma" w:hint="cs"/>
          <w:sz w:val="18"/>
          <w:szCs w:val="18"/>
          <w:rtl/>
        </w:rPr>
        <w:t>חריגים (פורסם ב-2015). במציאות הנוכחית יתקשו הגופים הנוגעים בדבר לתת מענה לסכנה המוחשית הצפויה לחיי אדם ולרכוש. הסחבת הנמשכת וגלגול האחריות בין כל הגורמים האמורים הם חמורים במיוחד נוכח העובדה כי שריפות רחבות היקף נוספות שיסכנו יישובים צפויות להתרחש במוקדם או במאוחר ו"הכתובת היא על הקיר".</w:t>
      </w:r>
    </w:p>
    <w:p w:rsidR="00D94713" w:rsidP="00E34ED8">
      <w:pPr>
        <w:ind w:right="1701"/>
        <w:jc w:val="both"/>
        <w:rPr>
          <w:rFonts w:ascii="Tahoma" w:hAnsi="Tahoma" w:cs="Tahoma"/>
          <w:sz w:val="18"/>
          <w:szCs w:val="18"/>
          <w:rtl/>
        </w:rPr>
      </w:pPr>
    </w:p>
    <w:p w:rsidR="0035618E" w:rsidP="00E34ED8">
      <w:pPr>
        <w:ind w:right="1701"/>
        <w:jc w:val="both"/>
        <w:rPr>
          <w:rFonts w:ascii="Tahoma" w:hAnsi="Tahoma" w:cs="Tahoma"/>
          <w:sz w:val="18"/>
          <w:szCs w:val="18"/>
          <w:rtl/>
        </w:rPr>
      </w:pPr>
      <w:r w:rsidRPr="0035618E">
        <w:rPr>
          <w:rFonts w:ascii="Tahoma" w:hAnsi="Tahoma" w:cs="Tahoma" w:hint="cs"/>
          <w:sz w:val="18"/>
          <w:szCs w:val="18"/>
          <w:rtl/>
        </w:rPr>
        <w:t>ממצאי הביקורת שפורטו בדוח נרחב ומקיף זה מעלים ליקויים, מהם חמורים, על היערכות הרשויות המקומיות לשריפות ועל תפקודן במהלך גל השריפות. בביקורת זו נבדק לראשונה תהליך הפיצוי על הנזקים והעלויות למשק, ונמצאו ליקויים בתהליך הפיצוי של הרשויות המקומיות על הנזקים והעלויות שנגרמו מגל השריפות, שהוערכו</w:t>
      </w:r>
      <w:r w:rsidR="00E34ED8">
        <w:rPr>
          <w:rFonts w:ascii="Tahoma" w:hAnsi="Tahoma" w:cs="Tahoma"/>
          <w:sz w:val="18"/>
          <w:szCs w:val="18"/>
          <w:rtl/>
        </w:rPr>
        <w:br/>
      </w:r>
      <w:r w:rsidRPr="0035618E">
        <w:rPr>
          <w:rFonts w:ascii="Tahoma" w:hAnsi="Tahoma" w:cs="Tahoma" w:hint="cs"/>
          <w:sz w:val="18"/>
          <w:szCs w:val="18"/>
          <w:rtl/>
        </w:rPr>
        <w:t xml:space="preserve">ב-647 מיליון ש"ח לכל הפחות. </w:t>
      </w:r>
    </w:p>
    <w:p w:rsidR="0035618E" w:rsidRPr="0035618E" w:rsidP="00C66421">
      <w:pPr>
        <w:keepNext/>
        <w:keepLines/>
        <w:ind w:right="1701"/>
        <w:jc w:val="both"/>
        <w:rPr>
          <w:rFonts w:ascii="Tahoma" w:hAnsi="Tahoma" w:cs="Tahoma"/>
          <w:sz w:val="18"/>
          <w:szCs w:val="18"/>
          <w:rtl/>
        </w:rPr>
      </w:pPr>
      <w:r w:rsidRPr="0035618E">
        <w:rPr>
          <w:rFonts w:ascii="Tahoma" w:hAnsi="Tahoma" w:cs="Tahoma" w:hint="cs"/>
          <w:sz w:val="18"/>
          <w:szCs w:val="18"/>
          <w:rtl/>
        </w:rPr>
        <w:t xml:space="preserve">הדוח מצביע על ליקויים בארבעה נושאים עיקריים: </w:t>
      </w:r>
    </w:p>
    <w:p w:rsidR="0035618E" w:rsidP="0035618E">
      <w:pPr>
        <w:ind w:right="1701"/>
        <w:jc w:val="both"/>
        <w:rPr>
          <w:rFonts w:ascii="Tahoma" w:hAnsi="Tahoma" w:cs="Tahoma"/>
          <w:sz w:val="18"/>
          <w:szCs w:val="18"/>
          <w:rtl/>
        </w:rPr>
      </w:pPr>
      <w:r w:rsidRPr="0035618E">
        <w:rPr>
          <w:rStyle w:val="Heading7Char"/>
          <w:rFonts w:ascii="Tahoma" w:hAnsi="Tahoma" w:cs="Tahoma"/>
          <w:sz w:val="18"/>
          <w:szCs w:val="18"/>
          <w:rtl/>
        </w:rPr>
        <w:t>הסדרה:</w:t>
      </w:r>
      <w:r w:rsidRPr="0035618E">
        <w:rPr>
          <w:rFonts w:ascii="Tahoma" w:hAnsi="Tahoma" w:cs="Tahoma"/>
          <w:sz w:val="18"/>
          <w:szCs w:val="18"/>
          <w:rtl/>
        </w:rPr>
        <w:t xml:space="preserve"> התקנות והכללים בנושא ההגנה על יישובים מפני שריפות יער, שנוסחו עוד בשנת 2014 טרם אושרו, בהיעדר הסכמות בין משרדי הממשלה הנוגעים בדבר. העיכוב הנמשך באישור התקנות והכללים יוצר מצב שאין הדעת סובלת, ובו רשות הכבאות אינה יכולה להורות לרשויות המקומיות כיצד להיערך למניעת שריפות בתחומן, לפקח על יישום הוראותיה ולאכוף אותן.</w:t>
      </w:r>
    </w:p>
    <w:p w:rsidR="0035618E" w:rsidP="0035618E">
      <w:pPr>
        <w:ind w:right="1701"/>
        <w:jc w:val="both"/>
        <w:rPr>
          <w:rFonts w:ascii="Tahoma" w:hAnsi="Tahoma" w:cs="Tahoma"/>
          <w:sz w:val="18"/>
          <w:szCs w:val="18"/>
          <w:rtl/>
        </w:rPr>
      </w:pPr>
      <w:r w:rsidRPr="0035618E">
        <w:rPr>
          <w:rStyle w:val="Heading7Char"/>
          <w:rFonts w:ascii="Tahoma" w:hAnsi="Tahoma" w:cs="Tahoma"/>
          <w:sz w:val="18"/>
          <w:szCs w:val="18"/>
          <w:rtl/>
        </w:rPr>
        <w:t>היערכות:</w:t>
      </w:r>
      <w:r w:rsidRPr="0035618E">
        <w:rPr>
          <w:rFonts w:ascii="Tahoma" w:hAnsi="Tahoma" w:cs="Tahoma"/>
          <w:sz w:val="18"/>
          <w:szCs w:val="18"/>
          <w:rtl/>
        </w:rPr>
        <w:t xml:space="preserve"> נמצאו ליקויים מהותיים בהיערכות הרשויות המקומיות שנבדקו לשריפות רחבות היקף. בין היתר, הן לא הכינו </w:t>
      </w:r>
      <w:r w:rsidRPr="0035618E">
        <w:rPr>
          <w:rFonts w:ascii="Tahoma" w:hAnsi="Tahoma" w:cs="Tahoma"/>
          <w:sz w:val="18"/>
          <w:szCs w:val="18"/>
          <w:rtl/>
        </w:rPr>
        <w:t>תוכניות</w:t>
      </w:r>
      <w:r w:rsidRPr="0035618E">
        <w:rPr>
          <w:rFonts w:ascii="Tahoma" w:hAnsi="Tahoma" w:cs="Tahoma"/>
          <w:sz w:val="18"/>
          <w:szCs w:val="18"/>
          <w:rtl/>
        </w:rPr>
        <w:t xml:space="preserve"> ליצירת מעטפת הגנה היקפית מפני שריפות. חלקן לא הכשירו אזורי חיץ ודרכי מילוט ולא תרגלו את מערכי החירו</w:t>
      </w:r>
      <w:bookmarkStart w:id="6" w:name="tempMark"/>
      <w:bookmarkEnd w:id="6"/>
      <w:r w:rsidRPr="0035618E">
        <w:rPr>
          <w:rFonts w:ascii="Tahoma" w:hAnsi="Tahoma" w:cs="Tahoma"/>
          <w:sz w:val="18"/>
          <w:szCs w:val="18"/>
          <w:rtl/>
        </w:rPr>
        <w:t>ם שלהן לתרחישי שריפות.</w:t>
      </w:r>
    </w:p>
    <w:p w:rsidR="0035618E" w:rsidRPr="0035618E" w:rsidP="0035618E">
      <w:pPr>
        <w:ind w:right="1701"/>
        <w:jc w:val="both"/>
        <w:rPr>
          <w:rFonts w:ascii="Tahoma" w:hAnsi="Tahoma" w:cs="Tahoma"/>
          <w:sz w:val="18"/>
          <w:szCs w:val="18"/>
          <w:rtl/>
        </w:rPr>
      </w:pPr>
      <w:r w:rsidRPr="0035618E">
        <w:rPr>
          <w:rStyle w:val="Heading7Char"/>
          <w:rFonts w:ascii="Tahoma" w:hAnsi="Tahoma" w:cs="Tahoma"/>
          <w:sz w:val="18"/>
          <w:szCs w:val="18"/>
          <w:rtl/>
        </w:rPr>
        <w:t>תפקוד:</w:t>
      </w:r>
      <w:r w:rsidRPr="0035618E">
        <w:rPr>
          <w:rFonts w:ascii="Tahoma" w:hAnsi="Tahoma" w:cs="Tahoma"/>
          <w:sz w:val="18"/>
          <w:szCs w:val="18"/>
          <w:rtl/>
        </w:rPr>
        <w:t xml:space="preserve"> נמצאו ליקויים בתפקוד חלק מהרשויות המקומיות שנבדקו במהלך גל השריפות, ואלה נגעו בין היתר להתנהלות מרכזי ההפעלה שלהן, למחסור במידע על אוכלוסיות מיוחדות הזקוקות לסיוע ולפינוים של כמה ממוסדות החינוך.</w:t>
      </w:r>
    </w:p>
    <w:p w:rsidR="0035618E" w:rsidRPr="0035618E" w:rsidP="0035618E">
      <w:pPr>
        <w:ind w:right="1701"/>
        <w:jc w:val="both"/>
        <w:rPr>
          <w:rFonts w:ascii="Tahoma" w:hAnsi="Tahoma" w:cs="Tahoma"/>
          <w:sz w:val="18"/>
          <w:szCs w:val="18"/>
          <w:rtl/>
        </w:rPr>
      </w:pPr>
      <w:r w:rsidRPr="0035618E">
        <w:rPr>
          <w:rStyle w:val="Heading7Char"/>
          <w:rFonts w:ascii="Tahoma" w:hAnsi="Tahoma" w:cs="Tahoma"/>
          <w:sz w:val="18"/>
          <w:szCs w:val="18"/>
          <w:rtl/>
        </w:rPr>
        <w:t>פיצוי:</w:t>
      </w:r>
      <w:r w:rsidRPr="0035618E">
        <w:rPr>
          <w:rFonts w:ascii="Tahoma" w:hAnsi="Tahoma" w:cs="Tahoma"/>
          <w:sz w:val="18"/>
          <w:szCs w:val="18"/>
          <w:rtl/>
        </w:rPr>
        <w:t xml:space="preserve"> קרן הפיצויים ברשות המיסים בישראל לא גיבשה מדיניות ונוהל בנושא הפיצויים על הנזקים ליער ולחורש. בשל אי-הסכמות בין עיריית חיפה והמועצה המקומית זיכרון יעקב לבין קרן הפיצויים עדיין לא הסתיים תהליך הבירור של תביעותיהן. קרן הפיצויים דחתה את תביעת המועצה האזורית מטה יהודה, כיוון שלא העבירה לה אסמכתאות שדרשה.</w:t>
      </w:r>
    </w:p>
    <w:p w:rsidR="0035618E" w:rsidRPr="0035618E" w:rsidP="0035618E">
      <w:pPr>
        <w:ind w:right="1701"/>
        <w:jc w:val="both"/>
        <w:rPr>
          <w:rFonts w:ascii="Tahoma" w:hAnsi="Tahoma" w:cs="Tahoma"/>
          <w:sz w:val="18"/>
          <w:szCs w:val="18"/>
          <w:rtl/>
        </w:rPr>
      </w:pPr>
      <w:r w:rsidRPr="0035618E">
        <w:rPr>
          <w:rFonts w:ascii="Tahoma" w:hAnsi="Tahoma" w:cs="Tahoma"/>
          <w:sz w:val="18"/>
          <w:szCs w:val="18"/>
          <w:rtl/>
        </w:rPr>
        <w:t>על משרדי הממשלה הנוגעים בדבר, גופי החירום, רשות המיסים והרשויות המקומיות ללמוד את ממצאי הדוח ולפעול בנחישות, כל גוף בתחום אחריותו, לקידום ההיערכות לאירועי חירום אזרחיים ולטיפול מהיר ויעיל באירועים דומים ואף חמורים יותר בעתיד. עליהם לטפל בהקדם בליקויים שהועלו בדוח זה ובדוחות הקודמים כדי להיות ערוכים באופן מיטבי כבר לקראת קיץ 2019.</w:t>
      </w:r>
    </w:p>
    <w:p w:rsidR="0035618E" w:rsidRPr="0035618E" w:rsidP="0035618E">
      <w:pPr>
        <w:ind w:right="1701"/>
        <w:jc w:val="both"/>
        <w:rPr>
          <w:rFonts w:ascii="Tahoma" w:hAnsi="Tahoma" w:cs="Tahoma"/>
          <w:sz w:val="18"/>
          <w:szCs w:val="18"/>
          <w:rtl/>
        </w:rPr>
      </w:pPr>
      <w:r w:rsidRPr="0035618E">
        <w:rPr>
          <w:rFonts w:ascii="Tahoma" w:hAnsi="Tahoma" w:cs="Tahoma"/>
          <w:sz w:val="18"/>
          <w:szCs w:val="18"/>
          <w:rtl/>
        </w:rPr>
        <w:t xml:space="preserve">ההתמודדות עם אירועי חירום רחבי היקף המתרחשים בעורף האזרחי של מדינת ישראל, הן </w:t>
      </w:r>
      <w:r w:rsidRPr="0035618E">
        <w:rPr>
          <w:rFonts w:ascii="Tahoma" w:hAnsi="Tahoma" w:cs="Tahoma"/>
          <w:sz w:val="18"/>
          <w:szCs w:val="18"/>
          <w:rtl/>
        </w:rPr>
        <w:t>בעיתות</w:t>
      </w:r>
      <w:r w:rsidRPr="0035618E">
        <w:rPr>
          <w:rFonts w:ascii="Tahoma" w:hAnsi="Tahoma" w:cs="Tahoma"/>
          <w:sz w:val="18"/>
          <w:szCs w:val="18"/>
          <w:rtl/>
        </w:rPr>
        <w:t xml:space="preserve"> לחימה והן </w:t>
      </w:r>
      <w:r w:rsidRPr="0035618E">
        <w:rPr>
          <w:rFonts w:ascii="Tahoma" w:hAnsi="Tahoma" w:cs="Tahoma"/>
          <w:sz w:val="18"/>
          <w:szCs w:val="18"/>
          <w:rtl/>
        </w:rPr>
        <w:t>בעיתות</w:t>
      </w:r>
      <w:r w:rsidRPr="0035618E">
        <w:rPr>
          <w:rFonts w:ascii="Tahoma" w:hAnsi="Tahoma" w:cs="Tahoma"/>
          <w:sz w:val="18"/>
          <w:szCs w:val="18"/>
          <w:rtl/>
        </w:rPr>
        <w:t xml:space="preserve"> שגרה, מחייבת איגום משאבים לאומיים והיערכות מוקדמת מערכתית ובין-ארגונית של גופים רבים. הרשויות המקומיות ממלאות תפקיד חיוני בהיערכותו של העורף האזרחי לכלל אירועי החירום ובטיפול בהם כשהם מתרחשים.</w:t>
      </w:r>
    </w:p>
    <w:p w:rsidR="0035618E" w:rsidRPr="0035618E" w:rsidP="0035618E">
      <w:pPr>
        <w:ind w:right="1701"/>
        <w:jc w:val="both"/>
        <w:rPr>
          <w:rFonts w:ascii="Tahoma" w:hAnsi="Tahoma" w:cs="Tahoma"/>
          <w:sz w:val="18"/>
          <w:szCs w:val="18"/>
          <w:rtl/>
        </w:rPr>
      </w:pPr>
      <w:r w:rsidRPr="0035618E">
        <w:rPr>
          <w:rFonts w:ascii="Tahoma" w:hAnsi="Tahoma" w:cs="Tahoma"/>
          <w:sz w:val="18"/>
          <w:szCs w:val="18"/>
          <w:rtl/>
        </w:rPr>
        <w:t xml:space="preserve">על משרד הפנים להפיץ דוח זה גם לרשויות המקומיות שלא נבדקו בביקורת הנוכחית. זאת כדי שילמדו את ממצאיו, יפיקו את הלקחים הנדרשים ויפעלו ליישומם כדי להבטיח </w:t>
      </w:r>
      <w:r w:rsidRPr="0035618E">
        <w:rPr>
          <w:rFonts w:ascii="Tahoma" w:hAnsi="Tahoma" w:cs="Tahoma"/>
          <w:sz w:val="18"/>
          <w:szCs w:val="18"/>
          <w:rtl/>
        </w:rPr>
        <w:t>את היערכותן המיטבית לשריפות ואת תפקודן היעיל במהלכן. היערכות נכונה של כלל הגופים הנוגעים בדבר עשויה למנוע פגיעות בנפש וברכוש ולהקטין את הנזקים ואת עלות הפיצוי בגינם.</w:t>
      </w:r>
    </w:p>
    <w:p w:rsidR="0035618E" w:rsidRPr="0035618E" w:rsidP="0035618E">
      <w:pPr>
        <w:ind w:right="1701"/>
        <w:jc w:val="both"/>
        <w:rPr>
          <w:rFonts w:ascii="Tahoma" w:hAnsi="Tahoma" w:cs="Tahoma"/>
          <w:sz w:val="18"/>
          <w:szCs w:val="18"/>
          <w:rtl/>
        </w:rPr>
      </w:pPr>
      <w:r w:rsidRPr="0035618E">
        <w:rPr>
          <w:rFonts w:ascii="Tahoma" w:hAnsi="Tahoma" w:cs="Tahoma"/>
          <w:sz w:val="18"/>
          <w:szCs w:val="18"/>
          <w:rtl/>
        </w:rPr>
        <w:t>ובשולי דברי מבוא אלו אבקש להביע תודות והערכה כלפי כל מי שעסקו במאבק בשריפה תוך סיכון חיים: ללוחמי האש, שפעלו ללא לאות לכיבוי השריפה, לאנשי המשטרה, לפיקוד העורף, לגורמי</w:t>
      </w:r>
      <w:r w:rsidRPr="0035618E">
        <w:rPr>
          <w:rFonts w:ascii="Tahoma" w:hAnsi="Tahoma" w:cs="Tahoma"/>
          <w:b/>
          <w:bCs/>
          <w:sz w:val="18"/>
          <w:szCs w:val="18"/>
          <w:rtl/>
        </w:rPr>
        <w:t xml:space="preserve"> </w:t>
      </w:r>
      <w:r w:rsidRPr="0035618E">
        <w:rPr>
          <w:rFonts w:ascii="Tahoma" w:hAnsi="Tahoma" w:cs="Tahoma"/>
          <w:sz w:val="18"/>
          <w:szCs w:val="18"/>
          <w:rtl/>
        </w:rPr>
        <w:t xml:space="preserve">השלטון המקומי, לאנשי מגן דוד אדום, לכוחות כיבוי וסיוע ממדינות זרות, לחברי ארגונים חברתיים ולמתנדבים רבים. </w:t>
      </w:r>
    </w:p>
    <w:p w:rsidR="009228A5" w:rsidRPr="00C9070C" w:rsidP="00BE4965">
      <w:pPr>
        <w:jc w:val="both"/>
        <w:rPr>
          <w:rFonts w:ascii="Tahoma" w:hAnsi="Tahoma" w:cs="Tahoma"/>
          <w:sz w:val="18"/>
          <w:szCs w:val="18"/>
          <w:rtl/>
        </w:rPr>
      </w:pPr>
    </w:p>
    <w:p w:rsidR="00006188" w:rsidRPr="00170230" w:rsidP="00EB7FB6">
      <w:pPr>
        <w:tabs>
          <w:tab w:val="center" w:pos="4535"/>
        </w:tabs>
        <w:spacing w:before="120" w:line="240" w:lineRule="atLeast"/>
        <w:ind w:right="1701"/>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35886"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EB7FB6">
      <w:pPr>
        <w:widowControl w:val="0"/>
        <w:tabs>
          <w:tab w:val="center" w:pos="4535"/>
        </w:tabs>
        <w:spacing w:after="0" w:line="280" w:lineRule="exact"/>
        <w:ind w:right="1701"/>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CE5221" w:rsidP="00EB7FB6">
      <w:pPr>
        <w:pStyle w:val="BalloonText"/>
        <w:widowControl w:val="0"/>
        <w:tabs>
          <w:tab w:val="center" w:pos="4535"/>
        </w:tabs>
        <w:spacing w:line="280" w:lineRule="exact"/>
        <w:ind w:right="1701"/>
        <w:rPr>
          <w:rFonts w:ascii="Tahoma" w:hAnsi="Tahoma" w:cs="Tahoma"/>
          <w:rtl/>
          <w:lang w:eastAsia="he-IL"/>
        </w:rPr>
      </w:pPr>
      <w:r w:rsidRPr="00CE5221">
        <w:rPr>
          <w:rFonts w:ascii="Tahoma" w:hAnsi="Tahoma" w:cs="Tahoma"/>
          <w:rtl/>
          <w:lang w:eastAsia="he-IL"/>
        </w:rPr>
        <w:tab/>
        <w:t>מבקר המדינה</w:t>
      </w:r>
    </w:p>
    <w:p w:rsidR="00D70CA7" w:rsidRPr="00D70CA7" w:rsidP="00EB7FB6">
      <w:pPr>
        <w:widowControl w:val="0"/>
        <w:tabs>
          <w:tab w:val="center" w:pos="4535"/>
        </w:tabs>
        <w:spacing w:after="0" w:line="280" w:lineRule="exact"/>
        <w:ind w:right="1701"/>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3C726F" w:rsidP="003C726F">
      <w:pPr>
        <w:tabs>
          <w:tab w:val="left" w:pos="898"/>
        </w:tabs>
        <w:spacing w:after="0" w:line="280" w:lineRule="exact"/>
        <w:rPr>
          <w:rFonts w:ascii="Tahoma" w:hAnsi="Tahoma" w:cs="Tahoma"/>
          <w:sz w:val="16"/>
          <w:szCs w:val="16"/>
          <w:rtl/>
        </w:rPr>
      </w:pPr>
    </w:p>
    <w:p w:rsidR="00D9505F" w:rsidRPr="00D9505F" w:rsidP="00EB7FB6">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EB7FB6">
        <w:rPr>
          <w:rFonts w:ascii="Tahoma" w:hAnsi="Tahoma" w:cs="Tahoma" w:hint="cs"/>
          <w:sz w:val="16"/>
          <w:szCs w:val="16"/>
          <w:rtl/>
        </w:rPr>
        <w:t xml:space="preserve">כסלו </w:t>
      </w:r>
      <w:r w:rsidR="00EB7FB6">
        <w:rPr>
          <w:rFonts w:ascii="Tahoma" w:hAnsi="Tahoma" w:cs="Tahoma" w:hint="cs"/>
          <w:sz w:val="16"/>
          <w:szCs w:val="16"/>
          <w:rtl/>
        </w:rPr>
        <w:t>התשע"ט</w:t>
      </w:r>
    </w:p>
    <w:p w:rsidR="00D9505F" w:rsidP="0035618E">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Pr="0035618E" w:rsidR="0035618E">
        <w:rPr>
          <w:rFonts w:ascii="Tahoma" w:hAnsi="Tahoma" w:cs="Tahoma" w:hint="eastAsia"/>
          <w:sz w:val="16"/>
          <w:szCs w:val="16"/>
          <w:rtl/>
        </w:rPr>
        <w:t>דצמבר</w:t>
      </w:r>
      <w:r w:rsidRPr="0035618E" w:rsidR="0035618E">
        <w:rPr>
          <w:rFonts w:ascii="Tahoma" w:hAnsi="Tahoma" w:cs="Tahoma"/>
          <w:sz w:val="16"/>
          <w:szCs w:val="16"/>
          <w:rtl/>
        </w:rPr>
        <w:t xml:space="preserve"> </w:t>
      </w:r>
      <w:r w:rsidR="003C726F">
        <w:rPr>
          <w:rFonts w:ascii="Tahoma" w:hAnsi="Tahoma" w:cs="Tahoma" w:hint="cs"/>
          <w:sz w:val="16"/>
          <w:szCs w:val="16"/>
          <w:rtl/>
        </w:rPr>
        <w:t>2018</w:t>
      </w:r>
      <w:bookmarkEnd w:id="0"/>
      <w:bookmarkEnd w:id="1"/>
      <w:bookmarkEnd w:id="2"/>
      <w:bookmarkEnd w:id="3"/>
      <w:bookmarkEnd w:id="4"/>
    </w:p>
    <w:sectPr w:rsidSect="004016EC">
      <w:headerReference w:type="even" r:id="rId6"/>
      <w:headerReference w:type="default" r:id="rId7"/>
      <w:headerReference w:type="first" r:id="rId8"/>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Generic1-Regular">
    <w:altName w:val="Times New Roman"/>
    <w:panose1 w:val="00000000000000000000"/>
    <w:charset w:val="B1"/>
    <w:family w:val="auto"/>
    <w:notTrueType/>
    <w:pitch w:val="default"/>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6EC" w:rsidRPr="000536D4" w:rsidP="00C9070C">
    <w:pPr>
      <w:spacing w:before="240" w:after="180" w:line="240" w:lineRule="auto"/>
      <w:rPr>
        <w:b/>
        <w:bCs/>
      </w:rPr>
    </w:pP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noProof/>
        <w:color w:val="0B5294" w:themeColor="accent1" w:themeShade="BF"/>
        <w:sz w:val="16"/>
        <w:szCs w:val="16"/>
        <w:rtl/>
      </w:rPr>
      <w:t>דוח 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6EC" w:rsidRPr="00D70CA7" w:rsidP="00A4218E">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Pr>
        <w:rFonts w:ascii="Arial Bold" w:hAnsi="Arial Bold" w:eastAsiaTheme="majorEastAsia" w:cs="Tahoma" w:hint="cs"/>
        <w:noProof/>
        <w:color w:val="0B5294" w:themeColor="accent1" w:themeShade="BF"/>
        <w:sz w:val="16"/>
        <w:szCs w:val="16"/>
        <w:rtl/>
      </w:rPr>
      <w:t>הי</w:t>
    </w:r>
    <w:r w:rsidRPr="00EB7FB6">
      <w:rPr>
        <w:rFonts w:ascii="Arial Bold" w:hAnsi="Arial Bold" w:eastAsiaTheme="majorEastAsia" w:cs="Tahoma" w:hint="eastAsia"/>
        <w:noProof/>
        <w:color w:val="0B5294" w:themeColor="accent1" w:themeShade="BF"/>
        <w:sz w:val="16"/>
        <w:szCs w:val="16"/>
        <w:rtl/>
      </w:rPr>
      <w:t>ערכות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הרשויות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המקומיות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לשריפות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תפקודן</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במהלך</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גל</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השריפות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בנובמבר</w:t>
    </w:r>
    <w:r w:rsidRPr="00EB7FB6">
      <w:rPr>
        <w:rFonts w:ascii="Arial Bold" w:hAnsi="Arial Bold" w:eastAsiaTheme="majorEastAsia" w:cs="Tahoma"/>
        <w:noProof/>
        <w:color w:val="0B5294" w:themeColor="accent1" w:themeShade="BF"/>
        <w:sz w:val="16"/>
        <w:szCs w:val="16"/>
        <w:rtl/>
      </w:rPr>
      <w:t xml:space="preserve"> 2016, </w:t>
    </w:r>
    <w:r w:rsidRPr="00EB7FB6">
      <w:rPr>
        <w:rFonts w:ascii="Arial Bold" w:hAnsi="Arial Bold" w:eastAsiaTheme="majorEastAsia" w:cs="Tahoma" w:hint="eastAsia"/>
        <w:noProof/>
        <w:color w:val="0B5294" w:themeColor="accent1" w:themeShade="BF"/>
        <w:sz w:val="16"/>
        <w:szCs w:val="16"/>
        <w:rtl/>
      </w:rPr>
      <w:t>פיצוי</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הניזוקים</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והעלויות</w:t>
    </w:r>
    <w:r w:rsidRPr="00EB7FB6">
      <w:rPr>
        <w:rFonts w:ascii="Arial Bold" w:hAnsi="Arial Bold" w:eastAsiaTheme="majorEastAsia" w:cs="Tahoma"/>
        <w:noProof/>
        <w:color w:val="0B5294" w:themeColor="accent1" w:themeShade="BF"/>
        <w:sz w:val="16"/>
        <w:szCs w:val="16"/>
        <w:rtl/>
      </w:rPr>
      <w:t xml:space="preserve"> </w:t>
    </w:r>
    <w:r w:rsidRPr="00EB7FB6">
      <w:rPr>
        <w:rFonts w:ascii="Arial Bold" w:hAnsi="Arial Bold" w:eastAsiaTheme="majorEastAsia" w:cs="Tahoma" w:hint="eastAsia"/>
        <w:noProof/>
        <w:color w:val="0B5294" w:themeColor="accent1" w:themeShade="BF"/>
        <w:sz w:val="16"/>
        <w:szCs w:val="16"/>
        <w:rtl/>
      </w:rPr>
      <w:t>למשק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1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alih Sawaed">
    <w15:presenceInfo w15:providerId="None" w15:userId="Salih Saw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3F9"/>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4772E"/>
    <w:rsid w:val="000504A0"/>
    <w:rsid w:val="00051008"/>
    <w:rsid w:val="000523CB"/>
    <w:rsid w:val="000536D4"/>
    <w:rsid w:val="0005686C"/>
    <w:rsid w:val="00056C17"/>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2FBD"/>
    <w:rsid w:val="000A34B5"/>
    <w:rsid w:val="000A382D"/>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E8"/>
    <w:rsid w:val="000B4E54"/>
    <w:rsid w:val="000B544F"/>
    <w:rsid w:val="000B565F"/>
    <w:rsid w:val="000B5F32"/>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0AA"/>
    <w:rsid w:val="000C6708"/>
    <w:rsid w:val="000C7018"/>
    <w:rsid w:val="000C7E9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2C68"/>
    <w:rsid w:val="000E37F3"/>
    <w:rsid w:val="000E42E0"/>
    <w:rsid w:val="000E46D3"/>
    <w:rsid w:val="000E5157"/>
    <w:rsid w:val="000E5B6C"/>
    <w:rsid w:val="000E5C35"/>
    <w:rsid w:val="000E642B"/>
    <w:rsid w:val="000E6B72"/>
    <w:rsid w:val="000E6D1A"/>
    <w:rsid w:val="000E761E"/>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213"/>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CE5"/>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3230"/>
    <w:rsid w:val="001856B7"/>
    <w:rsid w:val="0018650A"/>
    <w:rsid w:val="001866EE"/>
    <w:rsid w:val="00186FA6"/>
    <w:rsid w:val="0018762D"/>
    <w:rsid w:val="001877CA"/>
    <w:rsid w:val="00187F01"/>
    <w:rsid w:val="0019127D"/>
    <w:rsid w:val="001927CC"/>
    <w:rsid w:val="00192DC4"/>
    <w:rsid w:val="001933DD"/>
    <w:rsid w:val="0019373E"/>
    <w:rsid w:val="00193C51"/>
    <w:rsid w:val="00194AD1"/>
    <w:rsid w:val="00194FE0"/>
    <w:rsid w:val="00196762"/>
    <w:rsid w:val="00196B27"/>
    <w:rsid w:val="00196D01"/>
    <w:rsid w:val="001971C1"/>
    <w:rsid w:val="001A06FA"/>
    <w:rsid w:val="001A07B8"/>
    <w:rsid w:val="001A14B8"/>
    <w:rsid w:val="001A1832"/>
    <w:rsid w:val="001A1A35"/>
    <w:rsid w:val="001A1D8E"/>
    <w:rsid w:val="001A214C"/>
    <w:rsid w:val="001A2E4B"/>
    <w:rsid w:val="001A2F80"/>
    <w:rsid w:val="001A39E5"/>
    <w:rsid w:val="001A3DA4"/>
    <w:rsid w:val="001A417A"/>
    <w:rsid w:val="001A551B"/>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2E4"/>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6427"/>
    <w:rsid w:val="00206924"/>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0DAD"/>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01E3"/>
    <w:rsid w:val="002511A2"/>
    <w:rsid w:val="002518DB"/>
    <w:rsid w:val="002530C2"/>
    <w:rsid w:val="00255959"/>
    <w:rsid w:val="00255CC3"/>
    <w:rsid w:val="00260172"/>
    <w:rsid w:val="002630E9"/>
    <w:rsid w:val="002634FC"/>
    <w:rsid w:val="00264588"/>
    <w:rsid w:val="002647FF"/>
    <w:rsid w:val="00264915"/>
    <w:rsid w:val="002649D5"/>
    <w:rsid w:val="00265813"/>
    <w:rsid w:val="002665EC"/>
    <w:rsid w:val="00266740"/>
    <w:rsid w:val="0026692E"/>
    <w:rsid w:val="0027002F"/>
    <w:rsid w:val="00270AD8"/>
    <w:rsid w:val="002712C2"/>
    <w:rsid w:val="002714ED"/>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37E"/>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4DCF"/>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3D1"/>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36F7"/>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5"/>
    <w:rsid w:val="00330697"/>
    <w:rsid w:val="0033100C"/>
    <w:rsid w:val="00331522"/>
    <w:rsid w:val="00331A56"/>
    <w:rsid w:val="00331DAB"/>
    <w:rsid w:val="00333FB0"/>
    <w:rsid w:val="00334BBC"/>
    <w:rsid w:val="00335960"/>
    <w:rsid w:val="00335F65"/>
    <w:rsid w:val="00336A22"/>
    <w:rsid w:val="00336A9C"/>
    <w:rsid w:val="00337F70"/>
    <w:rsid w:val="003416E1"/>
    <w:rsid w:val="00341EDA"/>
    <w:rsid w:val="00342E41"/>
    <w:rsid w:val="00342F9F"/>
    <w:rsid w:val="003437E8"/>
    <w:rsid w:val="00344900"/>
    <w:rsid w:val="00345A36"/>
    <w:rsid w:val="003466C7"/>
    <w:rsid w:val="00346DF9"/>
    <w:rsid w:val="003504AD"/>
    <w:rsid w:val="00351463"/>
    <w:rsid w:val="00352F48"/>
    <w:rsid w:val="00353183"/>
    <w:rsid w:val="00353326"/>
    <w:rsid w:val="0035361A"/>
    <w:rsid w:val="00353A3A"/>
    <w:rsid w:val="003541A3"/>
    <w:rsid w:val="0035442A"/>
    <w:rsid w:val="00354900"/>
    <w:rsid w:val="0035618E"/>
    <w:rsid w:val="00357D06"/>
    <w:rsid w:val="003609E2"/>
    <w:rsid w:val="00361B78"/>
    <w:rsid w:val="00361CD3"/>
    <w:rsid w:val="0036393B"/>
    <w:rsid w:val="00363C9F"/>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A7D2A"/>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3B6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965"/>
    <w:rsid w:val="003F6C4B"/>
    <w:rsid w:val="003F6E1A"/>
    <w:rsid w:val="003F7F38"/>
    <w:rsid w:val="0040161B"/>
    <w:rsid w:val="004016EC"/>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19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71"/>
    <w:rsid w:val="004505D6"/>
    <w:rsid w:val="0045141B"/>
    <w:rsid w:val="00451F72"/>
    <w:rsid w:val="00451F8B"/>
    <w:rsid w:val="004535E7"/>
    <w:rsid w:val="004557A8"/>
    <w:rsid w:val="00456430"/>
    <w:rsid w:val="004564D4"/>
    <w:rsid w:val="0045656B"/>
    <w:rsid w:val="0045684E"/>
    <w:rsid w:val="00456C22"/>
    <w:rsid w:val="00456CEF"/>
    <w:rsid w:val="004604AD"/>
    <w:rsid w:val="00460993"/>
    <w:rsid w:val="004618B5"/>
    <w:rsid w:val="00461FDC"/>
    <w:rsid w:val="00462875"/>
    <w:rsid w:val="004638C4"/>
    <w:rsid w:val="00464628"/>
    <w:rsid w:val="004649FA"/>
    <w:rsid w:val="004660F8"/>
    <w:rsid w:val="0046631D"/>
    <w:rsid w:val="0046700E"/>
    <w:rsid w:val="004677B5"/>
    <w:rsid w:val="00467F06"/>
    <w:rsid w:val="0047067D"/>
    <w:rsid w:val="00470F05"/>
    <w:rsid w:val="00472462"/>
    <w:rsid w:val="00472670"/>
    <w:rsid w:val="00472C02"/>
    <w:rsid w:val="00472DBD"/>
    <w:rsid w:val="00473314"/>
    <w:rsid w:val="0047349A"/>
    <w:rsid w:val="004739CF"/>
    <w:rsid w:val="00473C08"/>
    <w:rsid w:val="00475484"/>
    <w:rsid w:val="00475740"/>
    <w:rsid w:val="0047668E"/>
    <w:rsid w:val="004768DA"/>
    <w:rsid w:val="004800D1"/>
    <w:rsid w:val="0048083D"/>
    <w:rsid w:val="00480E15"/>
    <w:rsid w:val="00480F04"/>
    <w:rsid w:val="004813E6"/>
    <w:rsid w:val="0048191F"/>
    <w:rsid w:val="00483033"/>
    <w:rsid w:val="0048341F"/>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3F69"/>
    <w:rsid w:val="004C41A4"/>
    <w:rsid w:val="004C5249"/>
    <w:rsid w:val="004C646D"/>
    <w:rsid w:val="004C777F"/>
    <w:rsid w:val="004D04A5"/>
    <w:rsid w:val="004D2679"/>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81A"/>
    <w:rsid w:val="005000F1"/>
    <w:rsid w:val="00501EBE"/>
    <w:rsid w:val="00501F88"/>
    <w:rsid w:val="00503016"/>
    <w:rsid w:val="00503346"/>
    <w:rsid w:val="00503914"/>
    <w:rsid w:val="00505054"/>
    <w:rsid w:val="00505951"/>
    <w:rsid w:val="00505E67"/>
    <w:rsid w:val="00505EE4"/>
    <w:rsid w:val="00505EE7"/>
    <w:rsid w:val="00506823"/>
    <w:rsid w:val="00506BF7"/>
    <w:rsid w:val="005072C0"/>
    <w:rsid w:val="005073A4"/>
    <w:rsid w:val="00510C73"/>
    <w:rsid w:val="00511771"/>
    <w:rsid w:val="00511D75"/>
    <w:rsid w:val="00512355"/>
    <w:rsid w:val="0051240A"/>
    <w:rsid w:val="005124C7"/>
    <w:rsid w:val="00512C90"/>
    <w:rsid w:val="00512CF1"/>
    <w:rsid w:val="00513862"/>
    <w:rsid w:val="00513FBC"/>
    <w:rsid w:val="00514E43"/>
    <w:rsid w:val="00515123"/>
    <w:rsid w:val="0051556D"/>
    <w:rsid w:val="0052041C"/>
    <w:rsid w:val="00521E20"/>
    <w:rsid w:val="00522AB2"/>
    <w:rsid w:val="00523A2E"/>
    <w:rsid w:val="0052427E"/>
    <w:rsid w:val="005251D0"/>
    <w:rsid w:val="005256F3"/>
    <w:rsid w:val="0052621D"/>
    <w:rsid w:val="0052641D"/>
    <w:rsid w:val="00527462"/>
    <w:rsid w:val="00527873"/>
    <w:rsid w:val="00530040"/>
    <w:rsid w:val="005302AB"/>
    <w:rsid w:val="00530A7F"/>
    <w:rsid w:val="00531652"/>
    <w:rsid w:val="00531F00"/>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8B5"/>
    <w:rsid w:val="00575AD1"/>
    <w:rsid w:val="005765C7"/>
    <w:rsid w:val="00576828"/>
    <w:rsid w:val="00577182"/>
    <w:rsid w:val="0057796D"/>
    <w:rsid w:val="00580C39"/>
    <w:rsid w:val="005818ED"/>
    <w:rsid w:val="00582EEE"/>
    <w:rsid w:val="00584F72"/>
    <w:rsid w:val="0058546D"/>
    <w:rsid w:val="0058562D"/>
    <w:rsid w:val="00586C76"/>
    <w:rsid w:val="0059097C"/>
    <w:rsid w:val="00590AF8"/>
    <w:rsid w:val="0059131B"/>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851"/>
    <w:rsid w:val="005A4DBF"/>
    <w:rsid w:val="005B0219"/>
    <w:rsid w:val="005B07DE"/>
    <w:rsid w:val="005B0DFE"/>
    <w:rsid w:val="005B12E9"/>
    <w:rsid w:val="005B1713"/>
    <w:rsid w:val="005B2281"/>
    <w:rsid w:val="005B2537"/>
    <w:rsid w:val="005B3251"/>
    <w:rsid w:val="005B3350"/>
    <w:rsid w:val="005B426A"/>
    <w:rsid w:val="005B463B"/>
    <w:rsid w:val="005B515A"/>
    <w:rsid w:val="005B5C18"/>
    <w:rsid w:val="005B5C8A"/>
    <w:rsid w:val="005B622B"/>
    <w:rsid w:val="005B6767"/>
    <w:rsid w:val="005B7EBA"/>
    <w:rsid w:val="005C0B09"/>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2A56"/>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30F"/>
    <w:rsid w:val="005F3BAC"/>
    <w:rsid w:val="005F4396"/>
    <w:rsid w:val="005F4618"/>
    <w:rsid w:val="005F5874"/>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3F6E"/>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4F9E"/>
    <w:rsid w:val="0063519E"/>
    <w:rsid w:val="0063632E"/>
    <w:rsid w:val="00640298"/>
    <w:rsid w:val="00641FC6"/>
    <w:rsid w:val="006423C5"/>
    <w:rsid w:val="00643266"/>
    <w:rsid w:val="0064502B"/>
    <w:rsid w:val="006453AA"/>
    <w:rsid w:val="00646CF4"/>
    <w:rsid w:val="006474EC"/>
    <w:rsid w:val="00650187"/>
    <w:rsid w:val="0065147A"/>
    <w:rsid w:val="0065191D"/>
    <w:rsid w:val="00651AFD"/>
    <w:rsid w:val="00652312"/>
    <w:rsid w:val="00652A0E"/>
    <w:rsid w:val="00652ADF"/>
    <w:rsid w:val="006554D5"/>
    <w:rsid w:val="00655A3C"/>
    <w:rsid w:val="00655C9A"/>
    <w:rsid w:val="006562BE"/>
    <w:rsid w:val="00656936"/>
    <w:rsid w:val="00656CB7"/>
    <w:rsid w:val="00656EF1"/>
    <w:rsid w:val="006571FD"/>
    <w:rsid w:val="006600F0"/>
    <w:rsid w:val="00660683"/>
    <w:rsid w:val="00661364"/>
    <w:rsid w:val="006620DC"/>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34B"/>
    <w:rsid w:val="0069266B"/>
    <w:rsid w:val="00692787"/>
    <w:rsid w:val="006928C5"/>
    <w:rsid w:val="00692AB8"/>
    <w:rsid w:val="006938C3"/>
    <w:rsid w:val="006953FC"/>
    <w:rsid w:val="00695A60"/>
    <w:rsid w:val="00696B9F"/>
    <w:rsid w:val="00696D29"/>
    <w:rsid w:val="006977B2"/>
    <w:rsid w:val="00697BF1"/>
    <w:rsid w:val="00697F56"/>
    <w:rsid w:val="006A019B"/>
    <w:rsid w:val="006A257A"/>
    <w:rsid w:val="006A2939"/>
    <w:rsid w:val="006A5393"/>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CF0"/>
    <w:rsid w:val="006C3E19"/>
    <w:rsid w:val="006C47F6"/>
    <w:rsid w:val="006C4AC5"/>
    <w:rsid w:val="006C5F46"/>
    <w:rsid w:val="006C6EFC"/>
    <w:rsid w:val="006C7D34"/>
    <w:rsid w:val="006D0320"/>
    <w:rsid w:val="006D07E5"/>
    <w:rsid w:val="006D0882"/>
    <w:rsid w:val="006D093A"/>
    <w:rsid w:val="006D497F"/>
    <w:rsid w:val="006D4CDB"/>
    <w:rsid w:val="006D50D8"/>
    <w:rsid w:val="006D5185"/>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2D"/>
    <w:rsid w:val="00742351"/>
    <w:rsid w:val="007427B5"/>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2D37"/>
    <w:rsid w:val="00763840"/>
    <w:rsid w:val="00763FE4"/>
    <w:rsid w:val="0076417E"/>
    <w:rsid w:val="00764C43"/>
    <w:rsid w:val="00765FE4"/>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44E"/>
    <w:rsid w:val="00793681"/>
    <w:rsid w:val="00796B9C"/>
    <w:rsid w:val="00796C2E"/>
    <w:rsid w:val="007A071F"/>
    <w:rsid w:val="007A2601"/>
    <w:rsid w:val="007A6F7E"/>
    <w:rsid w:val="007A73F1"/>
    <w:rsid w:val="007A76BA"/>
    <w:rsid w:val="007B1194"/>
    <w:rsid w:val="007B1532"/>
    <w:rsid w:val="007B24B1"/>
    <w:rsid w:val="007B2A3E"/>
    <w:rsid w:val="007B3B7D"/>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4F50"/>
    <w:rsid w:val="007C52C8"/>
    <w:rsid w:val="007C62E0"/>
    <w:rsid w:val="007C636C"/>
    <w:rsid w:val="007C657C"/>
    <w:rsid w:val="007C6F21"/>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291E"/>
    <w:rsid w:val="007E38A7"/>
    <w:rsid w:val="007E3AA5"/>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DAC"/>
    <w:rsid w:val="00822E5A"/>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2278"/>
    <w:rsid w:val="00843135"/>
    <w:rsid w:val="00843290"/>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549"/>
    <w:rsid w:val="00860D6C"/>
    <w:rsid w:val="00861175"/>
    <w:rsid w:val="00862036"/>
    <w:rsid w:val="00862168"/>
    <w:rsid w:val="0086284D"/>
    <w:rsid w:val="008635A7"/>
    <w:rsid w:val="0086395A"/>
    <w:rsid w:val="00865CCF"/>
    <w:rsid w:val="00865D67"/>
    <w:rsid w:val="00865F8B"/>
    <w:rsid w:val="00866E36"/>
    <w:rsid w:val="008672D0"/>
    <w:rsid w:val="00870102"/>
    <w:rsid w:val="00873E1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158"/>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256F"/>
    <w:rsid w:val="008B2C10"/>
    <w:rsid w:val="008B3389"/>
    <w:rsid w:val="008B3F9B"/>
    <w:rsid w:val="008B5613"/>
    <w:rsid w:val="008B5617"/>
    <w:rsid w:val="008B57E5"/>
    <w:rsid w:val="008B59DF"/>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6AA"/>
    <w:rsid w:val="008F5897"/>
    <w:rsid w:val="008F6EB4"/>
    <w:rsid w:val="008F6EFC"/>
    <w:rsid w:val="008F7A3A"/>
    <w:rsid w:val="00901329"/>
    <w:rsid w:val="009016E3"/>
    <w:rsid w:val="00902085"/>
    <w:rsid w:val="00902426"/>
    <w:rsid w:val="00902A61"/>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8A5"/>
    <w:rsid w:val="00922D49"/>
    <w:rsid w:val="00922E7F"/>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9C0"/>
    <w:rsid w:val="00946587"/>
    <w:rsid w:val="0094720D"/>
    <w:rsid w:val="0094772D"/>
    <w:rsid w:val="009511E5"/>
    <w:rsid w:val="0095149D"/>
    <w:rsid w:val="009521C1"/>
    <w:rsid w:val="00952A15"/>
    <w:rsid w:val="009534C9"/>
    <w:rsid w:val="00953EF6"/>
    <w:rsid w:val="0095402B"/>
    <w:rsid w:val="00955290"/>
    <w:rsid w:val="00955EBD"/>
    <w:rsid w:val="009568B5"/>
    <w:rsid w:val="00960C7F"/>
    <w:rsid w:val="00962F77"/>
    <w:rsid w:val="00963193"/>
    <w:rsid w:val="00964AA4"/>
    <w:rsid w:val="00964B5B"/>
    <w:rsid w:val="00964DE9"/>
    <w:rsid w:val="00965598"/>
    <w:rsid w:val="009665B5"/>
    <w:rsid w:val="0096660F"/>
    <w:rsid w:val="009677C7"/>
    <w:rsid w:val="00970333"/>
    <w:rsid w:val="009712EA"/>
    <w:rsid w:val="00972642"/>
    <w:rsid w:val="009729A9"/>
    <w:rsid w:val="00973F33"/>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0970"/>
    <w:rsid w:val="009C29DF"/>
    <w:rsid w:val="009C3181"/>
    <w:rsid w:val="009C555E"/>
    <w:rsid w:val="009C7936"/>
    <w:rsid w:val="009C7B49"/>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36B4"/>
    <w:rsid w:val="009E4504"/>
    <w:rsid w:val="009E49BF"/>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4C4"/>
    <w:rsid w:val="00A02A8E"/>
    <w:rsid w:val="00A02BE8"/>
    <w:rsid w:val="00A0304E"/>
    <w:rsid w:val="00A0323A"/>
    <w:rsid w:val="00A04E41"/>
    <w:rsid w:val="00A05E5D"/>
    <w:rsid w:val="00A069A8"/>
    <w:rsid w:val="00A079A4"/>
    <w:rsid w:val="00A1046C"/>
    <w:rsid w:val="00A10996"/>
    <w:rsid w:val="00A123E9"/>
    <w:rsid w:val="00A12A8C"/>
    <w:rsid w:val="00A12D45"/>
    <w:rsid w:val="00A134DC"/>
    <w:rsid w:val="00A137EE"/>
    <w:rsid w:val="00A15114"/>
    <w:rsid w:val="00A151A7"/>
    <w:rsid w:val="00A15EAB"/>
    <w:rsid w:val="00A1667B"/>
    <w:rsid w:val="00A16854"/>
    <w:rsid w:val="00A16A80"/>
    <w:rsid w:val="00A16D1A"/>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18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13E5"/>
    <w:rsid w:val="00A6310F"/>
    <w:rsid w:val="00A63741"/>
    <w:rsid w:val="00A63E2A"/>
    <w:rsid w:val="00A6494D"/>
    <w:rsid w:val="00A64AFA"/>
    <w:rsid w:val="00A64BC4"/>
    <w:rsid w:val="00A64E0C"/>
    <w:rsid w:val="00A65B5B"/>
    <w:rsid w:val="00A65E42"/>
    <w:rsid w:val="00A66E3D"/>
    <w:rsid w:val="00A67EE2"/>
    <w:rsid w:val="00A67F8F"/>
    <w:rsid w:val="00A71215"/>
    <w:rsid w:val="00A71736"/>
    <w:rsid w:val="00A71870"/>
    <w:rsid w:val="00A72A97"/>
    <w:rsid w:val="00A73296"/>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EAA"/>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50F"/>
    <w:rsid w:val="00AF4BB2"/>
    <w:rsid w:val="00AF4C28"/>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68B"/>
    <w:rsid w:val="00B1079F"/>
    <w:rsid w:val="00B1096F"/>
    <w:rsid w:val="00B10C4B"/>
    <w:rsid w:val="00B10F65"/>
    <w:rsid w:val="00B11E1B"/>
    <w:rsid w:val="00B11FC4"/>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65C"/>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09D"/>
    <w:rsid w:val="00B8249F"/>
    <w:rsid w:val="00B82A38"/>
    <w:rsid w:val="00B82F79"/>
    <w:rsid w:val="00B85616"/>
    <w:rsid w:val="00B90C3E"/>
    <w:rsid w:val="00B914C7"/>
    <w:rsid w:val="00B9160E"/>
    <w:rsid w:val="00B9248D"/>
    <w:rsid w:val="00B92AC7"/>
    <w:rsid w:val="00B95615"/>
    <w:rsid w:val="00B96064"/>
    <w:rsid w:val="00B9623A"/>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302"/>
    <w:rsid w:val="00BC4504"/>
    <w:rsid w:val="00BC54FE"/>
    <w:rsid w:val="00BC6C3B"/>
    <w:rsid w:val="00BC6F81"/>
    <w:rsid w:val="00BD0182"/>
    <w:rsid w:val="00BD01FC"/>
    <w:rsid w:val="00BD0C09"/>
    <w:rsid w:val="00BD1505"/>
    <w:rsid w:val="00BD178B"/>
    <w:rsid w:val="00BD2878"/>
    <w:rsid w:val="00BD296C"/>
    <w:rsid w:val="00BD2B58"/>
    <w:rsid w:val="00BD38C5"/>
    <w:rsid w:val="00BD3B30"/>
    <w:rsid w:val="00BD675C"/>
    <w:rsid w:val="00BD6C42"/>
    <w:rsid w:val="00BD71E6"/>
    <w:rsid w:val="00BE029F"/>
    <w:rsid w:val="00BE03E9"/>
    <w:rsid w:val="00BE0988"/>
    <w:rsid w:val="00BE37E0"/>
    <w:rsid w:val="00BE4965"/>
    <w:rsid w:val="00BE531E"/>
    <w:rsid w:val="00BE5EA7"/>
    <w:rsid w:val="00BE630D"/>
    <w:rsid w:val="00BE7384"/>
    <w:rsid w:val="00BF044F"/>
    <w:rsid w:val="00BF1F74"/>
    <w:rsid w:val="00BF3CC5"/>
    <w:rsid w:val="00BF42A4"/>
    <w:rsid w:val="00BF6CCE"/>
    <w:rsid w:val="00BF7116"/>
    <w:rsid w:val="00BF7AA1"/>
    <w:rsid w:val="00BF7EF8"/>
    <w:rsid w:val="00C00A84"/>
    <w:rsid w:val="00C010F3"/>
    <w:rsid w:val="00C01558"/>
    <w:rsid w:val="00C01C0D"/>
    <w:rsid w:val="00C02754"/>
    <w:rsid w:val="00C03083"/>
    <w:rsid w:val="00C03C73"/>
    <w:rsid w:val="00C040D9"/>
    <w:rsid w:val="00C04A0A"/>
    <w:rsid w:val="00C05394"/>
    <w:rsid w:val="00C06339"/>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2611D"/>
    <w:rsid w:val="00C3070D"/>
    <w:rsid w:val="00C308C8"/>
    <w:rsid w:val="00C31300"/>
    <w:rsid w:val="00C31D0F"/>
    <w:rsid w:val="00C320E7"/>
    <w:rsid w:val="00C3450D"/>
    <w:rsid w:val="00C353BF"/>
    <w:rsid w:val="00C35EE4"/>
    <w:rsid w:val="00C4085B"/>
    <w:rsid w:val="00C409CD"/>
    <w:rsid w:val="00C41220"/>
    <w:rsid w:val="00C41706"/>
    <w:rsid w:val="00C43668"/>
    <w:rsid w:val="00C43CDD"/>
    <w:rsid w:val="00C443B1"/>
    <w:rsid w:val="00C45621"/>
    <w:rsid w:val="00C4624B"/>
    <w:rsid w:val="00C46382"/>
    <w:rsid w:val="00C46854"/>
    <w:rsid w:val="00C47C77"/>
    <w:rsid w:val="00C47F61"/>
    <w:rsid w:val="00C47FB9"/>
    <w:rsid w:val="00C5074B"/>
    <w:rsid w:val="00C51E75"/>
    <w:rsid w:val="00C524A1"/>
    <w:rsid w:val="00C52CB1"/>
    <w:rsid w:val="00C54AF8"/>
    <w:rsid w:val="00C564D6"/>
    <w:rsid w:val="00C57862"/>
    <w:rsid w:val="00C5799C"/>
    <w:rsid w:val="00C60040"/>
    <w:rsid w:val="00C60CCF"/>
    <w:rsid w:val="00C61068"/>
    <w:rsid w:val="00C61467"/>
    <w:rsid w:val="00C62529"/>
    <w:rsid w:val="00C63553"/>
    <w:rsid w:val="00C64599"/>
    <w:rsid w:val="00C658F0"/>
    <w:rsid w:val="00C66421"/>
    <w:rsid w:val="00C66A56"/>
    <w:rsid w:val="00C66B15"/>
    <w:rsid w:val="00C7227D"/>
    <w:rsid w:val="00C72405"/>
    <w:rsid w:val="00C73D25"/>
    <w:rsid w:val="00C746C1"/>
    <w:rsid w:val="00C755DA"/>
    <w:rsid w:val="00C7701F"/>
    <w:rsid w:val="00C80CDA"/>
    <w:rsid w:val="00C8105B"/>
    <w:rsid w:val="00C81E8F"/>
    <w:rsid w:val="00C8274E"/>
    <w:rsid w:val="00C830F4"/>
    <w:rsid w:val="00C83C29"/>
    <w:rsid w:val="00C83EC4"/>
    <w:rsid w:val="00C84EB4"/>
    <w:rsid w:val="00C85E9F"/>
    <w:rsid w:val="00C861F7"/>
    <w:rsid w:val="00C86438"/>
    <w:rsid w:val="00C86E09"/>
    <w:rsid w:val="00C86FBB"/>
    <w:rsid w:val="00C873AE"/>
    <w:rsid w:val="00C9070C"/>
    <w:rsid w:val="00C90B47"/>
    <w:rsid w:val="00C90BC0"/>
    <w:rsid w:val="00C9124C"/>
    <w:rsid w:val="00C92423"/>
    <w:rsid w:val="00C92D3C"/>
    <w:rsid w:val="00C95789"/>
    <w:rsid w:val="00C95D08"/>
    <w:rsid w:val="00C96091"/>
    <w:rsid w:val="00C969A5"/>
    <w:rsid w:val="00C96B43"/>
    <w:rsid w:val="00C97EE5"/>
    <w:rsid w:val="00CA02EF"/>
    <w:rsid w:val="00CA07ED"/>
    <w:rsid w:val="00CA0ED3"/>
    <w:rsid w:val="00CA1595"/>
    <w:rsid w:val="00CA1A7A"/>
    <w:rsid w:val="00CA1C4B"/>
    <w:rsid w:val="00CA2809"/>
    <w:rsid w:val="00CA39BF"/>
    <w:rsid w:val="00CA4073"/>
    <w:rsid w:val="00CA43A3"/>
    <w:rsid w:val="00CA44DA"/>
    <w:rsid w:val="00CA4558"/>
    <w:rsid w:val="00CA47FD"/>
    <w:rsid w:val="00CA4E2D"/>
    <w:rsid w:val="00CA53C5"/>
    <w:rsid w:val="00CA54D1"/>
    <w:rsid w:val="00CA761A"/>
    <w:rsid w:val="00CA77B7"/>
    <w:rsid w:val="00CB13D3"/>
    <w:rsid w:val="00CB1E24"/>
    <w:rsid w:val="00CB2283"/>
    <w:rsid w:val="00CB232B"/>
    <w:rsid w:val="00CB2820"/>
    <w:rsid w:val="00CB3322"/>
    <w:rsid w:val="00CB44FB"/>
    <w:rsid w:val="00CB4798"/>
    <w:rsid w:val="00CB53A9"/>
    <w:rsid w:val="00CB60B0"/>
    <w:rsid w:val="00CB72B9"/>
    <w:rsid w:val="00CB7B7E"/>
    <w:rsid w:val="00CC0EB7"/>
    <w:rsid w:val="00CC28DB"/>
    <w:rsid w:val="00CC2988"/>
    <w:rsid w:val="00CC2CB6"/>
    <w:rsid w:val="00CC3425"/>
    <w:rsid w:val="00CC3662"/>
    <w:rsid w:val="00CC407A"/>
    <w:rsid w:val="00CC4549"/>
    <w:rsid w:val="00CC4947"/>
    <w:rsid w:val="00CC679E"/>
    <w:rsid w:val="00CC6E6D"/>
    <w:rsid w:val="00CC710B"/>
    <w:rsid w:val="00CC758B"/>
    <w:rsid w:val="00CC7E84"/>
    <w:rsid w:val="00CD133E"/>
    <w:rsid w:val="00CD14D9"/>
    <w:rsid w:val="00CD1B85"/>
    <w:rsid w:val="00CD2727"/>
    <w:rsid w:val="00CD293F"/>
    <w:rsid w:val="00CD3559"/>
    <w:rsid w:val="00CD3FC9"/>
    <w:rsid w:val="00CD5494"/>
    <w:rsid w:val="00CD5C96"/>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0CC4"/>
    <w:rsid w:val="00D015BA"/>
    <w:rsid w:val="00D01782"/>
    <w:rsid w:val="00D02C6D"/>
    <w:rsid w:val="00D02D97"/>
    <w:rsid w:val="00D02FED"/>
    <w:rsid w:val="00D03561"/>
    <w:rsid w:val="00D03764"/>
    <w:rsid w:val="00D03998"/>
    <w:rsid w:val="00D0513D"/>
    <w:rsid w:val="00D074AE"/>
    <w:rsid w:val="00D0792B"/>
    <w:rsid w:val="00D10410"/>
    <w:rsid w:val="00D10817"/>
    <w:rsid w:val="00D114FE"/>
    <w:rsid w:val="00D11AF0"/>
    <w:rsid w:val="00D13696"/>
    <w:rsid w:val="00D13727"/>
    <w:rsid w:val="00D1425A"/>
    <w:rsid w:val="00D15224"/>
    <w:rsid w:val="00D1549F"/>
    <w:rsid w:val="00D17D22"/>
    <w:rsid w:val="00D21745"/>
    <w:rsid w:val="00D227D7"/>
    <w:rsid w:val="00D228C5"/>
    <w:rsid w:val="00D228EE"/>
    <w:rsid w:val="00D2438E"/>
    <w:rsid w:val="00D255A3"/>
    <w:rsid w:val="00D25F82"/>
    <w:rsid w:val="00D27368"/>
    <w:rsid w:val="00D3198F"/>
    <w:rsid w:val="00D31CB3"/>
    <w:rsid w:val="00D33D8A"/>
    <w:rsid w:val="00D34087"/>
    <w:rsid w:val="00D343EC"/>
    <w:rsid w:val="00D373E5"/>
    <w:rsid w:val="00D37527"/>
    <w:rsid w:val="00D3772C"/>
    <w:rsid w:val="00D40268"/>
    <w:rsid w:val="00D40382"/>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6975"/>
    <w:rsid w:val="00D770B2"/>
    <w:rsid w:val="00D77E06"/>
    <w:rsid w:val="00D80113"/>
    <w:rsid w:val="00D80DC8"/>
    <w:rsid w:val="00D814E6"/>
    <w:rsid w:val="00D81C35"/>
    <w:rsid w:val="00D81DDF"/>
    <w:rsid w:val="00D824AE"/>
    <w:rsid w:val="00D82986"/>
    <w:rsid w:val="00D82A10"/>
    <w:rsid w:val="00D82BD3"/>
    <w:rsid w:val="00D832B1"/>
    <w:rsid w:val="00D83408"/>
    <w:rsid w:val="00D83AE7"/>
    <w:rsid w:val="00D84D68"/>
    <w:rsid w:val="00D864F9"/>
    <w:rsid w:val="00D86A15"/>
    <w:rsid w:val="00D86B3D"/>
    <w:rsid w:val="00D86FC5"/>
    <w:rsid w:val="00D87793"/>
    <w:rsid w:val="00D90BFD"/>
    <w:rsid w:val="00D90EA9"/>
    <w:rsid w:val="00D91633"/>
    <w:rsid w:val="00D91DAA"/>
    <w:rsid w:val="00D91F36"/>
    <w:rsid w:val="00D92193"/>
    <w:rsid w:val="00D92695"/>
    <w:rsid w:val="00D92CD5"/>
    <w:rsid w:val="00D92E66"/>
    <w:rsid w:val="00D93F3B"/>
    <w:rsid w:val="00D94713"/>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2FC0"/>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DD9"/>
    <w:rsid w:val="00DC60D5"/>
    <w:rsid w:val="00DC7FAB"/>
    <w:rsid w:val="00DD0BE7"/>
    <w:rsid w:val="00DD1477"/>
    <w:rsid w:val="00DD29E9"/>
    <w:rsid w:val="00DD3164"/>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54"/>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4E5F"/>
    <w:rsid w:val="00E15AE5"/>
    <w:rsid w:val="00E167E6"/>
    <w:rsid w:val="00E170B7"/>
    <w:rsid w:val="00E1723C"/>
    <w:rsid w:val="00E2018D"/>
    <w:rsid w:val="00E205EB"/>
    <w:rsid w:val="00E2089B"/>
    <w:rsid w:val="00E21918"/>
    <w:rsid w:val="00E220A2"/>
    <w:rsid w:val="00E22CFB"/>
    <w:rsid w:val="00E23066"/>
    <w:rsid w:val="00E23B7D"/>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4ED8"/>
    <w:rsid w:val="00E358D2"/>
    <w:rsid w:val="00E36E76"/>
    <w:rsid w:val="00E3779D"/>
    <w:rsid w:val="00E40305"/>
    <w:rsid w:val="00E41D67"/>
    <w:rsid w:val="00E43F01"/>
    <w:rsid w:val="00E447C7"/>
    <w:rsid w:val="00E46189"/>
    <w:rsid w:val="00E46878"/>
    <w:rsid w:val="00E46C28"/>
    <w:rsid w:val="00E47FD3"/>
    <w:rsid w:val="00E50BA5"/>
    <w:rsid w:val="00E5254D"/>
    <w:rsid w:val="00E5284F"/>
    <w:rsid w:val="00E53108"/>
    <w:rsid w:val="00E53841"/>
    <w:rsid w:val="00E53BBE"/>
    <w:rsid w:val="00E549F2"/>
    <w:rsid w:val="00E54EB6"/>
    <w:rsid w:val="00E5529E"/>
    <w:rsid w:val="00E56791"/>
    <w:rsid w:val="00E56EA4"/>
    <w:rsid w:val="00E57291"/>
    <w:rsid w:val="00E6240F"/>
    <w:rsid w:val="00E63600"/>
    <w:rsid w:val="00E65034"/>
    <w:rsid w:val="00E657A9"/>
    <w:rsid w:val="00E66DCA"/>
    <w:rsid w:val="00E67E7C"/>
    <w:rsid w:val="00E721AF"/>
    <w:rsid w:val="00E72DE0"/>
    <w:rsid w:val="00E74E55"/>
    <w:rsid w:val="00E76C73"/>
    <w:rsid w:val="00E806CC"/>
    <w:rsid w:val="00E81429"/>
    <w:rsid w:val="00E81824"/>
    <w:rsid w:val="00E8357C"/>
    <w:rsid w:val="00E83B42"/>
    <w:rsid w:val="00E87438"/>
    <w:rsid w:val="00E901AF"/>
    <w:rsid w:val="00E90BF4"/>
    <w:rsid w:val="00E91008"/>
    <w:rsid w:val="00E91741"/>
    <w:rsid w:val="00E91833"/>
    <w:rsid w:val="00E92409"/>
    <w:rsid w:val="00E936A6"/>
    <w:rsid w:val="00E96931"/>
    <w:rsid w:val="00E97C36"/>
    <w:rsid w:val="00EA0079"/>
    <w:rsid w:val="00EA0837"/>
    <w:rsid w:val="00EA16CA"/>
    <w:rsid w:val="00EA247D"/>
    <w:rsid w:val="00EA3740"/>
    <w:rsid w:val="00EA3DD8"/>
    <w:rsid w:val="00EA4173"/>
    <w:rsid w:val="00EA4174"/>
    <w:rsid w:val="00EA423E"/>
    <w:rsid w:val="00EA4A3B"/>
    <w:rsid w:val="00EA4D8E"/>
    <w:rsid w:val="00EA4E31"/>
    <w:rsid w:val="00EA4F5A"/>
    <w:rsid w:val="00EA5DE9"/>
    <w:rsid w:val="00EA62D3"/>
    <w:rsid w:val="00EA6D15"/>
    <w:rsid w:val="00EA7E5E"/>
    <w:rsid w:val="00EA7F23"/>
    <w:rsid w:val="00EB048C"/>
    <w:rsid w:val="00EB081A"/>
    <w:rsid w:val="00EB098C"/>
    <w:rsid w:val="00EB216C"/>
    <w:rsid w:val="00EB2255"/>
    <w:rsid w:val="00EB2355"/>
    <w:rsid w:val="00EB2A81"/>
    <w:rsid w:val="00EB372D"/>
    <w:rsid w:val="00EB3BB1"/>
    <w:rsid w:val="00EB4916"/>
    <w:rsid w:val="00EB4C23"/>
    <w:rsid w:val="00EB50A0"/>
    <w:rsid w:val="00EB52FE"/>
    <w:rsid w:val="00EB568A"/>
    <w:rsid w:val="00EB57A3"/>
    <w:rsid w:val="00EB5E88"/>
    <w:rsid w:val="00EB6CAF"/>
    <w:rsid w:val="00EB7BDE"/>
    <w:rsid w:val="00EB7FB6"/>
    <w:rsid w:val="00EC106E"/>
    <w:rsid w:val="00EC1A37"/>
    <w:rsid w:val="00EC38E4"/>
    <w:rsid w:val="00EC4B5F"/>
    <w:rsid w:val="00EC6320"/>
    <w:rsid w:val="00EC6340"/>
    <w:rsid w:val="00EC6FC1"/>
    <w:rsid w:val="00ED00B0"/>
    <w:rsid w:val="00ED01F1"/>
    <w:rsid w:val="00ED0E81"/>
    <w:rsid w:val="00ED1385"/>
    <w:rsid w:val="00ED15C2"/>
    <w:rsid w:val="00ED347F"/>
    <w:rsid w:val="00ED37A2"/>
    <w:rsid w:val="00ED491A"/>
    <w:rsid w:val="00ED4BB5"/>
    <w:rsid w:val="00ED5E40"/>
    <w:rsid w:val="00ED6E15"/>
    <w:rsid w:val="00EE04E7"/>
    <w:rsid w:val="00EE083D"/>
    <w:rsid w:val="00EE0DB2"/>
    <w:rsid w:val="00EE0E9A"/>
    <w:rsid w:val="00EE12A7"/>
    <w:rsid w:val="00EE15B2"/>
    <w:rsid w:val="00EE2409"/>
    <w:rsid w:val="00EE3042"/>
    <w:rsid w:val="00EE30FD"/>
    <w:rsid w:val="00EE3C5A"/>
    <w:rsid w:val="00EE4547"/>
    <w:rsid w:val="00EE45A6"/>
    <w:rsid w:val="00EE4822"/>
    <w:rsid w:val="00EE4D72"/>
    <w:rsid w:val="00EE5292"/>
    <w:rsid w:val="00EE658F"/>
    <w:rsid w:val="00EE6649"/>
    <w:rsid w:val="00EE6B18"/>
    <w:rsid w:val="00EE758A"/>
    <w:rsid w:val="00EE7D3F"/>
    <w:rsid w:val="00EF020B"/>
    <w:rsid w:val="00EF05F9"/>
    <w:rsid w:val="00EF2B60"/>
    <w:rsid w:val="00EF2C79"/>
    <w:rsid w:val="00EF3241"/>
    <w:rsid w:val="00EF3CD8"/>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8E2"/>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742"/>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634"/>
    <w:rsid w:val="00FA783C"/>
    <w:rsid w:val="00FB0A48"/>
    <w:rsid w:val="00FB0EF2"/>
    <w:rsid w:val="00FB0F14"/>
    <w:rsid w:val="00FB1367"/>
    <w:rsid w:val="00FB1DA9"/>
    <w:rsid w:val="00FB301D"/>
    <w:rsid w:val="00FB3070"/>
    <w:rsid w:val="00FB34C4"/>
    <w:rsid w:val="00FB3B5A"/>
    <w:rsid w:val="00FB4643"/>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2B22"/>
    <w:rsid w:val="00FD32D1"/>
    <w:rsid w:val="00FD3AAE"/>
    <w:rsid w:val="00FD3F95"/>
    <w:rsid w:val="00FD4271"/>
    <w:rsid w:val="00FE1FB9"/>
    <w:rsid w:val="00FE2588"/>
    <w:rsid w:val="00FE28E3"/>
    <w:rsid w:val="00FE50EC"/>
    <w:rsid w:val="00FE5CC4"/>
    <w:rsid w:val="00FE6451"/>
    <w:rsid w:val="00FE6819"/>
    <w:rsid w:val="00FE745F"/>
    <w:rsid w:val="00FE761A"/>
    <w:rsid w:val="00FE7AF1"/>
    <w:rsid w:val="00FE7B7D"/>
    <w:rsid w:val="00FF06EE"/>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12" Type="http://schemas.microsoft.com/office/2011/relationships/people" Target="people.xml"/><Relationship Id="rId7" Type="http://schemas.openxmlformats.org/officeDocument/2006/relationships/header" Target="head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theme" Target="theme/theme1.xml"/><Relationship Id="rId14"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7075C7-89D9-4F08-BD9D-9CABA98EA24D}">
  <ds:schemaRefs>
    <ds:schemaRef ds:uri="http://schemas.openxmlformats.org/officeDocument/2006/bibliography"/>
  </ds:schemaRefs>
</ds:datastoreItem>
</file>

<file path=customXml/itemProps2.xml><?xml version="1.0" encoding="utf-8"?>
<ds:datastoreItem xmlns:ds="http://schemas.openxmlformats.org/officeDocument/2006/customXml" ds:itemID="{BB462885-A8BA-4FF4-B5D0-E9ED8C0AEFE4}"/>
</file>

<file path=customXml/itemProps3.xml><?xml version="1.0" encoding="utf-8"?>
<ds:datastoreItem xmlns:ds="http://schemas.openxmlformats.org/officeDocument/2006/customXml" ds:itemID="{A21931F1-255F-46A5-B6AA-352A0EE92E8B}"/>
</file>

<file path=customXml/itemProps4.xml><?xml version="1.0" encoding="utf-8"?>
<ds:datastoreItem xmlns:ds="http://schemas.openxmlformats.org/officeDocument/2006/customXml" ds:itemID="{C94F1951-2FC5-4E3C-9429-6EA89CE0850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2018-Fire-002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