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EB4916" w:rsidRPr="00EB4916" w:rsidP="00822DAC">
      <w:pPr>
        <w:pageBreakBefore/>
        <w:spacing w:after="180" w:line="380" w:lineRule="exact"/>
        <w:outlineLvl w:val="0"/>
        <w:rPr>
          <w:rFonts w:ascii="Tahoma" w:hAnsi="Tahoma" w:cs="Tahoma"/>
          <w:b/>
          <w:bCs/>
          <w:color w:val="2A2AA6"/>
          <w:sz w:val="28"/>
          <w:szCs w:val="28"/>
          <w:rtl/>
          <w:lang w:bidi="ar-SA"/>
        </w:rPr>
      </w:pPr>
      <w:bookmarkStart w:id="0" w:name="_Toc349122061"/>
      <w:bookmarkStart w:id="1" w:name="_Toc349136480"/>
      <w:bookmarkStart w:id="2" w:name="_Toc352831083"/>
      <w:bookmarkStart w:id="3" w:name="_Toc354324568"/>
      <w:bookmarkStart w:id="4" w:name="_Toc354661923"/>
      <w:r w:rsidRPr="00EB4916">
        <w:rPr>
          <w:rFonts w:ascii="Tahoma" w:hAnsi="Tahoma" w:cs="Tahoma" w:hint="cs"/>
          <w:b/>
          <w:bCs/>
          <w:color w:val="2A2AA6"/>
          <w:sz w:val="28"/>
          <w:szCs w:val="28"/>
          <w:rtl/>
          <w:lang w:bidi="ar-SA"/>
        </w:rPr>
        <w:t>مقدمة</w:t>
      </w:r>
    </w:p>
    <w:p w:rsidR="00822DAC" w:rsidRPr="00822DAC" w:rsidP="00822DAC">
      <w:pPr>
        <w:jc w:val="both"/>
        <w:rPr>
          <w:rFonts w:ascii="Tahoma" w:hAnsi="Tahoma" w:cs="Tahoma"/>
          <w:sz w:val="20"/>
          <w:szCs w:val="20"/>
          <w:rtl/>
        </w:rPr>
      </w:pPr>
      <w:r w:rsidRPr="00822DAC">
        <w:rPr>
          <w:rFonts w:ascii="Tahoma" w:hAnsi="Tahoma" w:cs="Tahoma"/>
          <w:b/>
          <w:bCs/>
          <w:sz w:val="20"/>
          <w:szCs w:val="20"/>
          <w:rtl/>
          <w:lang w:bidi="ar-SA"/>
        </w:rPr>
        <w:t xml:space="preserve">منذ عام </w:t>
      </w:r>
      <w:r w:rsidRPr="00822DAC">
        <w:rPr>
          <w:rFonts w:ascii="Tahoma" w:hAnsi="Tahoma" w:cs="Tahoma"/>
          <w:b/>
          <w:bCs/>
          <w:sz w:val="20"/>
          <w:szCs w:val="20"/>
          <w:rtl/>
        </w:rPr>
        <w:t>1933</w:t>
      </w:r>
      <w:r w:rsidRPr="00822DAC">
        <w:rPr>
          <w:rFonts w:ascii="Tahoma" w:hAnsi="Tahoma" w:cs="Tahoma"/>
          <w:b/>
          <w:bCs/>
          <w:sz w:val="20"/>
          <w:szCs w:val="20"/>
          <w:rtl/>
          <w:lang w:bidi="ar-SA"/>
        </w:rPr>
        <w:t xml:space="preserve">، أي منذ عهد "الدولة في الطريق"، كانت </w:t>
      </w:r>
      <w:r w:rsidRPr="00822DAC">
        <w:rPr>
          <w:rFonts w:ascii="Tahoma" w:eastAsia="Times New Roman" w:hAnsi="Tahoma" w:cs="Tahoma"/>
          <w:b/>
          <w:bCs/>
          <w:sz w:val="20"/>
          <w:szCs w:val="20"/>
          <w:rtl/>
          <w:lang w:eastAsia="he-IL" w:bidi="ar-SA"/>
        </w:rPr>
        <w:t>الصناعات العسكريّة الإسرائيليّة</w:t>
      </w:r>
      <w:r w:rsidRPr="00822DAC">
        <w:rPr>
          <w:rFonts w:ascii="Tahoma" w:eastAsia="Times New Roman" w:hAnsi="Tahoma" w:cs="Tahoma"/>
          <w:b/>
          <w:bCs/>
          <w:sz w:val="20"/>
          <w:szCs w:val="20"/>
          <w:lang w:eastAsia="he-IL" w:bidi="ar-SA"/>
        </w:rPr>
        <w:t xml:space="preserve"> </w:t>
      </w:r>
      <w:r w:rsidRPr="00822DAC">
        <w:rPr>
          <w:rFonts w:ascii="Tahoma" w:eastAsia="Times New Roman" w:hAnsi="Tahoma" w:cs="Tahoma"/>
          <w:b/>
          <w:bCs/>
          <w:sz w:val="20"/>
          <w:szCs w:val="20"/>
          <w:rtl/>
          <w:lang w:eastAsia="he-IL" w:bidi="ar-SA"/>
        </w:rPr>
        <w:t>(</w:t>
      </w:r>
      <w:r w:rsidRPr="00822DAC">
        <w:rPr>
          <w:rFonts w:ascii="Tahoma" w:hAnsi="Tahoma" w:cs="Tahoma"/>
          <w:b/>
          <w:bCs/>
          <w:sz w:val="20"/>
          <w:szCs w:val="20"/>
          <w:rtl/>
          <w:lang w:bidi="ar-SA"/>
        </w:rPr>
        <w:t>تاعسّ)</w:t>
      </w:r>
      <w:r w:rsidRPr="00822DAC">
        <w:rPr>
          <w:rFonts w:ascii="Tahoma" w:hAnsi="Tahoma" w:cs="Tahoma"/>
          <w:sz w:val="20"/>
          <w:szCs w:val="20"/>
          <w:rtl/>
          <w:lang w:bidi="ar-SA"/>
        </w:rPr>
        <w:t xml:space="preserve"> أحد حجارة الأساس في دولة إسرائيل وأدّت دورًا هامًّا في بناء الدولة، الحفاظ على أمنها وضمان التزويد الدائم للقوّات المحاربة بالسلاح. منذ قيام الدولة شكّلت تاعس منظّمة صناعيّة في المرافق الاقتصاديّة، في مكانة وحدة مُلحقة بوزارة الدفاع، وتناولت الأبحاث، التطوير وإنتاج السلاح، الذخيرة، المنظومات والمعدّات العسكريّة لجيش الدفاع الإسرائيليّ وللتصدير. </w:t>
      </w:r>
    </w:p>
    <w:p w:rsidR="00822DAC" w:rsidRPr="00822DAC" w:rsidP="00822DAC">
      <w:pPr>
        <w:jc w:val="both"/>
        <w:rPr>
          <w:rFonts w:ascii="Tahoma" w:hAnsi="Tahoma" w:cs="Tahoma"/>
          <w:sz w:val="20"/>
          <w:szCs w:val="20"/>
          <w:rtl/>
          <w:lang w:bidi="ar-SA"/>
        </w:rPr>
      </w:pPr>
      <w:r w:rsidRPr="00822DAC">
        <w:rPr>
          <w:rFonts w:ascii="Tahoma" w:hAnsi="Tahoma" w:cs="Tahoma"/>
          <w:sz w:val="20"/>
          <w:szCs w:val="20"/>
          <w:rtl/>
          <w:lang w:bidi="ar-SA"/>
        </w:rPr>
        <w:t>في تشرين الثاني</w:t>
      </w:r>
      <w:r w:rsidRPr="00822DAC">
        <w:rPr>
          <w:rFonts w:ascii="Tahoma" w:hAnsi="Tahoma" w:cs="Tahoma"/>
          <w:sz w:val="20"/>
          <w:szCs w:val="20"/>
          <w:rtl/>
        </w:rPr>
        <w:t xml:space="preserve"> 1990</w:t>
      </w:r>
      <w:r w:rsidRPr="00822DAC">
        <w:rPr>
          <w:rFonts w:ascii="Tahoma" w:hAnsi="Tahoma" w:cs="Tahoma"/>
          <w:sz w:val="20"/>
          <w:szCs w:val="20"/>
          <w:rtl/>
          <w:lang w:bidi="ar-SA"/>
        </w:rPr>
        <w:t xml:space="preserve"> تمّ إنشاء تاعس كشركة حكوميّة. خلال سنوات نشاطها كشركة، كانت تاعس تعاني من صعوبات اقتصاديّة جمّة، انعكست في الخسائر الكبيرة على مدار السنوات. في أعقاب هذه الصعوبات حاولت وزارتا الدفاع والماليّة على </w:t>
      </w:r>
      <w:r w:rsidRPr="00822DAC">
        <w:rPr>
          <w:rFonts w:ascii="Tahoma" w:hAnsi="Tahoma" w:cs="Tahoma"/>
          <w:sz w:val="20"/>
          <w:szCs w:val="20"/>
          <w:rtl/>
          <w:lang w:bidi="ar-SA"/>
        </w:rPr>
        <w:t>مدار</w:t>
      </w:r>
      <w:r w:rsidRPr="00822DAC">
        <w:rPr>
          <w:rFonts w:ascii="Tahoma" w:hAnsi="Tahoma" w:cs="Tahoma"/>
          <w:sz w:val="20"/>
          <w:szCs w:val="20"/>
          <w:rtl/>
          <w:lang w:bidi="ar-SA"/>
        </w:rPr>
        <w:t xml:space="preserve"> سنوات عديدة خصخصة الشركة أو دمجها مع شركة حكوميّة أخرى. </w:t>
      </w:r>
    </w:p>
    <w:p w:rsidR="00822DAC" w:rsidRPr="00822DAC" w:rsidP="00822DAC">
      <w:pPr>
        <w:jc w:val="both"/>
        <w:rPr>
          <w:rFonts w:ascii="Tahoma" w:hAnsi="Tahoma" w:cs="Tahoma"/>
          <w:sz w:val="20"/>
          <w:szCs w:val="20"/>
          <w:rtl/>
          <w:lang w:bidi="ar-SA"/>
        </w:rPr>
      </w:pPr>
      <w:r w:rsidRPr="00822DAC">
        <w:rPr>
          <w:rFonts w:ascii="Tahoma" w:hAnsi="Tahoma" w:cs="Tahoma"/>
          <w:sz w:val="20"/>
          <w:szCs w:val="20"/>
          <w:rtl/>
          <w:lang w:bidi="ar-SA"/>
        </w:rPr>
        <w:t xml:space="preserve">نصّ قرار اتّخذته اللجنة الوزاريّة لشؤون الخصخصة في كانون الأوّل </w:t>
      </w:r>
      <w:r w:rsidRPr="00822DAC">
        <w:rPr>
          <w:rFonts w:ascii="Tahoma" w:hAnsi="Tahoma" w:cs="Tahoma"/>
          <w:sz w:val="20"/>
          <w:szCs w:val="20"/>
          <w:rtl/>
        </w:rPr>
        <w:t>2013</w:t>
      </w:r>
      <w:r w:rsidRPr="00822DAC">
        <w:rPr>
          <w:rFonts w:ascii="Tahoma" w:hAnsi="Tahoma" w:cs="Tahoma"/>
          <w:sz w:val="20"/>
          <w:szCs w:val="20"/>
          <w:rtl/>
          <w:lang w:bidi="ar-SA"/>
        </w:rPr>
        <w:t xml:space="preserve"> وتمّ تعديله في أيّار</w:t>
      </w:r>
      <w:r w:rsidRPr="00822DAC">
        <w:rPr>
          <w:rFonts w:ascii="Tahoma" w:hAnsi="Tahoma" w:cs="Tahoma"/>
          <w:sz w:val="20"/>
          <w:szCs w:val="20"/>
          <w:rtl/>
        </w:rPr>
        <w:t>2014</w:t>
      </w:r>
      <w:r w:rsidRPr="00822DAC">
        <w:rPr>
          <w:rFonts w:ascii="Tahoma" w:hAnsi="Tahoma" w:cs="Tahoma"/>
          <w:sz w:val="20"/>
          <w:szCs w:val="20"/>
          <w:rtl/>
          <w:lang w:bidi="ar-SA"/>
        </w:rPr>
        <w:t xml:space="preserve">، على إنشاء شركة حكوميّة بملكيّة كاملة للدولة تُسمّى تاعس للمنظومات </w:t>
      </w:r>
      <w:r w:rsidRPr="00822DAC">
        <w:rPr>
          <w:rFonts w:ascii="Tahoma" w:hAnsi="Tahoma" w:cs="Tahoma"/>
          <w:sz w:val="20"/>
          <w:szCs w:val="20"/>
          <w:rtl/>
          <w:lang w:bidi="ar-SA"/>
        </w:rPr>
        <w:t>م.ض</w:t>
      </w:r>
      <w:r w:rsidRPr="00822DAC">
        <w:rPr>
          <w:rFonts w:ascii="Tahoma" w:hAnsi="Tahoma" w:cs="Tahoma"/>
          <w:sz w:val="20"/>
          <w:szCs w:val="20"/>
          <w:rtl/>
          <w:lang w:bidi="ar-SA"/>
        </w:rPr>
        <w:t xml:space="preserve">، نقل النشاط التجاريّ لتاعس إلى تاعس للمنظومات، وكلّ ملكيّة الدولة في تاعس للمنظومات تُباع ببيع خاصّ. كما نصّ هذا القرار على أنّ مصانع تاعس الواقعة في منطقة </w:t>
      </w:r>
      <w:r w:rsidRPr="00822DAC">
        <w:rPr>
          <w:rFonts w:ascii="Tahoma" w:hAnsi="Tahoma" w:cs="Tahoma"/>
          <w:sz w:val="20"/>
          <w:szCs w:val="20"/>
          <w:rtl/>
          <w:lang w:bidi="ar-SA"/>
        </w:rPr>
        <w:t>الشارون</w:t>
      </w:r>
      <w:r w:rsidRPr="00822DAC">
        <w:rPr>
          <w:rFonts w:ascii="Tahoma" w:hAnsi="Tahoma" w:cs="Tahoma"/>
          <w:sz w:val="20"/>
          <w:szCs w:val="20"/>
          <w:rtl/>
          <w:lang w:bidi="ar-SA"/>
        </w:rPr>
        <w:t xml:space="preserve"> تُنقل إلى موقع الشركة في </w:t>
      </w:r>
      <w:r w:rsidRPr="00822DAC">
        <w:rPr>
          <w:rFonts w:ascii="Tahoma" w:hAnsi="Tahoma" w:cs="Tahoma"/>
          <w:sz w:val="20"/>
          <w:szCs w:val="20"/>
          <w:rtl/>
          <w:lang w:bidi="ar-SA"/>
        </w:rPr>
        <w:t>رمات</w:t>
      </w:r>
      <w:r w:rsidRPr="00822DAC">
        <w:rPr>
          <w:rFonts w:ascii="Tahoma" w:hAnsi="Tahoma" w:cs="Tahoma"/>
          <w:sz w:val="20"/>
          <w:szCs w:val="20"/>
          <w:rtl/>
          <w:lang w:bidi="ar-SA"/>
        </w:rPr>
        <w:t xml:space="preserve"> </w:t>
      </w:r>
      <w:r w:rsidRPr="00822DAC">
        <w:rPr>
          <w:rFonts w:ascii="Tahoma" w:hAnsi="Tahoma" w:cs="Tahoma"/>
          <w:sz w:val="20"/>
          <w:szCs w:val="20"/>
          <w:rtl/>
          <w:lang w:bidi="ar-SA"/>
        </w:rPr>
        <w:t>بيكع</w:t>
      </w:r>
      <w:r w:rsidRPr="00822DAC">
        <w:rPr>
          <w:rFonts w:ascii="Tahoma" w:hAnsi="Tahoma" w:cs="Tahoma"/>
          <w:sz w:val="20"/>
          <w:szCs w:val="20"/>
          <w:rtl/>
          <w:lang w:bidi="ar-SA"/>
        </w:rPr>
        <w:t xml:space="preserve"> في النقب. </w:t>
      </w:r>
    </w:p>
    <w:p w:rsidR="00822DAC" w:rsidRPr="00822DAC" w:rsidP="00822DAC">
      <w:pPr>
        <w:jc w:val="both"/>
        <w:rPr>
          <w:rFonts w:ascii="Tahoma" w:hAnsi="Tahoma" w:cs="Tahoma"/>
          <w:sz w:val="20"/>
          <w:szCs w:val="20"/>
          <w:rtl/>
        </w:rPr>
      </w:pPr>
      <w:r w:rsidRPr="00822DAC">
        <w:rPr>
          <w:rFonts w:ascii="Tahoma" w:hAnsi="Tahoma" w:cs="Tahoma"/>
          <w:sz w:val="20"/>
          <w:szCs w:val="20"/>
          <w:rtl/>
          <w:lang w:bidi="ar-SA"/>
        </w:rPr>
        <w:t xml:space="preserve">في آذار </w:t>
      </w:r>
      <w:r w:rsidRPr="00822DAC">
        <w:rPr>
          <w:rFonts w:ascii="Tahoma" w:hAnsi="Tahoma" w:cs="Tahoma"/>
          <w:sz w:val="20"/>
          <w:szCs w:val="20"/>
          <w:rtl/>
        </w:rPr>
        <w:t>2015</w:t>
      </w:r>
      <w:r w:rsidRPr="00822DAC">
        <w:rPr>
          <w:rFonts w:ascii="Tahoma" w:hAnsi="Tahoma" w:cs="Tahoma"/>
          <w:sz w:val="20"/>
          <w:szCs w:val="20"/>
          <w:rtl/>
          <w:lang w:bidi="ar-SA"/>
        </w:rPr>
        <w:t xml:space="preserve"> بدأت إجراءات بيع تاعس للمنظومات، ومن بين الأطراف المعنيّة بالمشاركة في هذا الإجراء، اختارت سلطة الشركات الحكوميّة، بموافقة وزارة الدفاع، المشاركين فيه. في مطلع كانون الثاني </w:t>
      </w:r>
      <w:r w:rsidRPr="00822DAC">
        <w:rPr>
          <w:rFonts w:ascii="Tahoma" w:hAnsi="Tahoma" w:cs="Tahoma"/>
          <w:sz w:val="20"/>
          <w:szCs w:val="20"/>
          <w:rtl/>
        </w:rPr>
        <w:t>2016</w:t>
      </w:r>
      <w:r w:rsidRPr="00822DAC">
        <w:rPr>
          <w:rFonts w:ascii="Tahoma" w:hAnsi="Tahoma" w:cs="Tahoma"/>
          <w:sz w:val="20"/>
          <w:szCs w:val="20"/>
          <w:rtl/>
          <w:lang w:bidi="ar-SA"/>
        </w:rPr>
        <w:t xml:space="preserve"> بقيت في هذا الإجراء شركة </w:t>
      </w:r>
      <w:r w:rsidRPr="00822DAC">
        <w:rPr>
          <w:rFonts w:ascii="Tahoma" w:hAnsi="Tahoma" w:cs="Tahoma"/>
          <w:sz w:val="20"/>
          <w:szCs w:val="20"/>
          <w:rtl/>
          <w:lang w:bidi="ar-SA"/>
        </w:rPr>
        <w:t>إلبيت</w:t>
      </w:r>
      <w:r w:rsidRPr="00822DAC">
        <w:rPr>
          <w:rFonts w:ascii="Tahoma" w:hAnsi="Tahoma" w:cs="Tahoma"/>
          <w:sz w:val="20"/>
          <w:szCs w:val="20"/>
          <w:rtl/>
          <w:lang w:bidi="ar-SA"/>
        </w:rPr>
        <w:t xml:space="preserve"> للمنظومات </w:t>
      </w:r>
      <w:r w:rsidRPr="00822DAC">
        <w:rPr>
          <w:rFonts w:ascii="Tahoma" w:hAnsi="Tahoma" w:cs="Tahoma"/>
          <w:sz w:val="20"/>
          <w:szCs w:val="20"/>
          <w:rtl/>
          <w:lang w:bidi="ar-SA"/>
        </w:rPr>
        <w:t>م.ض</w:t>
      </w:r>
      <w:r w:rsidRPr="00822DAC">
        <w:rPr>
          <w:rFonts w:ascii="Tahoma" w:hAnsi="Tahoma" w:cs="Tahoma"/>
          <w:sz w:val="20"/>
          <w:szCs w:val="20"/>
          <w:rtl/>
          <w:lang w:bidi="ar-SA"/>
        </w:rPr>
        <w:t xml:space="preserve"> فقط. </w:t>
      </w:r>
    </w:p>
    <w:p w:rsidR="00822DAC" w:rsidRPr="00822DAC" w:rsidP="00822DAC">
      <w:pPr>
        <w:jc w:val="both"/>
        <w:rPr>
          <w:rFonts w:ascii="Tahoma" w:hAnsi="Tahoma" w:cs="Tahoma"/>
          <w:b/>
          <w:bCs/>
          <w:sz w:val="20"/>
          <w:szCs w:val="20"/>
          <w:rtl/>
          <w:lang w:bidi="ar-SA"/>
        </w:rPr>
      </w:pPr>
      <w:r w:rsidRPr="00822DAC">
        <w:rPr>
          <w:rFonts w:ascii="Tahoma" w:hAnsi="Tahoma" w:cs="Tahoma"/>
          <w:sz w:val="20"/>
          <w:szCs w:val="20"/>
          <w:rtl/>
          <w:lang w:bidi="ar-SA"/>
        </w:rPr>
        <w:t xml:space="preserve">إنّ في خصخصة تاعس فوائد جمّة من بينها إخلاء أراضٍ ذات قيمة ماليّة كبيرة في منطقة </w:t>
      </w:r>
      <w:r w:rsidRPr="00822DAC">
        <w:rPr>
          <w:rFonts w:ascii="Tahoma" w:hAnsi="Tahoma" w:cs="Tahoma"/>
          <w:sz w:val="20"/>
          <w:szCs w:val="20"/>
          <w:rtl/>
          <w:lang w:bidi="ar-SA"/>
        </w:rPr>
        <w:t>الشارون</w:t>
      </w:r>
      <w:r w:rsidRPr="00822DAC">
        <w:rPr>
          <w:rFonts w:ascii="Tahoma" w:hAnsi="Tahoma" w:cs="Tahoma"/>
          <w:sz w:val="20"/>
          <w:szCs w:val="20"/>
          <w:rtl/>
          <w:lang w:bidi="ar-SA"/>
        </w:rPr>
        <w:t xml:space="preserve">، انتقال مصانع الشركة إلى النقب وتعزيزه، معالجة تلوّث التربة والمياه الكبيرين في منطقة </w:t>
      </w:r>
      <w:r w:rsidRPr="00822DAC">
        <w:rPr>
          <w:rFonts w:ascii="Tahoma" w:hAnsi="Tahoma" w:cs="Tahoma"/>
          <w:sz w:val="20"/>
          <w:szCs w:val="20"/>
          <w:rtl/>
          <w:lang w:bidi="ar-SA"/>
        </w:rPr>
        <w:t>الشارون</w:t>
      </w:r>
      <w:r w:rsidRPr="00822DAC">
        <w:rPr>
          <w:rFonts w:ascii="Tahoma" w:hAnsi="Tahoma" w:cs="Tahoma"/>
          <w:sz w:val="20"/>
          <w:szCs w:val="20"/>
          <w:rtl/>
          <w:lang w:bidi="ar-SA"/>
        </w:rPr>
        <w:t xml:space="preserve">، النهوض ببناء عشرات آلاف الوحدات السكنيّة في مناطق عليها طلب في مركز البلاد، للتخفيف من ضائقة السكن وغلاء المعيشة، ترشيد الشركة وتحسين أدائها ووقف تعلّقها الماليّ بالدولة، هذا التعلّق الذي كلّف مواطني الدولة حتّى الآن أكثر من </w:t>
      </w:r>
      <w:r w:rsidRPr="00822DAC">
        <w:rPr>
          <w:rFonts w:ascii="Tahoma" w:hAnsi="Tahoma" w:cs="Tahoma"/>
          <w:sz w:val="20"/>
          <w:szCs w:val="20"/>
          <w:rtl/>
        </w:rPr>
        <w:t>-5</w:t>
      </w:r>
      <w:r w:rsidRPr="00822DAC">
        <w:rPr>
          <w:rFonts w:ascii="Tahoma" w:hAnsi="Tahoma" w:cs="Tahoma"/>
          <w:sz w:val="20"/>
          <w:szCs w:val="20"/>
          <w:rtl/>
          <w:lang w:bidi="ar-SA"/>
        </w:rPr>
        <w:t xml:space="preserve"> مليارات شيكل جديد. </w:t>
      </w:r>
      <w:r w:rsidRPr="00822DAC">
        <w:rPr>
          <w:rFonts w:ascii="Tahoma" w:hAnsi="Tahoma" w:cs="Tahoma"/>
          <w:b/>
          <w:bCs/>
          <w:sz w:val="20"/>
          <w:szCs w:val="20"/>
          <w:rtl/>
          <w:lang w:bidi="ar-SA"/>
        </w:rPr>
        <w:t xml:space="preserve">لكن، قبل بيع ممتلكات </w:t>
      </w:r>
      <w:r w:rsidRPr="00822DAC">
        <w:rPr>
          <w:rFonts w:ascii="Tahoma" w:hAnsi="Tahoma" w:cs="Tahoma"/>
          <w:b/>
          <w:bCs/>
          <w:sz w:val="20"/>
          <w:szCs w:val="20"/>
          <w:rtl/>
          <w:lang w:bidi="ar-SA"/>
        </w:rPr>
        <w:t>الدولة كان من المفروض أن يُجرى بالتعاون بين الوزارات المعنيّة بحث أساسيّ وشامل، يستند إلى معطيات كاملة ومفصّلة- بشأن تأثير الخصخصة على مجالات معيّنة في المرافق الاقتصاديّة، الاقتصاد والأمن</w:t>
      </w:r>
      <w:r w:rsidRPr="00822DAC">
        <w:rPr>
          <w:rFonts w:ascii="Tahoma" w:eastAsia="Times New Roman" w:hAnsi="Tahoma" w:cs="Tahoma"/>
          <w:b/>
          <w:bCs/>
          <w:sz w:val="20"/>
          <w:szCs w:val="20"/>
          <w:rtl/>
          <w:lang w:eastAsia="he-IL" w:bidi="ar-SA"/>
        </w:rPr>
        <w:t xml:space="preserve">. </w:t>
      </w:r>
    </w:p>
    <w:p w:rsidR="00822DAC" w:rsidRPr="00822DAC" w:rsidP="00822DAC">
      <w:pPr>
        <w:jc w:val="both"/>
        <w:rPr>
          <w:rFonts w:ascii="Tahoma" w:hAnsi="Tahoma" w:cs="Tahoma"/>
          <w:b/>
          <w:bCs/>
          <w:sz w:val="20"/>
          <w:szCs w:val="20"/>
          <w:rtl/>
          <w:lang w:bidi="ar-SA"/>
        </w:rPr>
      </w:pPr>
      <w:r w:rsidRPr="00822DAC">
        <w:rPr>
          <w:rFonts w:ascii="Tahoma" w:hAnsi="Tahoma" w:cs="Tahoma"/>
          <w:b/>
          <w:bCs/>
          <w:sz w:val="20"/>
          <w:szCs w:val="20"/>
          <w:rtl/>
          <w:lang w:bidi="ar-SA"/>
        </w:rPr>
        <w:t xml:space="preserve">بناءً على السياسة التي حدّدتها، للتنبيه مسبّقًا إلى وجود نواقص تبدو في نشاط الهيئات الخاضعة للرقابة والدفع إلى إصلاحها، أصدرت أوامري بالنسبة إلى سلامة إجراء خصخصة شركة تاعس، على ضوء ادّعاءات تتعلّق بهذا الأمر وصلت إلى ديوان مراقب الدولة. لقد نُفّذت الرقابة في وقت حقيقيّ، خلال عمليّة الخصخصة، علمًا بأنّ الإجراء لم ينتهِ بعدُ وقد تطرأ عليه تغيّرات، بما في ذلك اتّخاذ قرارات أخرى- الأمر الذي حدث. </w:t>
      </w:r>
    </w:p>
    <w:p w:rsidR="00822DAC" w:rsidRPr="00822DAC" w:rsidP="00353A3A">
      <w:pPr>
        <w:jc w:val="both"/>
        <w:rPr>
          <w:rFonts w:ascii="Tahoma" w:hAnsi="Tahoma" w:cs="Tahoma"/>
          <w:sz w:val="20"/>
          <w:szCs w:val="20"/>
          <w:rtl/>
        </w:rPr>
      </w:pPr>
      <w:r w:rsidRPr="00822DAC">
        <w:rPr>
          <w:rFonts w:ascii="Tahoma" w:hAnsi="Tahoma" w:cs="Tahoma"/>
          <w:sz w:val="20"/>
          <w:szCs w:val="20"/>
          <w:rtl/>
          <w:lang w:bidi="ar-SA"/>
        </w:rPr>
        <w:t>تناولت الرقابة من بين ما تناولته جوانب ذات صلة بالمواضيع التالية: نشاط لجنة المناقصات لبيع أسهم الدولة التي تعمل من خلال سلطة الشركات الحكوميّة؛ التأثير الممكن لبيع تاعس للمنظومات في السوق الأمنيّ في إسرائيل، بما في ذلك الشركات الأمنيّة الحكوميّة – الصناعات الجوّيّة لإسرائيل م. ض ورفائيل- المنظومات القتاليّة المتقدّمة م.</w:t>
      </w:r>
      <w:r w:rsidRPr="00822DAC">
        <w:rPr>
          <w:rFonts w:ascii="Tahoma" w:hAnsi="Tahoma" w:cs="Tahoma"/>
          <w:sz w:val="20"/>
          <w:szCs w:val="20"/>
          <w:rtl/>
        </w:rPr>
        <w:t xml:space="preserve"> </w:t>
      </w:r>
      <w:r w:rsidRPr="00822DAC">
        <w:rPr>
          <w:rFonts w:ascii="Tahoma" w:hAnsi="Tahoma" w:cs="Tahoma"/>
          <w:sz w:val="20"/>
          <w:szCs w:val="20"/>
          <w:rtl/>
          <w:lang w:bidi="ar-SA"/>
        </w:rPr>
        <w:t>ض</w:t>
      </w:r>
      <w:r w:rsidRPr="00822DAC">
        <w:rPr>
          <w:rFonts w:ascii="Tahoma" w:hAnsi="Tahoma" w:cs="Tahoma"/>
          <w:sz w:val="20"/>
          <w:szCs w:val="20"/>
          <w:rtl/>
        </w:rPr>
        <w:t xml:space="preserve"> (</w:t>
      </w:r>
      <w:r w:rsidRPr="00822DAC">
        <w:rPr>
          <w:rFonts w:ascii="Tahoma" w:hAnsi="Tahoma" w:cs="Tahoma"/>
          <w:sz w:val="20"/>
          <w:szCs w:val="20"/>
          <w:rtl/>
          <w:lang w:bidi="ar-SA"/>
        </w:rPr>
        <w:t>رفائيل)؛ تقديرات قيمة تاعس للمنظومات بما في ذلك الأخذ بعين الاعتبار قيمة التآزر</w:t>
      </w:r>
      <w:r>
        <w:rPr>
          <w:rFonts w:ascii="Tahoma" w:hAnsi="Tahoma" w:cs="Tahoma"/>
          <w:sz w:val="20"/>
          <w:szCs w:val="20"/>
          <w:vertAlign w:val="superscript"/>
          <w:rtl/>
        </w:rPr>
        <w:footnoteReference w:id="2"/>
      </w:r>
      <w:r w:rsidRPr="00822DAC">
        <w:rPr>
          <w:rFonts w:ascii="Tahoma" w:hAnsi="Tahoma" w:cs="Tahoma"/>
          <w:sz w:val="20"/>
          <w:szCs w:val="20"/>
          <w:rtl/>
          <w:lang w:bidi="ar-SA"/>
        </w:rPr>
        <w:t xml:space="preserve"> المتوقّع للشركة بالنسبة إلى المشتري؛ إلزام المشتري بدفع حوالي </w:t>
      </w:r>
      <w:r w:rsidRPr="00822DAC">
        <w:rPr>
          <w:rFonts w:ascii="Tahoma" w:hAnsi="Tahoma" w:cs="Tahoma"/>
          <w:sz w:val="20"/>
          <w:szCs w:val="20"/>
          <w:rtl/>
        </w:rPr>
        <w:t xml:space="preserve">-1.1 </w:t>
      </w:r>
      <w:r w:rsidRPr="00822DAC">
        <w:rPr>
          <w:rFonts w:ascii="Tahoma" w:hAnsi="Tahoma" w:cs="Tahoma"/>
          <w:sz w:val="20"/>
          <w:szCs w:val="20"/>
          <w:rtl/>
          <w:lang w:bidi="ar-SA"/>
        </w:rPr>
        <w:t xml:space="preserve">مليار شيكل إضافة إلى المبلغ المدفوع بناءً على عرض التكلفة الذي سيقدّمه؛ نقل نشاط الشركة إلى </w:t>
      </w:r>
      <w:r w:rsidRPr="00822DAC">
        <w:rPr>
          <w:rFonts w:ascii="Tahoma" w:hAnsi="Tahoma" w:cs="Tahoma"/>
          <w:sz w:val="20"/>
          <w:szCs w:val="20"/>
          <w:rtl/>
          <w:lang w:bidi="ar-SA"/>
        </w:rPr>
        <w:t>رمات</w:t>
      </w:r>
      <w:r w:rsidRPr="00822DAC">
        <w:rPr>
          <w:rFonts w:ascii="Tahoma" w:hAnsi="Tahoma" w:cs="Tahoma"/>
          <w:sz w:val="20"/>
          <w:szCs w:val="20"/>
          <w:rtl/>
          <w:lang w:bidi="ar-SA"/>
        </w:rPr>
        <w:t xml:space="preserve"> </w:t>
      </w:r>
      <w:r w:rsidRPr="00822DAC">
        <w:rPr>
          <w:rFonts w:ascii="Tahoma" w:hAnsi="Tahoma" w:cs="Tahoma"/>
          <w:sz w:val="20"/>
          <w:szCs w:val="20"/>
          <w:rtl/>
          <w:lang w:bidi="ar-SA"/>
        </w:rPr>
        <w:t>بيكع</w:t>
      </w:r>
      <w:r w:rsidRPr="00822DAC">
        <w:rPr>
          <w:rFonts w:ascii="Tahoma" w:hAnsi="Tahoma" w:cs="Tahoma"/>
          <w:sz w:val="20"/>
          <w:szCs w:val="20"/>
          <w:rtl/>
          <w:lang w:bidi="ar-SA"/>
        </w:rPr>
        <w:t xml:space="preserve"> في النقب؛ وتصريح من جانب مدير سلطة الشركات سابقًا أمام مجلس إدارة شركة تاعس الذي تناول سلامة إجراء الخصخصة. </w:t>
      </w:r>
    </w:p>
    <w:p w:rsidR="00822DAC" w:rsidRPr="00822DAC" w:rsidP="00822DAC">
      <w:pPr>
        <w:jc w:val="both"/>
        <w:rPr>
          <w:rFonts w:ascii="Tahoma" w:hAnsi="Tahoma" w:cs="Tahoma"/>
          <w:sz w:val="20"/>
          <w:szCs w:val="20"/>
          <w:rtl/>
          <w:lang w:bidi="ar-SA"/>
        </w:rPr>
      </w:pPr>
      <w:r w:rsidRPr="00822DAC">
        <w:rPr>
          <w:rFonts w:ascii="Tahoma" w:hAnsi="Tahoma" w:cs="Tahoma"/>
          <w:sz w:val="20"/>
          <w:szCs w:val="20"/>
          <w:rtl/>
          <w:lang w:bidi="ar-SA"/>
        </w:rPr>
        <w:t xml:space="preserve">خلال الرقابة، توجّهت بشكل استثنائيّ خلال عمليّة الخصخصة إلى الوزراء المسؤولين عن شؤون تاعس للمنظومات، ليعملوا على إصلاح النواقص من أجل النهوض بالخصخصة وفق قواعد الإدارة السليمة التي ستحقّق أفضل النتائج لصالح الدولة. وبالفعل عمل الوزراء في هذا السياق. </w:t>
      </w:r>
    </w:p>
    <w:p w:rsidR="00822DAC" w:rsidRPr="00822DAC" w:rsidP="00822DAC">
      <w:pPr>
        <w:jc w:val="both"/>
        <w:rPr>
          <w:rFonts w:ascii="Tahoma" w:hAnsi="Tahoma" w:cs="Tahoma"/>
          <w:sz w:val="20"/>
          <w:szCs w:val="20"/>
          <w:rtl/>
          <w:lang w:bidi="ar-SA"/>
        </w:rPr>
      </w:pPr>
      <w:r w:rsidRPr="00822DAC">
        <w:rPr>
          <w:rFonts w:ascii="Tahoma" w:hAnsi="Tahoma" w:cs="Tahoma"/>
          <w:sz w:val="20"/>
          <w:szCs w:val="20"/>
          <w:rtl/>
          <w:lang w:bidi="ar-SA"/>
        </w:rPr>
        <w:t xml:space="preserve">بالإضافة إلى ذلك، أجرت هيئات خاضعة للرقابة تغييرات في بعض المواضيع التي تطرّقت إليها نتائج الرقابة، ومن بينها فحص التأثير الممكن لبيع تاعس للمنظومات </w:t>
      </w:r>
      <w:r w:rsidRPr="00822DAC">
        <w:rPr>
          <w:rFonts w:ascii="Tahoma" w:hAnsi="Tahoma" w:cs="Tahoma"/>
          <w:sz w:val="20"/>
          <w:szCs w:val="20"/>
          <w:rtl/>
          <w:lang w:bidi="ar-SA"/>
        </w:rPr>
        <w:t>لإلبيت</w:t>
      </w:r>
      <w:r w:rsidRPr="00822DAC">
        <w:rPr>
          <w:rFonts w:ascii="Tahoma" w:hAnsi="Tahoma" w:cs="Tahoma"/>
          <w:sz w:val="20"/>
          <w:szCs w:val="20"/>
          <w:rtl/>
          <w:lang w:bidi="ar-SA"/>
        </w:rPr>
        <w:t xml:space="preserve"> في السوق الأمنيّ في إسرائيل، بما في ذلك في الشركات الأمنيّة </w:t>
      </w:r>
      <w:r w:rsidRPr="00822DAC">
        <w:rPr>
          <w:rFonts w:ascii="Tahoma" w:hAnsi="Tahoma" w:cs="Tahoma"/>
          <w:sz w:val="20"/>
          <w:szCs w:val="20"/>
          <w:rtl/>
          <w:lang w:bidi="ar-SA"/>
        </w:rPr>
        <w:t xml:space="preserve">الحكوميّة، وإجراء تقديرات القيمة الأخرى على ضوء الخشية من تضارب المصالح من جانب مقدّر القيمة. </w:t>
      </w:r>
      <w:r w:rsidRPr="00822DAC">
        <w:rPr>
          <w:rFonts w:ascii="Tahoma" w:hAnsi="Tahoma" w:cs="Tahoma"/>
          <w:sz w:val="20"/>
          <w:szCs w:val="20"/>
          <w:rtl/>
          <w:lang w:bidi="ar-SA"/>
        </w:rPr>
        <w:t>بالإضافة</w:t>
      </w:r>
      <w:r w:rsidRPr="00822DAC">
        <w:rPr>
          <w:rFonts w:ascii="Tahoma" w:hAnsi="Tahoma" w:cs="Tahoma"/>
          <w:sz w:val="20"/>
          <w:szCs w:val="20"/>
          <w:rtl/>
          <w:lang w:bidi="ar-SA"/>
        </w:rPr>
        <w:t xml:space="preserve"> إلى ذلك، في نهاية عام </w:t>
      </w:r>
      <w:r w:rsidRPr="00822DAC">
        <w:rPr>
          <w:rFonts w:ascii="Tahoma" w:hAnsi="Tahoma" w:cs="Tahoma"/>
          <w:sz w:val="20"/>
          <w:szCs w:val="20"/>
          <w:rtl/>
        </w:rPr>
        <w:t xml:space="preserve">2015 </w:t>
      </w:r>
      <w:r w:rsidRPr="00822DAC">
        <w:rPr>
          <w:rFonts w:ascii="Tahoma" w:hAnsi="Tahoma" w:cs="Tahoma"/>
          <w:sz w:val="20"/>
          <w:szCs w:val="20"/>
          <w:rtl/>
          <w:lang w:bidi="ar-SA"/>
        </w:rPr>
        <w:t xml:space="preserve">حدّدت وزارة الماليّة سعرًا أدنى بلغ </w:t>
      </w:r>
      <w:r w:rsidRPr="00822DAC">
        <w:rPr>
          <w:rFonts w:ascii="Tahoma" w:hAnsi="Tahoma" w:cs="Tahoma"/>
          <w:sz w:val="20"/>
          <w:szCs w:val="20"/>
          <w:rtl/>
        </w:rPr>
        <w:t xml:space="preserve">1.1 </w:t>
      </w:r>
      <w:r w:rsidRPr="00822DAC">
        <w:rPr>
          <w:rFonts w:ascii="Tahoma" w:hAnsi="Tahoma" w:cs="Tahoma"/>
          <w:sz w:val="20"/>
          <w:szCs w:val="20"/>
          <w:rtl/>
          <w:lang w:bidi="ar-SA"/>
        </w:rPr>
        <w:t>مليار شيكل جديد لشراء تاعس للمنظومات؛ وفي آذار</w:t>
      </w:r>
      <w:r w:rsidRPr="00822DAC">
        <w:rPr>
          <w:rFonts w:ascii="Tahoma" w:hAnsi="Tahoma" w:cs="Tahoma"/>
          <w:sz w:val="20"/>
          <w:szCs w:val="20"/>
          <w:rtl/>
        </w:rPr>
        <w:t xml:space="preserve"> 2018</w:t>
      </w:r>
      <w:r w:rsidRPr="00822DAC">
        <w:rPr>
          <w:rFonts w:ascii="Tahoma" w:hAnsi="Tahoma" w:cs="Tahoma"/>
          <w:sz w:val="20"/>
          <w:szCs w:val="20"/>
          <w:rtl/>
          <w:lang w:bidi="ar-SA"/>
        </w:rPr>
        <w:t xml:space="preserve"> خلال الرقابة قرّرت لجنة المناقصات لبيع أسهم الدولة أن تبيع أسهم الدولة في تاعس للمنظومات </w:t>
      </w:r>
      <w:r w:rsidRPr="00822DAC">
        <w:rPr>
          <w:rFonts w:ascii="Tahoma" w:hAnsi="Tahoma" w:cs="Tahoma"/>
          <w:sz w:val="20"/>
          <w:szCs w:val="20"/>
          <w:rtl/>
          <w:lang w:bidi="ar-SA"/>
        </w:rPr>
        <w:t>لإلبيت</w:t>
      </w:r>
      <w:r w:rsidRPr="00822DAC">
        <w:rPr>
          <w:rFonts w:ascii="Tahoma" w:hAnsi="Tahoma" w:cs="Tahoma"/>
          <w:sz w:val="20"/>
          <w:szCs w:val="20"/>
          <w:rtl/>
          <w:lang w:bidi="ar-SA"/>
        </w:rPr>
        <w:t xml:space="preserve"> بقيمة </w:t>
      </w:r>
      <w:r w:rsidRPr="00822DAC">
        <w:rPr>
          <w:rFonts w:ascii="Tahoma" w:hAnsi="Tahoma" w:cs="Tahoma"/>
          <w:sz w:val="20"/>
          <w:szCs w:val="20"/>
          <w:rtl/>
        </w:rPr>
        <w:t>1.8</w:t>
      </w:r>
      <w:r w:rsidRPr="00822DAC">
        <w:rPr>
          <w:rFonts w:ascii="Tahoma" w:hAnsi="Tahoma" w:cs="Tahoma"/>
          <w:sz w:val="20"/>
          <w:szCs w:val="20"/>
          <w:rtl/>
          <w:lang w:bidi="ar-SA"/>
        </w:rPr>
        <w:t xml:space="preserve"> مليار شيكل جديد ومبلغ إضافي بلغ </w:t>
      </w:r>
      <w:r w:rsidRPr="00822DAC">
        <w:rPr>
          <w:rFonts w:ascii="Tahoma" w:hAnsi="Tahoma" w:cs="Tahoma"/>
          <w:sz w:val="20"/>
          <w:szCs w:val="20"/>
          <w:rtl/>
        </w:rPr>
        <w:t xml:space="preserve">100 </w:t>
      </w:r>
      <w:r w:rsidRPr="00822DAC">
        <w:rPr>
          <w:rFonts w:ascii="Tahoma" w:hAnsi="Tahoma" w:cs="Tahoma"/>
          <w:sz w:val="20"/>
          <w:szCs w:val="20"/>
          <w:rtl/>
          <w:lang w:bidi="ar-SA"/>
        </w:rPr>
        <w:t xml:space="preserve">مليون شيكل جديد وهو مبلغ "منوط بالنتائج" الاقتصاديّة لتاعس للمنظومات. على أساس الرقابة التي نُفّذت ونتائجها ضُمّن هذا التقرير توصيات تتعلّق </w:t>
      </w:r>
      <w:r w:rsidRPr="00822DAC">
        <w:rPr>
          <w:rFonts w:ascii="Tahoma" w:hAnsi="Tahoma" w:cs="Tahoma"/>
          <w:sz w:val="20"/>
          <w:szCs w:val="20"/>
          <w:rtl/>
          <w:lang w:bidi="ar-SA"/>
        </w:rPr>
        <w:t>بسيرورات</w:t>
      </w:r>
      <w:r w:rsidRPr="00822DAC">
        <w:rPr>
          <w:rFonts w:ascii="Tahoma" w:hAnsi="Tahoma" w:cs="Tahoma"/>
          <w:sz w:val="20"/>
          <w:szCs w:val="20"/>
          <w:rtl/>
          <w:lang w:bidi="ar-SA"/>
        </w:rPr>
        <w:t xml:space="preserve"> الخصخصة التي ستجري في المستقبل، إذ أنّ الهدف من الرقابة هو استخلاص العبر. </w:t>
      </w:r>
    </w:p>
    <w:p w:rsidR="00822DAC" w:rsidRPr="00822DAC" w:rsidP="00822DAC">
      <w:pPr>
        <w:jc w:val="both"/>
        <w:rPr>
          <w:rFonts w:ascii="Tahoma" w:hAnsi="Tahoma" w:cs="Tahoma"/>
          <w:b/>
          <w:bCs/>
          <w:sz w:val="20"/>
          <w:szCs w:val="20"/>
          <w:rtl/>
        </w:rPr>
      </w:pPr>
      <w:r w:rsidRPr="00822DAC">
        <w:rPr>
          <w:rFonts w:ascii="Tahoma" w:hAnsi="Tahoma" w:cs="Tahoma"/>
          <w:b/>
          <w:bCs/>
          <w:sz w:val="20"/>
          <w:szCs w:val="20"/>
          <w:rtl/>
          <w:lang w:bidi="ar-SA"/>
        </w:rPr>
        <w:t xml:space="preserve">تعمل وزارتا الدفاع والماليّة على تطبيق قرار الحكومة بخصخصة تاعس كما عملا في القضايا التي كشفت عنها الرقابة. إلى جانب ذلك، كما يتبيّن من تقرير الرقابة الحاليّ، هناك نواقص أخرى، كما أنّ هناك مجال للتحسين خاصّة في كلّ ما يتعلّق بعمليّات الخصخصة المستقبليّة وفحص التأثيرات الممكنة لبيع تاعس للمنظومات </w:t>
      </w:r>
      <w:r w:rsidRPr="00822DAC">
        <w:rPr>
          <w:rFonts w:ascii="Tahoma" w:hAnsi="Tahoma" w:cs="Tahoma"/>
          <w:b/>
          <w:bCs/>
          <w:sz w:val="20"/>
          <w:szCs w:val="20"/>
          <w:rtl/>
          <w:lang w:bidi="ar-SA"/>
        </w:rPr>
        <w:t>لإلبيت</w:t>
      </w:r>
      <w:r w:rsidRPr="00822DAC">
        <w:rPr>
          <w:rFonts w:ascii="Tahoma" w:hAnsi="Tahoma" w:cs="Tahoma"/>
          <w:b/>
          <w:bCs/>
          <w:sz w:val="20"/>
          <w:szCs w:val="20"/>
          <w:rtl/>
          <w:lang w:bidi="ar-SA"/>
        </w:rPr>
        <w:t xml:space="preserve"> في السوق الأمنيّ، بما في ذلك تأثيره في نفقات الشراء في وزارة الدفاع والمسّ الممكن بالشركات الأمنيّة الحكوميّة- الصناعات الجوّيّة ورفائيل، وذلك لأنّهما تتنافسان معها في تشكيلة من مجالات النشاط في السوق الأمنيّة المحلّيّة وسوق التصدير أيضًا. </w:t>
      </w:r>
      <w:r w:rsidRPr="00822DAC">
        <w:rPr>
          <w:rFonts w:ascii="Tahoma" w:hAnsi="Tahoma" w:cs="Tahoma"/>
          <w:b/>
          <w:bCs/>
          <w:sz w:val="20"/>
          <w:szCs w:val="20"/>
          <w:rtl/>
          <w:lang w:bidi="ar-SA"/>
        </w:rPr>
        <w:t>كلّ</w:t>
      </w:r>
      <w:r w:rsidRPr="00822DAC">
        <w:rPr>
          <w:rFonts w:ascii="Tahoma" w:hAnsi="Tahoma" w:cs="Tahoma"/>
          <w:b/>
          <w:bCs/>
          <w:sz w:val="20"/>
          <w:szCs w:val="20"/>
          <w:rtl/>
          <w:lang w:bidi="ar-SA"/>
        </w:rPr>
        <w:t xml:space="preserve"> هذا أيضًا لئلّا يتضرّر تزويد جيش الدفاع الإسرائيليّ بالوسائل القتاليّة. أنا واثق من أن تنفيذ التوصيات سيساعد دولة إسرائيل في تحقيق نتائج اقتصاديّة مُثلى في عمليّات الخصخصة القادمة. </w:t>
      </w:r>
    </w:p>
    <w:p w:rsidR="00822DAC" w:rsidP="00BE4965">
      <w:pPr>
        <w:jc w:val="both"/>
        <w:rPr>
          <w:rFonts w:ascii="Tahoma" w:eastAsia="Calibri" w:hAnsi="Tahoma" w:cs="Tahoma"/>
          <w:sz w:val="20"/>
          <w:szCs w:val="20"/>
          <w:rtl/>
        </w:rPr>
      </w:pPr>
    </w:p>
    <w:p w:rsidR="00C126AB" w:rsidRPr="00170230" w:rsidP="00A82BA4">
      <w:pPr>
        <w:tabs>
          <w:tab w:val="center" w:pos="4535"/>
        </w:tabs>
        <w:spacing w:before="60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53337" name="Shapira_Sign.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C126AB" w:rsidRPr="009B7FD5" w:rsidP="002B4DCF">
      <w:pPr>
        <w:widowControl w:val="0"/>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شفيرا, قاض </w:t>
      </w:r>
      <w:r w:rsidRPr="009B7FD5">
        <w:rPr>
          <w:rFonts w:ascii="Tahoma" w:hAnsi="Tahoma" w:cs="Tahoma"/>
          <w:b/>
          <w:bCs/>
          <w:sz w:val="20"/>
          <w:szCs w:val="20"/>
          <w:rtl/>
          <w:lang w:bidi="ar-AE"/>
        </w:rPr>
        <w:t>(متقاعد)</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w:t>
      </w:r>
      <w:r w:rsidRPr="009B7FD5">
        <w:rPr>
          <w:rFonts w:ascii="Tahoma" w:hAnsi="Tahoma" w:cs="Tahoma"/>
          <w:sz w:val="20"/>
          <w:szCs w:val="20"/>
          <w:rtl/>
          <w:lang w:bidi="ar-SA"/>
        </w:rPr>
        <w:t xml:space="preserve"> الدولة</w:t>
      </w:r>
    </w:p>
    <w:p w:rsidR="00C126AB" w:rsidRPr="009B7FD5" w:rsidP="00091821">
      <w:pPr>
        <w:widowControl w:val="0"/>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w:t>
      </w:r>
      <w:r w:rsidRPr="009B7FD5">
        <w:rPr>
          <w:rFonts w:ascii="Tahoma" w:hAnsi="Tahoma" w:cs="Tahoma"/>
          <w:sz w:val="20"/>
          <w:szCs w:val="20"/>
          <w:rtl/>
          <w:lang w:bidi="ar-SA"/>
        </w:rPr>
        <w:t xml:space="preserve"> شكاوى الجمهور</w:t>
      </w:r>
    </w:p>
    <w:p w:rsidR="002B4DCF" w:rsidP="00CC679E">
      <w:pPr>
        <w:widowControl w:val="0"/>
        <w:tabs>
          <w:tab w:val="center" w:pos="4746"/>
        </w:tabs>
        <w:spacing w:after="0" w:line="280" w:lineRule="exact"/>
        <w:rPr>
          <w:rFonts w:ascii="Tahoma" w:hAnsi="Tahoma" w:cs="Tahoma"/>
          <w:sz w:val="20"/>
          <w:szCs w:val="20"/>
          <w:rtl/>
          <w:lang w:bidi="ar-SA"/>
        </w:rPr>
      </w:pPr>
    </w:p>
    <w:p w:rsidR="007B5426" w:rsidRPr="007B5426" w:rsidP="00353A3A">
      <w:pPr>
        <w:widowControl w:val="0"/>
        <w:tabs>
          <w:tab w:val="center" w:pos="4746"/>
        </w:tabs>
        <w:spacing w:after="0" w:line="280" w:lineRule="exact"/>
        <w:rPr>
          <w:rFonts w:ascii="Tahoma" w:hAnsi="Tahoma" w:cs="Tahoma"/>
          <w:sz w:val="20"/>
          <w:szCs w:val="20"/>
          <w:lang w:bidi="ar-SA"/>
        </w:rPr>
      </w:pPr>
      <w:r w:rsidRPr="007B5426">
        <w:rPr>
          <w:rFonts w:ascii="Tahoma" w:hAnsi="Tahoma" w:cs="Tahoma"/>
          <w:sz w:val="20"/>
          <w:szCs w:val="20"/>
          <w:rtl/>
          <w:lang w:bidi="ar-SA"/>
        </w:rPr>
        <w:t>أورشليم</w:t>
      </w:r>
      <w:r w:rsidRPr="007B5426">
        <w:rPr>
          <w:rFonts w:ascii="Tahoma" w:hAnsi="Tahoma" w:cs="Tahoma"/>
          <w:sz w:val="20"/>
          <w:szCs w:val="20"/>
          <w:rtl/>
          <w:lang w:bidi="ar-SA"/>
        </w:rPr>
        <w:t xml:space="preserve"> القدس، </w:t>
      </w:r>
      <w:r w:rsidR="00353A3A">
        <w:rPr>
          <w:rFonts w:ascii="Arial" w:hAnsi="Arial" w:cs="Arial"/>
          <w:sz w:val="22"/>
          <w:szCs w:val="22"/>
          <w:rtl/>
          <w:lang w:bidi="ar-SA"/>
        </w:rPr>
        <w:t>حزيران</w:t>
      </w:r>
      <w:r w:rsidRPr="00183230" w:rsidR="00183230">
        <w:rPr>
          <w:rFonts w:ascii="Tahoma" w:hAnsi="Tahoma" w:cs="Tahoma"/>
          <w:sz w:val="20"/>
          <w:szCs w:val="20"/>
          <w:rtl/>
          <w:lang w:bidi="ar-SA"/>
        </w:rPr>
        <w:t xml:space="preserve"> </w:t>
      </w:r>
      <w:r w:rsidRPr="007B5426">
        <w:rPr>
          <w:rFonts w:ascii="Tahoma" w:hAnsi="Tahoma" w:cs="Tahoma"/>
          <w:sz w:val="20"/>
          <w:szCs w:val="20"/>
          <w:rtl/>
          <w:lang w:bidi="ar-SA"/>
        </w:rPr>
        <w:t>201</w:t>
      </w:r>
      <w:r w:rsidRPr="007B5426">
        <w:rPr>
          <w:rFonts w:ascii="Tahoma" w:hAnsi="Tahoma" w:cs="Tahoma"/>
          <w:sz w:val="20"/>
          <w:szCs w:val="20"/>
          <w:rtl/>
        </w:rPr>
        <w:t>8</w:t>
      </w:r>
      <w:bookmarkStart w:id="5" w:name="_GoBack"/>
      <w:bookmarkEnd w:id="0"/>
      <w:bookmarkEnd w:id="1"/>
      <w:bookmarkEnd w:id="2"/>
      <w:bookmarkEnd w:id="3"/>
      <w:bookmarkEnd w:id="4"/>
      <w:bookmarkEnd w:id="5"/>
    </w:p>
    <w:sectPr w:rsidSect="00CD5C96">
      <w:headerReference w:type="even" r:id="rId7"/>
      <w:headerReference w:type="default" r:id="rId8"/>
      <w:footnotePr>
        <w:numRestart w:val="eachSect"/>
      </w:footnotePr>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50ABD" w:rsidRPr="008A007A" w:rsidP="008A007A">
      <w:pPr>
        <w:pStyle w:val="Footer"/>
      </w:pPr>
    </w:p>
  </w:footnote>
  <w:footnote w:type="continuationSeparator" w:id="1">
    <w:p w:rsidR="00650ABD" w:rsidP="00CB3322">
      <w:pPr>
        <w:spacing w:after="0" w:line="240" w:lineRule="auto"/>
      </w:pPr>
      <w:r>
        <w:continuationSeparator/>
      </w:r>
    </w:p>
    <w:p w:rsidR="00650ABD"/>
  </w:footnote>
  <w:footnote w:id="2">
    <w:p w:rsidR="00822DAC" w:rsidRPr="00822DAC" w:rsidP="00353A3A">
      <w:pPr>
        <w:pStyle w:val="FootnoteText"/>
        <w:spacing w:after="40" w:line="200" w:lineRule="exact"/>
        <w:ind w:left="397" w:hanging="397"/>
        <w:jc w:val="both"/>
        <w:rPr>
          <w:rFonts w:ascii="Tahoma" w:hAnsi="Tahoma" w:cs="Tahoma"/>
          <w:sz w:val="14"/>
          <w:szCs w:val="14"/>
          <w:lang w:bidi="ar-SA"/>
        </w:rPr>
      </w:pPr>
      <w:r w:rsidRPr="00822DAC">
        <w:rPr>
          <w:rStyle w:val="FootnoteReference"/>
          <w:rFonts w:ascii="Tahoma" w:hAnsi="Tahoma" w:cs="Tahoma"/>
          <w:sz w:val="14"/>
          <w:szCs w:val="14"/>
          <w:vertAlign w:val="baseline"/>
        </w:rPr>
        <w:footnoteRef/>
      </w:r>
      <w:r w:rsidRPr="00822DAC">
        <w:rPr>
          <w:rFonts w:ascii="Tahoma" w:hAnsi="Tahoma" w:cs="Tahoma"/>
          <w:sz w:val="14"/>
          <w:szCs w:val="14"/>
          <w:rtl/>
        </w:rPr>
        <w:t xml:space="preserve"> </w:t>
      </w:r>
      <w:r w:rsidRPr="00822DAC">
        <w:rPr>
          <w:rFonts w:ascii="Tahoma" w:hAnsi="Tahoma" w:cs="Tahoma"/>
          <w:sz w:val="14"/>
          <w:szCs w:val="14"/>
          <w:rtl/>
        </w:rPr>
        <w:tab/>
      </w:r>
      <w:r w:rsidRPr="00822DAC">
        <w:rPr>
          <w:rFonts w:ascii="Tahoma" w:hAnsi="Tahoma" w:cs="Tahoma"/>
          <w:sz w:val="14"/>
          <w:szCs w:val="14"/>
          <w:rtl/>
          <w:lang w:bidi="ar-SA"/>
        </w:rPr>
        <w:t xml:space="preserve">التآزر- تعاون بين أطراف مختلفة يحقّق نتائج أفضل من مجمل النتائج التي كان بالإمكان الوصول إليها في ما لو عمل كلّ طرف بشكل منفرد.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DB7" w:rsidRPr="000536D4" w:rsidP="00584F72">
    <w:pPr>
      <w:spacing w:before="240" w:after="180" w:line="240" w:lineRule="auto"/>
      <w:rPr>
        <w:b/>
        <w:bCs/>
      </w:rPr>
    </w:pPr>
    <w:r>
      <w:rPr>
        <w:rFonts w:hint="eastAsia"/>
        <w:b/>
        <w:bCs/>
        <w:noProof/>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7E291E">
      <w:rPr>
        <w:rFonts w:ascii="Arial Bold" w:hAnsi="Arial Bold" w:eastAsiaTheme="majorEastAsia" w:cs="Tahoma" w:hint="eastAsia"/>
        <w:noProof/>
        <w:color w:val="0B5294" w:themeColor="accent1" w:themeShade="BF"/>
        <w:sz w:val="16"/>
        <w:szCs w:val="16"/>
        <w:rtl/>
      </w:rPr>
      <w:t>הפרטת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התעשיה</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הצבאית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לישראל</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בע</w:t>
    </w:r>
    <w:r w:rsidRPr="007E291E">
      <w:rPr>
        <w:rFonts w:ascii="Arial Bold" w:hAnsi="Arial Bold" w:eastAsiaTheme="majorEastAsia" w:cs="Tahoma"/>
        <w:noProof/>
        <w:color w:val="0B5294" w:themeColor="accent1" w:themeShade="BF"/>
        <w:sz w:val="16"/>
        <w:szCs w:val="16"/>
        <w:rtl/>
      </w:rPr>
      <w:t>"</w:t>
    </w:r>
    <w:r w:rsidRPr="007E291E">
      <w:rPr>
        <w:rFonts w:ascii="Arial Bold" w:hAnsi="Arial Bold" w:eastAsiaTheme="majorEastAsia" w:cs="Tahoma" w:hint="eastAsia"/>
        <w:noProof/>
        <w:color w:val="0B5294" w:themeColor="accent1" w:themeShade="BF"/>
        <w:sz w:val="16"/>
        <w:szCs w:val="16"/>
        <w:rtl/>
      </w:rPr>
      <w:t>מ</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תעש</w:t>
    </w:r>
    <w:r w:rsidRPr="007E291E">
      <w:rPr>
        <w:rFonts w:ascii="Arial Bold" w:hAnsi="Arial Bold" w:eastAsiaTheme="majorEastAsia" w:cs="Tahoma"/>
        <w:noProof/>
        <w:color w:val="0B5294" w:themeColor="accent1" w:themeShade="BF"/>
        <w:sz w:val="16"/>
        <w:szCs w:val="16"/>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DB7" w:rsidRPr="00D70CA7" w:rsidP="007E291E">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7E291E">
      <w:rPr>
        <w:rFonts w:ascii="Arial Bold" w:hAnsi="Arial Bold" w:eastAsiaTheme="majorEastAsia" w:cs="Tahoma" w:hint="eastAsia"/>
        <w:noProof/>
        <w:color w:val="0B5294" w:themeColor="accent1" w:themeShade="BF"/>
        <w:sz w:val="16"/>
        <w:szCs w:val="16"/>
        <w:rtl/>
      </w:rPr>
      <w:t>הפרטת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התעשיה</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הצבאית</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לישראל</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בע</w:t>
    </w:r>
    <w:r w:rsidRPr="007E291E">
      <w:rPr>
        <w:rFonts w:ascii="Arial Bold" w:hAnsi="Arial Bold" w:eastAsiaTheme="majorEastAsia" w:cs="Tahoma"/>
        <w:noProof/>
        <w:color w:val="0B5294" w:themeColor="accent1" w:themeShade="BF"/>
        <w:sz w:val="16"/>
        <w:szCs w:val="16"/>
        <w:rtl/>
      </w:rPr>
      <w:t>"</w:t>
    </w:r>
    <w:r w:rsidRPr="007E291E">
      <w:rPr>
        <w:rFonts w:ascii="Arial Bold" w:hAnsi="Arial Bold" w:eastAsiaTheme="majorEastAsia" w:cs="Tahoma" w:hint="eastAsia"/>
        <w:noProof/>
        <w:color w:val="0B5294" w:themeColor="accent1" w:themeShade="BF"/>
        <w:sz w:val="16"/>
        <w:szCs w:val="16"/>
        <w:rtl/>
      </w:rPr>
      <w:t>מ</w:t>
    </w:r>
    <w:r w:rsidRPr="007E291E">
      <w:rPr>
        <w:rFonts w:ascii="Arial Bold" w:hAnsi="Arial Bold" w:eastAsiaTheme="majorEastAsia" w:cs="Tahoma"/>
        <w:noProof/>
        <w:color w:val="0B5294" w:themeColor="accent1" w:themeShade="BF"/>
        <w:sz w:val="16"/>
        <w:szCs w:val="16"/>
        <w:rtl/>
      </w:rPr>
      <w:t xml:space="preserve"> (</w:t>
    </w:r>
    <w:r w:rsidRPr="007E291E">
      <w:rPr>
        <w:rFonts w:ascii="Arial Bold" w:hAnsi="Arial Bold" w:eastAsiaTheme="majorEastAsia" w:cs="Tahoma" w:hint="eastAsia"/>
        <w:noProof/>
        <w:color w:val="0B5294" w:themeColor="accent1" w:themeShade="BF"/>
        <w:sz w:val="16"/>
        <w:szCs w:val="16"/>
        <w:rtl/>
      </w:rPr>
      <w:t>תעש</w:t>
    </w:r>
    <w:r w:rsidRPr="007E291E">
      <w:rPr>
        <w:rFonts w:ascii="Arial Bold" w:hAnsi="Arial Bold" w:eastAsiaTheme="majorEastAsia" w:cs="Tahoma"/>
        <w:noProof/>
        <w:color w:val="0B5294" w:themeColor="accent1" w:themeShade="BF"/>
        <w:sz w:val="16"/>
        <w:szCs w:val="1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2FBD"/>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E"/>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213"/>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3230"/>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07B8"/>
    <w:rsid w:val="001A14B8"/>
    <w:rsid w:val="001A1832"/>
    <w:rsid w:val="001A1A35"/>
    <w:rsid w:val="001A1D8E"/>
    <w:rsid w:val="001A214C"/>
    <w:rsid w:val="001A2E4B"/>
    <w:rsid w:val="001A2F80"/>
    <w:rsid w:val="001A39E5"/>
    <w:rsid w:val="001A3DA4"/>
    <w:rsid w:val="001A417A"/>
    <w:rsid w:val="001A551B"/>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6427"/>
    <w:rsid w:val="00206924"/>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49D5"/>
    <w:rsid w:val="00265813"/>
    <w:rsid w:val="002665EC"/>
    <w:rsid w:val="00266740"/>
    <w:rsid w:val="0026692E"/>
    <w:rsid w:val="0027002F"/>
    <w:rsid w:val="00270AD8"/>
    <w:rsid w:val="002712C2"/>
    <w:rsid w:val="002714ED"/>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37E"/>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4DCF"/>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3D1"/>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183"/>
    <w:rsid w:val="00353326"/>
    <w:rsid w:val="0035361A"/>
    <w:rsid w:val="00353A3A"/>
    <w:rsid w:val="003541A3"/>
    <w:rsid w:val="0035442A"/>
    <w:rsid w:val="00354900"/>
    <w:rsid w:val="00357D06"/>
    <w:rsid w:val="003609E2"/>
    <w:rsid w:val="00361B78"/>
    <w:rsid w:val="00361CD3"/>
    <w:rsid w:val="0036393B"/>
    <w:rsid w:val="00363C9F"/>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D0B"/>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3B6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965"/>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71"/>
    <w:rsid w:val="004505D6"/>
    <w:rsid w:val="0045141B"/>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7B5"/>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234B"/>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81A"/>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C73"/>
    <w:rsid w:val="00511771"/>
    <w:rsid w:val="00511D75"/>
    <w:rsid w:val="00512355"/>
    <w:rsid w:val="005124C7"/>
    <w:rsid w:val="00512C90"/>
    <w:rsid w:val="00512CF1"/>
    <w:rsid w:val="00513862"/>
    <w:rsid w:val="00513FBC"/>
    <w:rsid w:val="00514E43"/>
    <w:rsid w:val="00515123"/>
    <w:rsid w:val="0051556D"/>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1F00"/>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8B5"/>
    <w:rsid w:val="00575AD1"/>
    <w:rsid w:val="005765C7"/>
    <w:rsid w:val="00576828"/>
    <w:rsid w:val="00577182"/>
    <w:rsid w:val="0057796D"/>
    <w:rsid w:val="00580C39"/>
    <w:rsid w:val="005818ED"/>
    <w:rsid w:val="00582EEE"/>
    <w:rsid w:val="00584F72"/>
    <w:rsid w:val="0058546D"/>
    <w:rsid w:val="0058562D"/>
    <w:rsid w:val="00586C76"/>
    <w:rsid w:val="0059097C"/>
    <w:rsid w:val="00590AF8"/>
    <w:rsid w:val="0059131B"/>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B09"/>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2A56"/>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30F"/>
    <w:rsid w:val="005F3BAC"/>
    <w:rsid w:val="005F4396"/>
    <w:rsid w:val="005F4618"/>
    <w:rsid w:val="005F5874"/>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3F6E"/>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3266"/>
    <w:rsid w:val="0064502B"/>
    <w:rsid w:val="006453AA"/>
    <w:rsid w:val="00646CF4"/>
    <w:rsid w:val="006474EC"/>
    <w:rsid w:val="00650187"/>
    <w:rsid w:val="00650ABD"/>
    <w:rsid w:val="0065147A"/>
    <w:rsid w:val="00651AFD"/>
    <w:rsid w:val="00652312"/>
    <w:rsid w:val="00652A0E"/>
    <w:rsid w:val="00652ADF"/>
    <w:rsid w:val="00655A3C"/>
    <w:rsid w:val="00655C9A"/>
    <w:rsid w:val="006562BE"/>
    <w:rsid w:val="00656936"/>
    <w:rsid w:val="00656CB7"/>
    <w:rsid w:val="00656EF1"/>
    <w:rsid w:val="006571FD"/>
    <w:rsid w:val="006600F0"/>
    <w:rsid w:val="00660683"/>
    <w:rsid w:val="00661364"/>
    <w:rsid w:val="006620DC"/>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1D5D"/>
    <w:rsid w:val="006C3610"/>
    <w:rsid w:val="006C3674"/>
    <w:rsid w:val="006C3E19"/>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C43"/>
    <w:rsid w:val="00766F23"/>
    <w:rsid w:val="00767C08"/>
    <w:rsid w:val="00770607"/>
    <w:rsid w:val="00770C49"/>
    <w:rsid w:val="00770FE5"/>
    <w:rsid w:val="00772DF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44E"/>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291E"/>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2DAC"/>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3E1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256F"/>
    <w:rsid w:val="008B2C10"/>
    <w:rsid w:val="008B3389"/>
    <w:rsid w:val="008B3F9B"/>
    <w:rsid w:val="008B5613"/>
    <w:rsid w:val="008B5617"/>
    <w:rsid w:val="008B57E5"/>
    <w:rsid w:val="008B59DF"/>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8A5"/>
    <w:rsid w:val="00922D49"/>
    <w:rsid w:val="00922E7F"/>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59C0"/>
    <w:rsid w:val="00946587"/>
    <w:rsid w:val="0094720D"/>
    <w:rsid w:val="0094772D"/>
    <w:rsid w:val="009511E5"/>
    <w:rsid w:val="0095149D"/>
    <w:rsid w:val="009521C1"/>
    <w:rsid w:val="00952A15"/>
    <w:rsid w:val="009534C9"/>
    <w:rsid w:val="00953EF6"/>
    <w:rsid w:val="0095402B"/>
    <w:rsid w:val="00955290"/>
    <w:rsid w:val="00955EBD"/>
    <w:rsid w:val="009568B5"/>
    <w:rsid w:val="00960C7F"/>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36B4"/>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0996"/>
    <w:rsid w:val="00A123E9"/>
    <w:rsid w:val="00A12A8C"/>
    <w:rsid w:val="00A12D45"/>
    <w:rsid w:val="00A134DC"/>
    <w:rsid w:val="00A137EE"/>
    <w:rsid w:val="00A15114"/>
    <w:rsid w:val="00A151A7"/>
    <w:rsid w:val="00A15EAB"/>
    <w:rsid w:val="00A1667B"/>
    <w:rsid w:val="00A16854"/>
    <w:rsid w:val="00A16A80"/>
    <w:rsid w:val="00A16D1A"/>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13E5"/>
    <w:rsid w:val="00A6310F"/>
    <w:rsid w:val="00A63741"/>
    <w:rsid w:val="00A63E2A"/>
    <w:rsid w:val="00A6494D"/>
    <w:rsid w:val="00A64AFA"/>
    <w:rsid w:val="00A64BC4"/>
    <w:rsid w:val="00A64E0C"/>
    <w:rsid w:val="00A65B5B"/>
    <w:rsid w:val="00A65E42"/>
    <w:rsid w:val="00A66E3D"/>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50F"/>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23A"/>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302"/>
    <w:rsid w:val="00BC4504"/>
    <w:rsid w:val="00BC54FE"/>
    <w:rsid w:val="00BC6C3B"/>
    <w:rsid w:val="00BC6F81"/>
    <w:rsid w:val="00BD0182"/>
    <w:rsid w:val="00BD01FC"/>
    <w:rsid w:val="00BD1505"/>
    <w:rsid w:val="00BD178B"/>
    <w:rsid w:val="00BD2878"/>
    <w:rsid w:val="00BD296C"/>
    <w:rsid w:val="00BD2B58"/>
    <w:rsid w:val="00BD38C5"/>
    <w:rsid w:val="00BD3B30"/>
    <w:rsid w:val="00BD675C"/>
    <w:rsid w:val="00BD6C42"/>
    <w:rsid w:val="00BD71E6"/>
    <w:rsid w:val="00BE029F"/>
    <w:rsid w:val="00BE03E9"/>
    <w:rsid w:val="00BE0988"/>
    <w:rsid w:val="00BE37E0"/>
    <w:rsid w:val="00BE4965"/>
    <w:rsid w:val="00BE531E"/>
    <w:rsid w:val="00BE5EA7"/>
    <w:rsid w:val="00BE630D"/>
    <w:rsid w:val="00BE7384"/>
    <w:rsid w:val="00BF044F"/>
    <w:rsid w:val="00BF1F74"/>
    <w:rsid w:val="00BF3CC5"/>
    <w:rsid w:val="00BF42A4"/>
    <w:rsid w:val="00BF6CCE"/>
    <w:rsid w:val="00BF7116"/>
    <w:rsid w:val="00BF7AA1"/>
    <w:rsid w:val="00BF7EF8"/>
    <w:rsid w:val="00C00A84"/>
    <w:rsid w:val="00C010F3"/>
    <w:rsid w:val="00C01558"/>
    <w:rsid w:val="00C01C0D"/>
    <w:rsid w:val="00C02754"/>
    <w:rsid w:val="00C03083"/>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2611D"/>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C77"/>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0BC0"/>
    <w:rsid w:val="00C9124C"/>
    <w:rsid w:val="00C92423"/>
    <w:rsid w:val="00C95789"/>
    <w:rsid w:val="00C95D08"/>
    <w:rsid w:val="00C96091"/>
    <w:rsid w:val="00C969A5"/>
    <w:rsid w:val="00C96B43"/>
    <w:rsid w:val="00C97EE5"/>
    <w:rsid w:val="00CA02EF"/>
    <w:rsid w:val="00CA07ED"/>
    <w:rsid w:val="00CA1595"/>
    <w:rsid w:val="00CA1A7A"/>
    <w:rsid w:val="00CA1C4B"/>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79E"/>
    <w:rsid w:val="00CC6E6D"/>
    <w:rsid w:val="00CC710B"/>
    <w:rsid w:val="00CC758B"/>
    <w:rsid w:val="00CC7E84"/>
    <w:rsid w:val="00CD133E"/>
    <w:rsid w:val="00CD14D9"/>
    <w:rsid w:val="00CD1B85"/>
    <w:rsid w:val="00CD2727"/>
    <w:rsid w:val="00CD293F"/>
    <w:rsid w:val="00CD3559"/>
    <w:rsid w:val="00CD3FC9"/>
    <w:rsid w:val="00CD5494"/>
    <w:rsid w:val="00CD5C96"/>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696"/>
    <w:rsid w:val="00D13727"/>
    <w:rsid w:val="00D1425A"/>
    <w:rsid w:val="00D15224"/>
    <w:rsid w:val="00D17D22"/>
    <w:rsid w:val="00D21745"/>
    <w:rsid w:val="00D227D7"/>
    <w:rsid w:val="00D228C5"/>
    <w:rsid w:val="00D228EE"/>
    <w:rsid w:val="00D2438E"/>
    <w:rsid w:val="00D255A3"/>
    <w:rsid w:val="00D25F82"/>
    <w:rsid w:val="00D27368"/>
    <w:rsid w:val="00D3198F"/>
    <w:rsid w:val="00D31CB3"/>
    <w:rsid w:val="00D33D8A"/>
    <w:rsid w:val="00D34087"/>
    <w:rsid w:val="00D343EC"/>
    <w:rsid w:val="00D373E5"/>
    <w:rsid w:val="00D37527"/>
    <w:rsid w:val="00D3772C"/>
    <w:rsid w:val="00D40268"/>
    <w:rsid w:val="00D40382"/>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DD9"/>
    <w:rsid w:val="00DC60D5"/>
    <w:rsid w:val="00DC7FAB"/>
    <w:rsid w:val="00DD0BE7"/>
    <w:rsid w:val="00DD1477"/>
    <w:rsid w:val="00DD29E9"/>
    <w:rsid w:val="00DD3164"/>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7"/>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47C7"/>
    <w:rsid w:val="00E46189"/>
    <w:rsid w:val="00E46878"/>
    <w:rsid w:val="00E46C28"/>
    <w:rsid w:val="00E47FD3"/>
    <w:rsid w:val="00E50BA5"/>
    <w:rsid w:val="00E5254D"/>
    <w:rsid w:val="00E5284F"/>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36A6"/>
    <w:rsid w:val="00E96931"/>
    <w:rsid w:val="00E97C36"/>
    <w:rsid w:val="00EA0079"/>
    <w:rsid w:val="00EA0837"/>
    <w:rsid w:val="00EA16CA"/>
    <w:rsid w:val="00EA247D"/>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916"/>
    <w:rsid w:val="00EB4C23"/>
    <w:rsid w:val="00EB50A0"/>
    <w:rsid w:val="00EB52FE"/>
    <w:rsid w:val="00EB568A"/>
    <w:rsid w:val="00EB57A3"/>
    <w:rsid w:val="00EB5E88"/>
    <w:rsid w:val="00EB6CAF"/>
    <w:rsid w:val="00EB7BDE"/>
    <w:rsid w:val="00EC106E"/>
    <w:rsid w:val="00EC1A37"/>
    <w:rsid w:val="00EC38E4"/>
    <w:rsid w:val="00EC4B5F"/>
    <w:rsid w:val="00EC6320"/>
    <w:rsid w:val="00EC6340"/>
    <w:rsid w:val="00EC6FC1"/>
    <w:rsid w:val="00ED00B0"/>
    <w:rsid w:val="00ED01F1"/>
    <w:rsid w:val="00ED0E81"/>
    <w:rsid w:val="00ED1385"/>
    <w:rsid w:val="00ED15C2"/>
    <w:rsid w:val="00ED347F"/>
    <w:rsid w:val="00ED37A2"/>
    <w:rsid w:val="00ED491A"/>
    <w:rsid w:val="00ED4BB5"/>
    <w:rsid w:val="00ED5E40"/>
    <w:rsid w:val="00ED6E15"/>
    <w:rsid w:val="00EE04E7"/>
    <w:rsid w:val="00EE083D"/>
    <w:rsid w:val="00EE0DB2"/>
    <w:rsid w:val="00EE0E9A"/>
    <w:rsid w:val="00EE12A7"/>
    <w:rsid w:val="00EE15B2"/>
    <w:rsid w:val="00EE2409"/>
    <w:rsid w:val="00EE3042"/>
    <w:rsid w:val="00EE30FD"/>
    <w:rsid w:val="00EE3C5A"/>
    <w:rsid w:val="00EE4547"/>
    <w:rsid w:val="00EE45A6"/>
    <w:rsid w:val="00EE4822"/>
    <w:rsid w:val="00EE4D72"/>
    <w:rsid w:val="00EE5292"/>
    <w:rsid w:val="00EE658F"/>
    <w:rsid w:val="00EE6649"/>
    <w:rsid w:val="00EE6B18"/>
    <w:rsid w:val="00EE758A"/>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742"/>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634"/>
    <w:rsid w:val="00FA783C"/>
    <w:rsid w:val="00FB0A48"/>
    <w:rsid w:val="00FB0EF2"/>
    <w:rsid w:val="00FB0F14"/>
    <w:rsid w:val="00FB1367"/>
    <w:rsid w:val="00FB1DA9"/>
    <w:rsid w:val="00FB301D"/>
    <w:rsid w:val="00FB3070"/>
    <w:rsid w:val="00FB3B5A"/>
    <w:rsid w:val="00FB4643"/>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2B22"/>
    <w:rsid w:val="00FD32D1"/>
    <w:rsid w:val="00FD3AAE"/>
    <w:rsid w:val="00FD3F95"/>
    <w:rsid w:val="00FD4271"/>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rsid w:val="0023718D"/>
    <w:rPr>
      <w:rFonts w:cs="David"/>
      <w:sz w:val="20"/>
      <w:szCs w:val="20"/>
    </w:rPr>
  </w:style>
  <w:style w:type="character" w:styleId="FootnoteReference">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customXml" Target="../customXml/item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EBF15-65A9-4355-8BF1-7F54999F7A64}">
  <ds:schemaRefs>
    <ds:schemaRef ds:uri="http://schemas.openxmlformats.org/officeDocument/2006/bibliography"/>
  </ds:schemaRefs>
</ds:datastoreItem>
</file>

<file path=customXml/itemProps2.xml><?xml version="1.0" encoding="utf-8"?>
<ds:datastoreItem xmlns:ds="http://schemas.openxmlformats.org/officeDocument/2006/customXml" ds:itemID="{99398FE8-4534-4CA8-AD7A-94F25F787DCF}"/>
</file>

<file path=customXml/itemProps3.xml><?xml version="1.0" encoding="utf-8"?>
<ds:datastoreItem xmlns:ds="http://schemas.openxmlformats.org/officeDocument/2006/customXml" ds:itemID="{A69FEEC5-3F4F-4320-85BA-0B7A0B142466}"/>
</file>

<file path=customXml/itemProps4.xml><?xml version="1.0" encoding="utf-8"?>
<ds:datastoreItem xmlns:ds="http://schemas.openxmlformats.org/officeDocument/2006/customXml" ds:itemID="{B6DB5397-E5DE-4FC0-9132-EAF0B9886F6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