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119B4" w:rsidRPr="004119B4" w:rsidP="00660AC7">
      <w:pPr>
        <w:pageBreakBefore/>
        <w:spacing w:before="3600" w:after="180" w:line="380" w:lineRule="exact"/>
        <w:outlineLvl w:val="0"/>
        <w:rPr>
          <w:rFonts w:ascii="Tahoma" w:hAnsi="Tahoma" w:cs="Tahoma"/>
          <w:b/>
          <w:bCs/>
          <w:color w:val="2A2AA6"/>
          <w:sz w:val="28"/>
          <w:szCs w:val="28"/>
          <w:rtl/>
          <w:lang w:bidi="ar-SA"/>
        </w:rPr>
      </w:pPr>
      <w:bookmarkStart w:id="0" w:name="_Toc349122061"/>
      <w:bookmarkStart w:id="1" w:name="_Toc349136480"/>
      <w:bookmarkStart w:id="2" w:name="_Toc352831083"/>
      <w:bookmarkStart w:id="3" w:name="_Toc354324568"/>
      <w:bookmarkStart w:id="4" w:name="_Toc354661923"/>
      <w:bookmarkStart w:id="5" w:name="_GoBack"/>
      <w:bookmarkEnd w:id="5"/>
      <w:r w:rsidRPr="004119B4">
        <w:rPr>
          <w:rFonts w:ascii="Tahoma" w:hAnsi="Tahoma" w:cs="Tahoma"/>
          <w:b/>
          <w:bCs/>
          <w:color w:val="2A2AA6"/>
          <w:sz w:val="28"/>
          <w:szCs w:val="28"/>
          <w:rtl/>
          <w:lang w:bidi="ar-SA"/>
        </w:rPr>
        <w:t>المقدّمة</w:t>
      </w:r>
    </w:p>
    <w:p w:rsidR="00052C43" w:rsidRPr="00052C43" w:rsidP="00052C43">
      <w:pPr>
        <w:jc w:val="both"/>
        <w:rPr>
          <w:rFonts w:ascii="Tahoma" w:hAnsi="Tahoma" w:cs="Tahoma"/>
          <w:b/>
          <w:sz w:val="18"/>
          <w:szCs w:val="18"/>
          <w:rtl/>
        </w:rPr>
      </w:pPr>
      <w:r w:rsidRPr="00052C43">
        <w:rPr>
          <w:rFonts w:ascii="Tahoma" w:hAnsi="Tahoma" w:cs="Tahoma"/>
          <w:b/>
          <w:sz w:val="18"/>
          <w:szCs w:val="18"/>
          <w:rtl/>
          <w:lang w:bidi="ar-SA"/>
        </w:rPr>
        <w:t xml:space="preserve">تنفّذ الحكومة سنويًّا عمليّات شراء بقيمة عشرات المليارات من الشواكل. من أجل تحقيق الغرض من منظومة المشتريات الحكوميّة يتعيّن عليها العمل وفقًا لمبادئ النجاعة، المهنيّة، النزاهة، الشفافيّة والمساواة وعلى نحو يقلّل من المخاطر الكثيرة التي تتعرّض لها سيرورة المشتريات على مختلف مراحلها. أشارت </w:t>
      </w:r>
      <w:r w:rsidRPr="00052C43">
        <w:rPr>
          <w:rFonts w:ascii="Tahoma" w:hAnsi="Tahoma" w:cs="Tahoma"/>
          <w:sz w:val="18"/>
          <w:szCs w:val="18"/>
          <w:rtl/>
          <w:lang w:bidi="ar-SA"/>
        </w:rPr>
        <w:t>منظّمة</w:t>
      </w:r>
      <w:r w:rsidRPr="00052C43">
        <w:rPr>
          <w:rFonts w:ascii="Tahoma" w:hAnsi="Tahoma" w:cs="Tahoma"/>
          <w:sz w:val="18"/>
          <w:szCs w:val="18"/>
          <w:rtl/>
        </w:rPr>
        <w:t xml:space="preserve"> </w:t>
      </w:r>
      <w:r w:rsidRPr="00052C43">
        <w:rPr>
          <w:rFonts w:ascii="Tahoma" w:hAnsi="Tahoma" w:cs="Tahoma"/>
          <w:sz w:val="18"/>
          <w:szCs w:val="18"/>
          <w:rtl/>
          <w:lang w:bidi="ar-SA"/>
        </w:rPr>
        <w:t>التعاون والتنمية الاقتصاديّة</w:t>
      </w:r>
      <w:r w:rsidRPr="00052C43">
        <w:rPr>
          <w:rFonts w:ascii="Tahoma" w:hAnsi="Tahoma" w:cs="Tahoma"/>
          <w:b/>
          <w:sz w:val="18"/>
          <w:szCs w:val="18"/>
          <w:rtl/>
          <w:lang w:bidi="ar-SA"/>
        </w:rPr>
        <w:t xml:space="preserve"> </w:t>
      </w:r>
      <w:r w:rsidRPr="00052C43">
        <w:rPr>
          <w:rFonts w:ascii="Tahoma" w:hAnsi="Tahoma" w:cs="Tahoma"/>
          <w:sz w:val="18"/>
          <w:szCs w:val="18"/>
        </w:rPr>
        <w:t>OECD</w:t>
      </w:r>
      <w:r>
        <w:rPr>
          <w:rFonts w:ascii="Tahoma" w:hAnsi="Tahoma" w:cs="Tahoma"/>
          <w:sz w:val="18"/>
          <w:szCs w:val="18"/>
          <w:vertAlign w:val="superscript"/>
        </w:rPr>
        <w:footnoteReference w:id="2"/>
      </w:r>
      <w:r w:rsidRPr="00052C43">
        <w:rPr>
          <w:rFonts w:ascii="Tahoma" w:hAnsi="Tahoma" w:cs="Tahoma"/>
          <w:sz w:val="18"/>
          <w:szCs w:val="18"/>
          <w:rtl/>
        </w:rPr>
        <w:t xml:space="preserve"> </w:t>
      </w:r>
      <w:r w:rsidRPr="00052C43">
        <w:rPr>
          <w:rFonts w:ascii="Tahoma" w:hAnsi="Tahoma" w:cs="Tahoma"/>
          <w:b/>
          <w:sz w:val="18"/>
          <w:szCs w:val="18"/>
          <w:rtl/>
          <w:lang w:bidi="ar-SA"/>
        </w:rPr>
        <w:t>إلى أنّ منظومة الشراء العامّ ذات "</w:t>
      </w:r>
      <w:r w:rsidRPr="00052C43">
        <w:rPr>
          <w:rFonts w:ascii="Tahoma" w:hAnsi="Tahoma" w:cs="Tahoma"/>
          <w:b/>
          <w:sz w:val="18"/>
          <w:szCs w:val="18"/>
          <w:rtl/>
          <w:lang w:bidi="ar-SA"/>
        </w:rPr>
        <w:t>الحوكمة</w:t>
      </w:r>
      <w:r w:rsidRPr="00052C43">
        <w:rPr>
          <w:rFonts w:ascii="Tahoma" w:hAnsi="Tahoma" w:cs="Tahoma"/>
          <w:b/>
          <w:sz w:val="18"/>
          <w:szCs w:val="18"/>
          <w:rtl/>
          <w:lang w:bidi="ar-SA"/>
        </w:rPr>
        <w:t xml:space="preserve"> التنظيميّة" الضعيفة من شأنها المساس بالتنافس في السوق، وأن تؤدّي إلى ارتفاع أسعار المنتجات والخدمات، وتنفيذ عمليّات الشراء غير الناجعة والتأثير في الإنفاق العامّ وفي دافع الضرائب</w:t>
      </w:r>
      <w:r>
        <w:rPr>
          <w:rFonts w:ascii="Tahoma" w:hAnsi="Tahoma" w:cs="Tahoma"/>
          <w:sz w:val="18"/>
          <w:szCs w:val="18"/>
          <w:vertAlign w:val="superscript"/>
        </w:rPr>
        <w:footnoteReference w:id="3"/>
      </w:r>
      <w:r w:rsidRPr="00052C43">
        <w:rPr>
          <w:rFonts w:ascii="Tahoma" w:hAnsi="Tahoma" w:cs="Tahoma"/>
          <w:b/>
          <w:sz w:val="18"/>
          <w:szCs w:val="18"/>
          <w:rtl/>
          <w:lang w:bidi="ar-SA"/>
        </w:rPr>
        <w:t xml:space="preserve">. </w:t>
      </w:r>
    </w:p>
    <w:p w:rsidR="00052C43" w:rsidRPr="00052C43" w:rsidP="00052C43">
      <w:pPr>
        <w:jc w:val="both"/>
        <w:rPr>
          <w:rFonts w:ascii="Tahoma" w:hAnsi="Tahoma" w:cs="Tahoma"/>
          <w:sz w:val="18"/>
          <w:szCs w:val="18"/>
        </w:rPr>
      </w:pPr>
      <w:r w:rsidRPr="00052C43">
        <w:rPr>
          <w:rFonts w:ascii="Tahoma" w:hAnsi="Tahoma" w:cs="Tahoma"/>
          <w:sz w:val="18"/>
          <w:szCs w:val="18"/>
          <w:rtl/>
          <w:lang w:bidi="ar-SA"/>
        </w:rPr>
        <w:t xml:space="preserve">بلغت قيمة </w:t>
      </w:r>
      <w:r w:rsidRPr="00052C43">
        <w:rPr>
          <w:rFonts w:ascii="Tahoma" w:hAnsi="Tahoma" w:cs="Tahoma"/>
          <w:sz w:val="18"/>
          <w:szCs w:val="18"/>
          <w:rtl/>
          <w:lang w:bidi="ar-SA"/>
        </w:rPr>
        <w:t>المشتريات</w:t>
      </w:r>
      <w:r w:rsidRPr="00052C43">
        <w:rPr>
          <w:rFonts w:ascii="Tahoma" w:hAnsi="Tahoma" w:cs="Tahoma"/>
          <w:sz w:val="18"/>
          <w:szCs w:val="18"/>
          <w:rtl/>
          <w:lang w:bidi="ar-SA"/>
        </w:rPr>
        <w:t xml:space="preserve"> التي تقوم بها الشرطة حوالي 2.9 مليار شيكل جديد في السنة، وهي تشكّل ركيزة هامّة في مجمل المشتريات الحكوميّة. نورد في هذا التقرير إجماليّ لأوجه القصور، البعض منها خطير، تشير إلى أنّ إجراءات الشراء التي نفّذتها الشرطة في السنوات الأخيرة تمّت ليس وفقًا للمبادئ التي في أساس قانون الإلزام بالمناقصات لعام 1992، ولمبادئ من القضاء الإداريّ. </w:t>
      </w:r>
    </w:p>
    <w:p w:rsidR="00052C43" w:rsidRPr="00052C43" w:rsidP="00052C43">
      <w:pPr>
        <w:jc w:val="both"/>
        <w:rPr>
          <w:rFonts w:ascii="Tahoma" w:hAnsi="Tahoma" w:cs="Tahoma"/>
          <w:sz w:val="18"/>
          <w:szCs w:val="18"/>
        </w:rPr>
      </w:pPr>
      <w:r w:rsidRPr="00052C43">
        <w:rPr>
          <w:rFonts w:ascii="Tahoma" w:hAnsi="Tahoma" w:cs="Tahoma"/>
          <w:sz w:val="18"/>
          <w:szCs w:val="18"/>
          <w:rtl/>
          <w:lang w:bidi="ar-SA"/>
        </w:rPr>
        <w:t xml:space="preserve"> تبيّن أنّ هناك نواقص في المراحل المختلفة لسيرورة المشتريات، بما في ذلك- سوء التخطيط على يشكل جميع المنظّمات، ضعف الاستعداد المهنيّ للقيام بالمشتريات، تصنيف التعاقدات بالإعفاء من المناقصة خلافًا لمبادئ وأوامر قانون الإلزام بالمناقصات، إضافة إلى نواقص في </w:t>
      </w:r>
      <w:r w:rsidRPr="00052C43">
        <w:rPr>
          <w:rFonts w:ascii="Tahoma" w:hAnsi="Tahoma" w:cs="Tahoma"/>
          <w:sz w:val="18"/>
          <w:szCs w:val="18"/>
          <w:rtl/>
          <w:lang w:bidi="ar-SA"/>
        </w:rPr>
        <w:t xml:space="preserve">فحص العلاقات لغرض نفي وجود تضارب للمصالح في السياقات المختلفة، وكذلك نواقص في مجالات الحرص على المساواة وحماية الملكيّة الفكريّة عند إجراء التعاقد الرئيسيّ للشرطة في المجال التكنولوجيّ. </w:t>
      </w:r>
      <w:r w:rsidRPr="00052C43">
        <w:rPr>
          <w:rFonts w:ascii="Tahoma" w:hAnsi="Tahoma" w:cs="Tahoma"/>
          <w:sz w:val="18"/>
          <w:szCs w:val="18"/>
          <w:rtl/>
          <w:lang w:bidi="ar-SA"/>
        </w:rPr>
        <w:t>وقد</w:t>
      </w:r>
      <w:r w:rsidRPr="00052C43">
        <w:rPr>
          <w:rFonts w:ascii="Tahoma" w:hAnsi="Tahoma" w:cs="Tahoma"/>
          <w:sz w:val="18"/>
          <w:szCs w:val="18"/>
          <w:rtl/>
          <w:lang w:bidi="ar-SA"/>
        </w:rPr>
        <w:t xml:space="preserve"> حوّلتُ خلال الرقابة أيضًا إلى المستشار القضائيّ للحكومة المعلومات التي أثارت المخاوف للقيام بعمل جنائيّ، وفقًا للمسار المحدّد في قانون مراقب الدولة. </w:t>
      </w:r>
    </w:p>
    <w:p w:rsidR="00052C43" w:rsidRPr="00052C43" w:rsidP="00052C43">
      <w:pPr>
        <w:jc w:val="both"/>
        <w:rPr>
          <w:rFonts w:ascii="Tahoma" w:hAnsi="Tahoma" w:cs="Tahoma"/>
          <w:sz w:val="18"/>
          <w:szCs w:val="18"/>
          <w:rtl/>
        </w:rPr>
      </w:pPr>
      <w:r w:rsidRPr="00052C43">
        <w:rPr>
          <w:rFonts w:ascii="Tahoma" w:hAnsi="Tahoma" w:cs="Tahoma"/>
          <w:sz w:val="18"/>
          <w:szCs w:val="18"/>
          <w:rtl/>
          <w:lang w:bidi="ar-SA"/>
        </w:rPr>
        <w:t xml:space="preserve">يتطلّب إصلاح النواقص المفصّلة في هذا التقرير من الشرطة ووزارة الأمن الداخليّ تنفيذ إجراءات تغيير مهنيّة تحت إشراف ومشاركة الجهات القياديّة الكبيرة، مع التشديد على دراسة الأنظمة القائمة، تحسين </w:t>
      </w:r>
      <w:r w:rsidRPr="00052C43">
        <w:rPr>
          <w:rFonts w:ascii="Tahoma" w:hAnsi="Tahoma" w:cs="Tahoma"/>
          <w:sz w:val="18"/>
          <w:szCs w:val="18"/>
          <w:rtl/>
          <w:lang w:bidi="ar-SA"/>
        </w:rPr>
        <w:t>سيرورات</w:t>
      </w:r>
      <w:r w:rsidRPr="00052C43">
        <w:rPr>
          <w:rFonts w:ascii="Tahoma" w:hAnsi="Tahoma" w:cs="Tahoma"/>
          <w:sz w:val="18"/>
          <w:szCs w:val="18"/>
          <w:rtl/>
          <w:lang w:bidi="ar-SA"/>
        </w:rPr>
        <w:t xml:space="preserve"> العمل المهنيّة، تحسين الآليّات المهنيّة وتعزيز الرقابة. تتطلّب نتائج التقرير تقوية العلاقات المهنيّة </w:t>
      </w:r>
      <w:r w:rsidRPr="00052C43">
        <w:rPr>
          <w:rFonts w:ascii="Tahoma" w:hAnsi="Tahoma" w:cs="Tahoma"/>
          <w:sz w:val="18"/>
          <w:szCs w:val="18"/>
          <w:rtl/>
          <w:lang w:bidi="ar-SA"/>
        </w:rPr>
        <w:t>بين</w:t>
      </w:r>
      <w:r w:rsidRPr="00052C43">
        <w:rPr>
          <w:rFonts w:ascii="Tahoma" w:hAnsi="Tahoma" w:cs="Tahoma"/>
          <w:sz w:val="18"/>
          <w:szCs w:val="18"/>
          <w:rtl/>
          <w:lang w:bidi="ar-SA"/>
        </w:rPr>
        <w:t xml:space="preserve"> وزارة الأمن الداخليّ وبين الشرطة. إنّ الإصلاح السريع لنشاط الشرطة في مجال المشتريات ينطوي على أهمّيّة كبيرة، بالنسبة للمشتريات التي تعتبر أداة في سلّة أدوات الشرطة، التي يتعيّن عليها التعامل مع التحدّيات ذات التعقيدات الآخذة في الازدياد. </w:t>
      </w:r>
    </w:p>
    <w:p w:rsidR="00052C43" w:rsidRPr="00052C43" w:rsidP="00052C43">
      <w:pPr>
        <w:jc w:val="both"/>
        <w:rPr>
          <w:rFonts w:ascii="Tahoma" w:hAnsi="Tahoma" w:cs="Tahoma"/>
          <w:sz w:val="18"/>
          <w:szCs w:val="18"/>
          <w:rtl/>
          <w:lang w:bidi="ar-SA"/>
        </w:rPr>
      </w:pPr>
      <w:r w:rsidRPr="00052C43">
        <w:rPr>
          <w:rFonts w:ascii="Tahoma" w:hAnsi="Tahoma" w:cs="Tahoma"/>
          <w:sz w:val="18"/>
          <w:szCs w:val="18"/>
          <w:rtl/>
          <w:lang w:bidi="ar-SA"/>
        </w:rPr>
        <w:t xml:space="preserve">الشرطة كهيئة مسؤولة عن إنفاذ القانون ملزمةٌ بالعمل بحيث تعمل منظومة المشتريات لديها وفقًا للتعليمات والمبادئ التي ينصّ عليها القانون، بنزاهة، كفاءة، شفافيّة ومساواة. مثل هذا الإصلاح يعزّز ثقة الجمهور في الشرطة، ويضمن التصرّف بمسؤوليّة والاستخدام الحذر للأموال العامّة. </w:t>
      </w:r>
    </w:p>
    <w:p w:rsidR="00052C43" w:rsidRPr="00052C43" w:rsidP="00052C43">
      <w:pPr>
        <w:jc w:val="both"/>
        <w:rPr>
          <w:rFonts w:ascii="Tahoma" w:hAnsi="Tahoma" w:cs="Tahoma"/>
          <w:sz w:val="18"/>
          <w:szCs w:val="18"/>
          <w:rtl/>
          <w:lang w:bidi="ar-SA"/>
        </w:rPr>
      </w:pPr>
      <w:r w:rsidRPr="00052C43">
        <w:rPr>
          <w:rFonts w:ascii="Tahoma" w:hAnsi="Tahoma" w:cs="Tahoma"/>
          <w:sz w:val="18"/>
          <w:szCs w:val="18"/>
          <w:rtl/>
          <w:lang w:bidi="ar-SA"/>
        </w:rPr>
        <w:t xml:space="preserve"> من المناسب أن تشرف وزارة الماليّة على النواقص التي تمّ الكشف عنها، وكذلك أن تشارك نتائج هذا التقرير مع منظومة المشتريات الحكوميّة بأكملها، والنهوض بسيرورة استخلاص الدروس والعبر في جميع الهيئات المعنيّة؛ بغية </w:t>
      </w:r>
      <w:r w:rsidRPr="00052C43">
        <w:rPr>
          <w:rFonts w:ascii="Tahoma" w:hAnsi="Tahoma" w:cs="Tahoma"/>
          <w:sz w:val="18"/>
          <w:szCs w:val="18"/>
          <w:rtl/>
          <w:lang w:bidi="ar-SA"/>
        </w:rPr>
        <w:t>تذويت</w:t>
      </w:r>
      <w:r w:rsidRPr="00052C43">
        <w:rPr>
          <w:rFonts w:ascii="Tahoma" w:hAnsi="Tahoma" w:cs="Tahoma"/>
          <w:sz w:val="18"/>
          <w:szCs w:val="18"/>
          <w:rtl/>
          <w:lang w:bidi="ar-SA"/>
        </w:rPr>
        <w:t xml:space="preserve"> نتائج التقرير في عمل هذه المنظومة. </w:t>
      </w:r>
    </w:p>
    <w:p w:rsidR="00B07CDA" w:rsidRPr="004119B4" w:rsidP="00B07CDA">
      <w:pPr>
        <w:spacing w:after="180" w:line="380" w:lineRule="exact"/>
        <w:jc w:val="both"/>
        <w:rPr>
          <w:rFonts w:ascii="Tahoma" w:hAnsi="Tahoma" w:cs="Tahoma"/>
          <w:sz w:val="18"/>
          <w:rtl/>
          <w:lang w:bidi="ar-SA"/>
        </w:rPr>
      </w:pPr>
    </w:p>
    <w:p w:rsidR="00660AC7" w:rsidRPr="00170230" w:rsidP="00660AC7">
      <w:pPr>
        <w:tabs>
          <w:tab w:val="center" w:pos="4535"/>
        </w:tabs>
        <w:spacing w:before="36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51509" cy="720000"/>
            <wp:effectExtent l="0" t="0" r="1270" b="4445"/>
            <wp:docPr id="5"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חתימה - יוסף שפירא.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C126AB" w:rsidRPr="009B7FD5" w:rsidP="00091821">
      <w:pPr>
        <w:widowControl w:val="0"/>
        <w:tabs>
          <w:tab w:val="center" w:pos="4535"/>
        </w:tabs>
        <w:spacing w:after="0" w:line="280" w:lineRule="exact"/>
        <w:rPr>
          <w:rFonts w:ascii="Tahoma" w:hAnsi="Tahoma" w:cs="Tahoma"/>
          <w:b/>
          <w:bCs/>
          <w:sz w:val="20"/>
          <w:szCs w:val="20"/>
          <w:rtl/>
          <w:lang w:bidi="ar-AE"/>
        </w:rPr>
      </w:pPr>
      <w:r w:rsidRPr="00D70CA7">
        <w:rPr>
          <w:rFonts w:ascii="Tahoma" w:hAnsi="Tahoma" w:cs="Tahoma"/>
          <w:b/>
          <w:bCs/>
          <w:sz w:val="18"/>
          <w:szCs w:val="18"/>
          <w:lang w:bidi="ar-SA"/>
        </w:rPr>
        <w:tab/>
      </w:r>
      <w:r w:rsidRPr="009B7FD5">
        <w:rPr>
          <w:rFonts w:ascii="Tahoma" w:hAnsi="Tahoma" w:cs="Tahoma"/>
          <w:b/>
          <w:bCs/>
          <w:sz w:val="20"/>
          <w:szCs w:val="20"/>
          <w:rtl/>
          <w:lang w:bidi="ar-SA"/>
        </w:rPr>
        <w:t xml:space="preserve">يوسف حاييم شفيرا, قاض </w:t>
      </w:r>
      <w:r w:rsidRPr="009B7FD5">
        <w:rPr>
          <w:rFonts w:ascii="Tahoma" w:hAnsi="Tahoma" w:cs="Tahoma"/>
          <w:b/>
          <w:bCs/>
          <w:sz w:val="20"/>
          <w:szCs w:val="20"/>
          <w:rtl/>
          <w:lang w:bidi="ar-AE"/>
        </w:rPr>
        <w:t>(متقاعد)</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مراقب</w:t>
      </w:r>
      <w:r w:rsidRPr="009B7FD5">
        <w:rPr>
          <w:rFonts w:ascii="Tahoma" w:hAnsi="Tahoma" w:cs="Tahoma"/>
          <w:sz w:val="20"/>
          <w:szCs w:val="20"/>
          <w:rtl/>
          <w:lang w:bidi="ar-SA"/>
        </w:rPr>
        <w:t xml:space="preserve"> الدولة</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ومندوب</w:t>
      </w:r>
      <w:r w:rsidRPr="009B7FD5">
        <w:rPr>
          <w:rFonts w:ascii="Tahoma" w:hAnsi="Tahoma" w:cs="Tahoma"/>
          <w:sz w:val="20"/>
          <w:szCs w:val="20"/>
          <w:rtl/>
          <w:lang w:bidi="ar-SA"/>
        </w:rPr>
        <w:t xml:space="preserve"> شكاوى الجمهور</w:t>
      </w:r>
    </w:p>
    <w:p w:rsidR="003C726F" w:rsidRPr="00DC0D67" w:rsidP="003C726F">
      <w:pPr>
        <w:spacing w:line="240" w:lineRule="exact"/>
        <w:jc w:val="both"/>
        <w:rPr>
          <w:rFonts w:ascii="Sakkal Majalla" w:hAnsi="Sakkal Majalla" w:cs="Sakkal Majalla"/>
          <w:sz w:val="32"/>
          <w:szCs w:val="32"/>
          <w:rtl/>
        </w:rPr>
      </w:pPr>
    </w:p>
    <w:p w:rsidR="004119B4" w:rsidRPr="004119B4" w:rsidP="004119B4">
      <w:pPr>
        <w:widowControl w:val="0"/>
        <w:tabs>
          <w:tab w:val="center" w:pos="4746"/>
        </w:tabs>
        <w:spacing w:after="0" w:line="280" w:lineRule="exact"/>
        <w:rPr>
          <w:rFonts w:ascii="Tahoma" w:hAnsi="Tahoma" w:cs="Tahoma"/>
          <w:sz w:val="20"/>
          <w:szCs w:val="20"/>
          <w:rtl/>
        </w:rPr>
      </w:pPr>
      <w:bookmarkEnd w:id="0"/>
      <w:bookmarkEnd w:id="1"/>
      <w:bookmarkEnd w:id="2"/>
      <w:bookmarkEnd w:id="3"/>
      <w:bookmarkEnd w:id="4"/>
      <w:r w:rsidRPr="00EF51AF">
        <w:rPr>
          <w:rFonts w:ascii="Tahoma" w:hAnsi="Tahoma" w:cs="Tahoma" w:hint="eastAsia"/>
          <w:sz w:val="20"/>
          <w:szCs w:val="20"/>
          <w:rtl/>
          <w:lang w:bidi="ar-SA"/>
        </w:rPr>
        <w:t>أورشليم</w:t>
      </w:r>
      <w:r w:rsidRPr="00EF51AF">
        <w:rPr>
          <w:rFonts w:ascii="Tahoma" w:hAnsi="Tahoma" w:cs="Tahoma"/>
          <w:sz w:val="20"/>
          <w:szCs w:val="20"/>
          <w:rtl/>
          <w:lang w:bidi="ar-SA"/>
        </w:rPr>
        <w:t xml:space="preserve"> </w:t>
      </w:r>
      <w:r w:rsidRPr="00EF51AF">
        <w:rPr>
          <w:rFonts w:ascii="Tahoma" w:hAnsi="Tahoma" w:cs="Tahoma" w:hint="eastAsia"/>
          <w:sz w:val="20"/>
          <w:szCs w:val="20"/>
          <w:rtl/>
          <w:lang w:bidi="ar-SA"/>
        </w:rPr>
        <w:t>القدس،</w:t>
      </w:r>
      <w:r w:rsidRPr="00EF51AF">
        <w:rPr>
          <w:rFonts w:ascii="Tahoma" w:hAnsi="Tahoma" w:cs="Tahoma"/>
          <w:sz w:val="20"/>
          <w:szCs w:val="20"/>
          <w:rtl/>
          <w:lang w:bidi="ar-SA"/>
        </w:rPr>
        <w:t xml:space="preserve"> </w:t>
      </w:r>
      <w:r w:rsidRPr="00EF51AF">
        <w:rPr>
          <w:rFonts w:ascii="Tahoma" w:hAnsi="Tahoma" w:cs="Tahoma" w:hint="eastAsia"/>
          <w:sz w:val="20"/>
          <w:szCs w:val="20"/>
          <w:rtl/>
          <w:lang w:bidi="ar-SA"/>
        </w:rPr>
        <w:t>آذار</w:t>
      </w:r>
      <w:r w:rsidRPr="00660AC7" w:rsidR="00660AC7">
        <w:rPr>
          <w:rFonts w:ascii="Tahoma" w:hAnsi="Tahoma" w:cs="Tahoma"/>
          <w:sz w:val="20"/>
          <w:szCs w:val="20"/>
          <w:rtl/>
          <w:lang w:bidi="ar-SA"/>
        </w:rPr>
        <w:t xml:space="preserve"> 2019</w:t>
      </w:r>
    </w:p>
    <w:p w:rsidR="000F4E51" w:rsidP="007B5426">
      <w:pPr>
        <w:rPr>
          <w:rtl/>
        </w:rPr>
      </w:pPr>
    </w:p>
    <w:sectPr w:rsidSect="00EE5E4A">
      <w:headerReference w:type="even" r:id="rId7"/>
      <w:headerReference w:type="default" r:id="rId8"/>
      <w:headerReference w:type="first" r:id="rId9"/>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altName w:val="Arial"/>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93C98" w:rsidRPr="008A007A" w:rsidP="008A007A">
      <w:pPr>
        <w:pStyle w:val="Footer"/>
      </w:pPr>
    </w:p>
  </w:footnote>
  <w:footnote w:type="continuationSeparator" w:id="1">
    <w:p w:rsidR="00093C98" w:rsidP="00CB3322">
      <w:pPr>
        <w:spacing w:after="0" w:line="240" w:lineRule="auto"/>
      </w:pPr>
      <w:r>
        <w:continuationSeparator/>
      </w:r>
    </w:p>
    <w:p w:rsidR="00093C98"/>
  </w:footnote>
  <w:footnote w:id="2">
    <w:p w:rsidR="00052C43" w:rsidRPr="00052C43" w:rsidP="00052C43">
      <w:pPr>
        <w:pStyle w:val="FootnoteText"/>
        <w:spacing w:after="40" w:line="240" w:lineRule="exact"/>
        <w:ind w:left="397" w:hanging="397"/>
        <w:jc w:val="both"/>
        <w:rPr>
          <w:rStyle w:val="FootnoteReference"/>
          <w:rFonts w:ascii="Tahoma" w:hAnsi="Tahoma" w:cs="Tahoma"/>
          <w:sz w:val="16"/>
          <w:szCs w:val="16"/>
          <w:vertAlign w:val="baseline"/>
        </w:rPr>
      </w:pPr>
      <w:r w:rsidRPr="00052C43">
        <w:rPr>
          <w:rStyle w:val="FootnoteReference"/>
          <w:rFonts w:ascii="Tahoma" w:hAnsi="Tahoma" w:cs="Tahoma"/>
          <w:sz w:val="16"/>
          <w:szCs w:val="16"/>
          <w:vertAlign w:val="baseline"/>
        </w:rPr>
        <w:footnoteRef/>
      </w:r>
      <w:r w:rsidRPr="00052C43">
        <w:rPr>
          <w:rStyle w:val="FootnoteReference"/>
          <w:rFonts w:ascii="Tahoma" w:hAnsi="Tahoma" w:cs="Tahoma"/>
          <w:sz w:val="16"/>
          <w:szCs w:val="16"/>
          <w:vertAlign w:val="baseline"/>
          <w:rtl/>
        </w:rPr>
        <w:t xml:space="preserve"> </w:t>
      </w:r>
      <w:r w:rsidRPr="00052C43">
        <w:rPr>
          <w:rStyle w:val="FootnoteReference"/>
          <w:rFonts w:ascii="Tahoma" w:hAnsi="Tahoma" w:cs="Tahoma"/>
          <w:sz w:val="16"/>
          <w:szCs w:val="16"/>
          <w:vertAlign w:val="baseline"/>
          <w:rtl/>
        </w:rPr>
        <w:tab/>
      </w:r>
      <w:r w:rsidRPr="00052C43">
        <w:rPr>
          <w:rStyle w:val="FootnoteReference"/>
          <w:rFonts w:ascii="Tahoma" w:hAnsi="Tahoma" w:cs="Tahoma" w:hint="cs"/>
          <w:sz w:val="16"/>
          <w:szCs w:val="16"/>
          <w:vertAlign w:val="baseline"/>
          <w:rtl/>
          <w:lang w:bidi="ar-SA"/>
        </w:rPr>
        <w:t>منظّمة التعاون والتنميّة الاقتصاديّة</w:t>
      </w:r>
      <w:r w:rsidRPr="00052C43">
        <w:rPr>
          <w:rStyle w:val="FootnoteReference"/>
          <w:rFonts w:ascii="Tahoma" w:hAnsi="Tahoma" w:cs="Tahoma"/>
          <w:sz w:val="16"/>
          <w:szCs w:val="16"/>
          <w:vertAlign w:val="baseline"/>
          <w:rtl/>
        </w:rPr>
        <w:t>.</w:t>
      </w:r>
    </w:p>
  </w:footnote>
  <w:footnote w:id="3">
    <w:p w:rsidR="00052C43" w:rsidP="00052C43">
      <w:pPr>
        <w:pStyle w:val="FootnoteText"/>
        <w:spacing w:after="40" w:line="240" w:lineRule="exact"/>
        <w:ind w:left="397" w:hanging="397"/>
        <w:jc w:val="both"/>
        <w:rPr>
          <w:rFonts w:ascii="Tahoma" w:hAnsi="Tahoma" w:cs="Tahoma"/>
          <w:sz w:val="16"/>
          <w:szCs w:val="16"/>
          <w:lang w:bidi="ar-SA"/>
        </w:rPr>
      </w:pPr>
      <w:r w:rsidRPr="00052C43">
        <w:rPr>
          <w:rStyle w:val="FootnoteReference"/>
          <w:rFonts w:ascii="Tahoma" w:hAnsi="Tahoma" w:cs="Tahoma"/>
          <w:sz w:val="16"/>
          <w:szCs w:val="16"/>
          <w:vertAlign w:val="baseline"/>
        </w:rPr>
        <w:footnoteRef/>
      </w:r>
      <w:r w:rsidRPr="00052C43">
        <w:rPr>
          <w:rStyle w:val="FootnoteReference"/>
          <w:rFonts w:ascii="Tahoma" w:hAnsi="Tahoma" w:cs="Tahoma"/>
          <w:sz w:val="16"/>
          <w:szCs w:val="16"/>
          <w:vertAlign w:val="baseline"/>
        </w:rPr>
        <w:tab/>
      </w:r>
      <w:r w:rsidRPr="00052C43">
        <w:rPr>
          <w:rStyle w:val="FootnoteReference"/>
          <w:rFonts w:ascii="Tahoma" w:hAnsi="Tahoma" w:cs="Tahoma" w:hint="eastAsia"/>
          <w:sz w:val="16"/>
          <w:szCs w:val="16"/>
          <w:vertAlign w:val="baseline"/>
          <w:rtl/>
          <w:lang w:bidi="ar-SA"/>
        </w:rPr>
        <w:t>انظر</w:t>
      </w:r>
      <w:r w:rsidRPr="00052C43">
        <w:rPr>
          <w:rStyle w:val="FootnoteReference"/>
          <w:rFonts w:ascii="Tahoma" w:hAnsi="Tahoma" w:cs="Tahoma"/>
          <w:sz w:val="16"/>
          <w:szCs w:val="16"/>
          <w:vertAlign w:val="baseline"/>
          <w:rtl/>
          <w:lang w:bidi="ar-SA"/>
        </w:rPr>
        <w:t>:</w:t>
      </w:r>
    </w:p>
    <w:p w:rsidR="00052C43" w:rsidRPr="00B95650" w:rsidP="00052C43">
      <w:pPr>
        <w:pStyle w:val="FootnoteText"/>
        <w:bidi w:val="0"/>
        <w:spacing w:after="0" w:line="240" w:lineRule="exact"/>
        <w:ind w:right="397"/>
        <w:rPr>
          <w:rFonts w:ascii="Tahoma" w:hAnsi="Tahoma" w:cs="Tahoma"/>
          <w:sz w:val="16"/>
          <w:szCs w:val="16"/>
        </w:rPr>
      </w:pPr>
      <w:r w:rsidRPr="00B95650">
        <w:rPr>
          <w:rFonts w:ascii="Tahoma" w:eastAsia="Times New Roman" w:hAnsi="Tahoma" w:cs="Tahoma"/>
          <w:sz w:val="16"/>
          <w:szCs w:val="16"/>
        </w:rPr>
        <w:t>OECD Principles for Integrity in Public Procurement, Pp. 9 (</w:t>
      </w:r>
      <w:r w:rsidRPr="00B95650">
        <w:rPr>
          <w:rFonts w:ascii="Tahoma" w:hAnsi="Tahoma" w:cs="Tahoma"/>
          <w:sz w:val="16"/>
          <w:szCs w:val="16"/>
        </w:rPr>
        <w:fldChar w:fldCharType="begin"/>
      </w:r>
      <w:r w:rsidRPr="00B95650">
        <w:rPr>
          <w:rFonts w:ascii="Tahoma" w:hAnsi="Tahoma" w:cs="Tahoma"/>
          <w:sz w:val="16"/>
          <w:szCs w:val="16"/>
        </w:rPr>
        <w:instrText xml:space="preserve"> HYPERLINK "https://www.oecd.org/gov/ethics/48994520.pdf)</w:instrText>
      </w:r>
      <w:r w:rsidRPr="00B95650">
        <w:rPr>
          <w:rFonts w:ascii="Tahoma" w:hAnsi="Tahoma" w:cs="Tahoma"/>
          <w:sz w:val="16"/>
          <w:szCs w:val="16"/>
        </w:rPr>
        <w:tab/>
      </w:r>
    </w:p>
    <w:p w:rsidR="00052C43" w:rsidP="00052C43">
      <w:pPr>
        <w:pStyle w:val="FootnoteText"/>
        <w:spacing w:after="40" w:line="240" w:lineRule="exact"/>
        <w:ind w:left="397" w:hanging="397"/>
        <w:jc w:val="both"/>
      </w:pPr>
      <w:r w:rsidRPr="00B95650">
        <w:rPr>
          <w:rFonts w:ascii="Tahoma" w:hAnsi="Tahoma" w:cs="Tahoma"/>
          <w:sz w:val="16"/>
          <w:szCs w:val="16"/>
        </w:rPr>
        <w:instrText xml:space="preserve">" </w:instrText>
      </w:r>
      <w:r w:rsidRPr="00B95650">
        <w:rPr>
          <w:rFonts w:ascii="Tahoma" w:hAnsi="Tahoma" w:cs="Tahoma"/>
          <w:sz w:val="16"/>
          <w:szCs w:val="16"/>
        </w:rPr>
        <w:fldChar w:fldCharType="separate"/>
      </w:r>
      <w:r w:rsidRPr="00B95650">
        <w:rPr>
          <w:rStyle w:val="Hyperlink"/>
          <w:rFonts w:ascii="Tahoma" w:hAnsi="Tahoma" w:cs="Tahoma"/>
          <w:sz w:val="16"/>
          <w:szCs w:val="16"/>
        </w:rPr>
        <w:t>https://www.oecd.org/gov/ethics/48994520.pdf)</w:t>
      </w:r>
      <w:r w:rsidRPr="00B95650">
        <w:rPr>
          <w:rFonts w:ascii="Tahoma" w:hAnsi="Tahoma" w:cs="Tahoma"/>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rsidRPr="000536D4" w:rsidP="005C76A4">
    <w:pPr>
      <w:spacing w:before="240" w:after="180" w:line="240" w:lineRule="auto"/>
      <w:rPr>
        <w:b/>
        <w:bCs/>
      </w:rPr>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Pr>
        <w:rFonts w:hint="eastAsia"/>
        <w:b/>
        <w:bCs/>
        <w:noProof/>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Pr>
        <w:rFonts w:ascii="Arial Bold" w:hAnsi="Arial Bold" w:eastAsiaTheme="majorEastAsia" w:cs="Tahoma" w:hint="cs"/>
        <w:color w:val="0B5294" w:themeColor="accent1" w:themeShade="BF"/>
        <w:sz w:val="16"/>
        <w:szCs w:val="16"/>
        <w:rtl/>
      </w:rPr>
      <w:t>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rsidRPr="00D70CA7" w:rsidP="00FD6779">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FD6779" w:rsidR="00FD6779">
      <w:rPr>
        <w:rFonts w:ascii="Arial Bold" w:hAnsi="Arial Bold" w:eastAsiaTheme="majorEastAsia" w:cs="Tahoma" w:hint="eastAsia"/>
        <w:noProof/>
        <w:color w:val="0B5294" w:themeColor="accent1" w:themeShade="BF"/>
        <w:sz w:val="16"/>
        <w:szCs w:val="16"/>
        <w:rtl/>
      </w:rPr>
      <w:t>מערך</w:t>
    </w:r>
    <w:r w:rsidRPr="00FD6779" w:rsidR="00FD6779">
      <w:rPr>
        <w:rFonts w:ascii="Arial Bold" w:hAnsi="Arial Bold" w:eastAsiaTheme="majorEastAsia" w:cs="Tahoma"/>
        <w:noProof/>
        <w:color w:val="0B5294" w:themeColor="accent1" w:themeShade="BF"/>
        <w:sz w:val="16"/>
        <w:szCs w:val="16"/>
        <w:rtl/>
      </w:rPr>
      <w:t xml:space="preserve"> </w:t>
    </w:r>
    <w:r w:rsidRPr="00FD6779" w:rsidR="00FD6779">
      <w:rPr>
        <w:rFonts w:ascii="Arial Bold" w:hAnsi="Arial Bold" w:eastAsiaTheme="majorEastAsia" w:cs="Tahoma" w:hint="eastAsia"/>
        <w:noProof/>
        <w:color w:val="0B5294" w:themeColor="accent1" w:themeShade="BF"/>
        <w:sz w:val="16"/>
        <w:szCs w:val="16"/>
        <w:rtl/>
      </w:rPr>
      <w:t>הרכש</w:t>
    </w:r>
    <w:r w:rsidRPr="00FD6779" w:rsidR="00FD6779">
      <w:rPr>
        <w:rFonts w:ascii="Arial Bold" w:hAnsi="Arial Bold" w:eastAsiaTheme="majorEastAsia" w:cs="Tahoma"/>
        <w:noProof/>
        <w:color w:val="0B5294" w:themeColor="accent1" w:themeShade="BF"/>
        <w:sz w:val="16"/>
        <w:szCs w:val="16"/>
        <w:rtl/>
      </w:rPr>
      <w:t xml:space="preserve"> </w:t>
    </w:r>
    <w:r w:rsidRPr="00FD6779" w:rsidR="00FD6779">
      <w:rPr>
        <w:rFonts w:ascii="Arial Bold" w:hAnsi="Arial Bold" w:eastAsiaTheme="majorEastAsia" w:cs="Tahoma" w:hint="eastAsia"/>
        <w:noProof/>
        <w:color w:val="0B5294" w:themeColor="accent1" w:themeShade="BF"/>
        <w:sz w:val="16"/>
        <w:szCs w:val="16"/>
        <w:rtl/>
      </w:rPr>
      <w:t>במשטרת</w:t>
    </w:r>
    <w:r w:rsidRPr="00FD6779" w:rsidR="00FD6779">
      <w:rPr>
        <w:rFonts w:ascii="Arial Bold" w:hAnsi="Arial Bold" w:eastAsiaTheme="majorEastAsia" w:cs="Tahoma"/>
        <w:noProof/>
        <w:color w:val="0B5294" w:themeColor="accent1" w:themeShade="BF"/>
        <w:sz w:val="16"/>
        <w:szCs w:val="16"/>
        <w:rtl/>
      </w:rPr>
      <w:t xml:space="preserve"> </w:t>
    </w:r>
    <w:r w:rsidRPr="00FD6779" w:rsidR="00FD6779">
      <w:rPr>
        <w:rFonts w:ascii="Arial Bold" w:hAnsi="Arial Bold" w:eastAsiaTheme="majorEastAsia" w:cs="Tahoma" w:hint="eastAsia"/>
        <w:noProof/>
        <w:color w:val="0B5294" w:themeColor="accent1" w:themeShade="BF"/>
        <w:sz w:val="16"/>
        <w:szCs w:val="16"/>
        <w:rtl/>
      </w:rPr>
      <w:t>ישראל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5pt" o:bullet="t">
        <v:imagedata r:id="rId1" o:title=""/>
      </v:shape>
    </w:pict>
  </w:numPicBullet>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469D4907"/>
    <w:multiLevelType w:val="hybridMultilevel"/>
    <w:tmpl w:val="24FA095A"/>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F22D4F"/>
    <w:multiLevelType w:val="hybridMultilevel"/>
    <w:tmpl w:val="F6F8185A"/>
    <w:lvl w:ilvl="0">
      <w:start w:val="1"/>
      <w:numFmt w:val="decimal"/>
      <w:lvlText w:val="%1."/>
      <w:lvlJc w:val="left"/>
      <w:pPr>
        <w:ind w:left="720" w:hanging="360"/>
      </w:pPr>
      <w:rPr>
        <w:rFonts w:cs="Tahoma" w:hint="default"/>
        <w:bCs w:val="0"/>
        <w:iCs w:val="0"/>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4906BA"/>
    <w:multiLevelType w:val="hybridMultilevel"/>
    <w:tmpl w:val="DA9060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F2109E"/>
    <w:multiLevelType w:val="hybridMultilevel"/>
    <w:tmpl w:val="4B84645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9">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9F246EF"/>
    <w:multiLevelType w:val="hybridMultilevel"/>
    <w:tmpl w:val="144CF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20"/>
  </w:num>
  <w:num w:numId="4">
    <w:abstractNumId w:val="5"/>
  </w:num>
  <w:num w:numId="5">
    <w:abstractNumId w:val="19"/>
  </w:num>
  <w:num w:numId="6">
    <w:abstractNumId w:val="3"/>
  </w:num>
  <w:num w:numId="7">
    <w:abstractNumId w:val="22"/>
  </w:num>
  <w:num w:numId="8">
    <w:abstractNumId w:val="23"/>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 w:numId="36">
    <w:abstractNumId w:val="18"/>
  </w:num>
  <w:num w:numId="37">
    <w:abstractNumId w:val="21"/>
  </w:num>
  <w:num w:numId="38">
    <w:abstractNumId w:val="5"/>
  </w:num>
  <w:num w:numId="39">
    <w:abstractNumId w:val="5"/>
  </w:num>
  <w:num w:numId="40">
    <w:abstractNumId w:val="5"/>
  </w:num>
  <w:num w:numId="41">
    <w:abstractNumId w:val="5"/>
  </w:num>
  <w:num w:numId="42">
    <w:abstractNumId w:val="16"/>
  </w:num>
  <w:num w:numId="43">
    <w:abstractNumId w:val="5"/>
  </w:num>
  <w:num w:numId="44">
    <w:abstractNumId w:val="5"/>
  </w:num>
  <w:num w:numId="45">
    <w:abstractNumId w:val="5"/>
  </w:num>
  <w:num w:numId="46">
    <w:abstractNumId w:val="5"/>
  </w:num>
  <w:num w:numId="47">
    <w:abstractNumId w:val="5"/>
  </w:num>
  <w:num w:numId="48">
    <w:abstractNumId w:val="5"/>
  </w:num>
  <w:num w:numId="49">
    <w:abstractNumId w:val="15"/>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050"/>
    <w:rsid w:val="000114F5"/>
    <w:rsid w:val="00011508"/>
    <w:rsid w:val="000123B5"/>
    <w:rsid w:val="00012511"/>
    <w:rsid w:val="00012E42"/>
    <w:rsid w:val="00012FC5"/>
    <w:rsid w:val="00013127"/>
    <w:rsid w:val="00015D42"/>
    <w:rsid w:val="00017099"/>
    <w:rsid w:val="000174BC"/>
    <w:rsid w:val="00021662"/>
    <w:rsid w:val="000225D3"/>
    <w:rsid w:val="00024291"/>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4F5A"/>
    <w:rsid w:val="000461F4"/>
    <w:rsid w:val="00046B8C"/>
    <w:rsid w:val="00046DDB"/>
    <w:rsid w:val="00046F96"/>
    <w:rsid w:val="000473A2"/>
    <w:rsid w:val="0004763A"/>
    <w:rsid w:val="000504A0"/>
    <w:rsid w:val="00051008"/>
    <w:rsid w:val="000523CB"/>
    <w:rsid w:val="00052C43"/>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544"/>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3C9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3F7"/>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C35"/>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AAD"/>
    <w:rsid w:val="000F0D79"/>
    <w:rsid w:val="000F3B27"/>
    <w:rsid w:val="000F4951"/>
    <w:rsid w:val="000F4997"/>
    <w:rsid w:val="000F49B9"/>
    <w:rsid w:val="000F4C6C"/>
    <w:rsid w:val="000F4E31"/>
    <w:rsid w:val="000F4E5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067F"/>
    <w:rsid w:val="00141E28"/>
    <w:rsid w:val="00143613"/>
    <w:rsid w:val="00144589"/>
    <w:rsid w:val="00144786"/>
    <w:rsid w:val="00145DAD"/>
    <w:rsid w:val="00146345"/>
    <w:rsid w:val="00150E90"/>
    <w:rsid w:val="0015132E"/>
    <w:rsid w:val="001519D2"/>
    <w:rsid w:val="001522A5"/>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86D"/>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AB7"/>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11E"/>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6FD"/>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5F03"/>
    <w:rsid w:val="00206427"/>
    <w:rsid w:val="00206924"/>
    <w:rsid w:val="00206B50"/>
    <w:rsid w:val="0020737B"/>
    <w:rsid w:val="00207C31"/>
    <w:rsid w:val="002110A0"/>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1B6D"/>
    <w:rsid w:val="0022265A"/>
    <w:rsid w:val="00222EFD"/>
    <w:rsid w:val="00223E18"/>
    <w:rsid w:val="00225614"/>
    <w:rsid w:val="00225E4F"/>
    <w:rsid w:val="00226BE5"/>
    <w:rsid w:val="00226D6C"/>
    <w:rsid w:val="00226E00"/>
    <w:rsid w:val="002303B8"/>
    <w:rsid w:val="00230D48"/>
    <w:rsid w:val="0023147E"/>
    <w:rsid w:val="002314C8"/>
    <w:rsid w:val="00231F72"/>
    <w:rsid w:val="002330D7"/>
    <w:rsid w:val="00233EF1"/>
    <w:rsid w:val="002348BC"/>
    <w:rsid w:val="0023632E"/>
    <w:rsid w:val="00236CF1"/>
    <w:rsid w:val="0023718D"/>
    <w:rsid w:val="002373DF"/>
    <w:rsid w:val="00237E1A"/>
    <w:rsid w:val="00240202"/>
    <w:rsid w:val="0024074B"/>
    <w:rsid w:val="00240B64"/>
    <w:rsid w:val="00240FF7"/>
    <w:rsid w:val="002415B8"/>
    <w:rsid w:val="0024225C"/>
    <w:rsid w:val="002422F3"/>
    <w:rsid w:val="00242B03"/>
    <w:rsid w:val="00242D1D"/>
    <w:rsid w:val="00242DD2"/>
    <w:rsid w:val="002438EA"/>
    <w:rsid w:val="00243FB3"/>
    <w:rsid w:val="002449A8"/>
    <w:rsid w:val="00244F89"/>
    <w:rsid w:val="00245388"/>
    <w:rsid w:val="002455D9"/>
    <w:rsid w:val="002511A2"/>
    <w:rsid w:val="002518DB"/>
    <w:rsid w:val="002530C2"/>
    <w:rsid w:val="00255959"/>
    <w:rsid w:val="00255CC3"/>
    <w:rsid w:val="00257CAE"/>
    <w:rsid w:val="00260172"/>
    <w:rsid w:val="002630E9"/>
    <w:rsid w:val="00263139"/>
    <w:rsid w:val="002634FC"/>
    <w:rsid w:val="00264588"/>
    <w:rsid w:val="002647FF"/>
    <w:rsid w:val="00264915"/>
    <w:rsid w:val="002649D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20D"/>
    <w:rsid w:val="002E19D0"/>
    <w:rsid w:val="002E2762"/>
    <w:rsid w:val="002E2A24"/>
    <w:rsid w:val="002E317F"/>
    <w:rsid w:val="002E3363"/>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19BB"/>
    <w:rsid w:val="003027AA"/>
    <w:rsid w:val="00302CDA"/>
    <w:rsid w:val="00302D1E"/>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2B9"/>
    <w:rsid w:val="00333FB0"/>
    <w:rsid w:val="00334BBC"/>
    <w:rsid w:val="003353AE"/>
    <w:rsid w:val="00335960"/>
    <w:rsid w:val="00335F65"/>
    <w:rsid w:val="00336A22"/>
    <w:rsid w:val="00336A9C"/>
    <w:rsid w:val="003416E1"/>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14A"/>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978B2"/>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1DE0"/>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15EA"/>
    <w:rsid w:val="003E323C"/>
    <w:rsid w:val="003E5275"/>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B8A"/>
    <w:rsid w:val="00403F22"/>
    <w:rsid w:val="00404D52"/>
    <w:rsid w:val="00405C49"/>
    <w:rsid w:val="00406125"/>
    <w:rsid w:val="00406649"/>
    <w:rsid w:val="00406A0E"/>
    <w:rsid w:val="004101F3"/>
    <w:rsid w:val="00410B08"/>
    <w:rsid w:val="004113F4"/>
    <w:rsid w:val="004119B4"/>
    <w:rsid w:val="00411D15"/>
    <w:rsid w:val="00412094"/>
    <w:rsid w:val="004128AD"/>
    <w:rsid w:val="00412B89"/>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5E9A"/>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FA7"/>
    <w:rsid w:val="00445112"/>
    <w:rsid w:val="00445C07"/>
    <w:rsid w:val="00445CE5"/>
    <w:rsid w:val="00446104"/>
    <w:rsid w:val="0044687F"/>
    <w:rsid w:val="00446C74"/>
    <w:rsid w:val="00447EBD"/>
    <w:rsid w:val="004505D6"/>
    <w:rsid w:val="00451F72"/>
    <w:rsid w:val="00451F8B"/>
    <w:rsid w:val="004535E7"/>
    <w:rsid w:val="004557A8"/>
    <w:rsid w:val="00456430"/>
    <w:rsid w:val="004564D4"/>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67D"/>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1C5"/>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84A"/>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AD4"/>
    <w:rsid w:val="00510C73"/>
    <w:rsid w:val="00511771"/>
    <w:rsid w:val="00511D75"/>
    <w:rsid w:val="00512355"/>
    <w:rsid w:val="005124C7"/>
    <w:rsid w:val="00512C90"/>
    <w:rsid w:val="00512CF1"/>
    <w:rsid w:val="00513862"/>
    <w:rsid w:val="00513FBC"/>
    <w:rsid w:val="00514E43"/>
    <w:rsid w:val="00515123"/>
    <w:rsid w:val="0051556D"/>
    <w:rsid w:val="00517B27"/>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6D73"/>
    <w:rsid w:val="005377A6"/>
    <w:rsid w:val="00540FE0"/>
    <w:rsid w:val="0054263B"/>
    <w:rsid w:val="0054264F"/>
    <w:rsid w:val="00542ACA"/>
    <w:rsid w:val="005437E8"/>
    <w:rsid w:val="005438E7"/>
    <w:rsid w:val="00543BD2"/>
    <w:rsid w:val="00543F87"/>
    <w:rsid w:val="00544C20"/>
    <w:rsid w:val="00544E40"/>
    <w:rsid w:val="00545D3C"/>
    <w:rsid w:val="00546351"/>
    <w:rsid w:val="005468B0"/>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733"/>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BE4"/>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487E"/>
    <w:rsid w:val="005C593E"/>
    <w:rsid w:val="005C7407"/>
    <w:rsid w:val="005C76A4"/>
    <w:rsid w:val="005D0510"/>
    <w:rsid w:val="005D1295"/>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54"/>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07C26"/>
    <w:rsid w:val="00610160"/>
    <w:rsid w:val="00611F89"/>
    <w:rsid w:val="0061200A"/>
    <w:rsid w:val="0061213D"/>
    <w:rsid w:val="006133CC"/>
    <w:rsid w:val="00613A26"/>
    <w:rsid w:val="00613B46"/>
    <w:rsid w:val="00613B94"/>
    <w:rsid w:val="00613F6E"/>
    <w:rsid w:val="0061400C"/>
    <w:rsid w:val="00614331"/>
    <w:rsid w:val="006152BC"/>
    <w:rsid w:val="00615BC7"/>
    <w:rsid w:val="006162C2"/>
    <w:rsid w:val="00616A04"/>
    <w:rsid w:val="00622048"/>
    <w:rsid w:val="00622250"/>
    <w:rsid w:val="00622944"/>
    <w:rsid w:val="00623093"/>
    <w:rsid w:val="00624217"/>
    <w:rsid w:val="00624795"/>
    <w:rsid w:val="00624B91"/>
    <w:rsid w:val="0062578F"/>
    <w:rsid w:val="00625EFD"/>
    <w:rsid w:val="00626741"/>
    <w:rsid w:val="006274AF"/>
    <w:rsid w:val="00627BBF"/>
    <w:rsid w:val="00630DCA"/>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0A4"/>
    <w:rsid w:val="0065147A"/>
    <w:rsid w:val="00651AFD"/>
    <w:rsid w:val="00651D4F"/>
    <w:rsid w:val="00652312"/>
    <w:rsid w:val="00652A0E"/>
    <w:rsid w:val="00652ADF"/>
    <w:rsid w:val="00655A3C"/>
    <w:rsid w:val="00655C9A"/>
    <w:rsid w:val="006562BE"/>
    <w:rsid w:val="00656936"/>
    <w:rsid w:val="00656EF1"/>
    <w:rsid w:val="006571FD"/>
    <w:rsid w:val="006600F0"/>
    <w:rsid w:val="00660683"/>
    <w:rsid w:val="00660AC7"/>
    <w:rsid w:val="006620DC"/>
    <w:rsid w:val="006638B1"/>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0F8A"/>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15B"/>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960"/>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10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3DA4"/>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5F0"/>
    <w:rsid w:val="00736A81"/>
    <w:rsid w:val="00736D39"/>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859"/>
    <w:rsid w:val="00762B63"/>
    <w:rsid w:val="00763840"/>
    <w:rsid w:val="00763FE4"/>
    <w:rsid w:val="0076417E"/>
    <w:rsid w:val="00764C43"/>
    <w:rsid w:val="00766F23"/>
    <w:rsid w:val="00767C08"/>
    <w:rsid w:val="00770607"/>
    <w:rsid w:val="0077066B"/>
    <w:rsid w:val="00770C49"/>
    <w:rsid w:val="00770FE5"/>
    <w:rsid w:val="00772DF5"/>
    <w:rsid w:val="007745B9"/>
    <w:rsid w:val="007746E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8C1"/>
    <w:rsid w:val="00791D84"/>
    <w:rsid w:val="00792192"/>
    <w:rsid w:val="00792257"/>
    <w:rsid w:val="00792932"/>
    <w:rsid w:val="00793681"/>
    <w:rsid w:val="00796B9C"/>
    <w:rsid w:val="00796C2E"/>
    <w:rsid w:val="007A071F"/>
    <w:rsid w:val="007A2601"/>
    <w:rsid w:val="007A6F7E"/>
    <w:rsid w:val="007A73F1"/>
    <w:rsid w:val="007A76BA"/>
    <w:rsid w:val="007A7AD4"/>
    <w:rsid w:val="007B1194"/>
    <w:rsid w:val="007B1532"/>
    <w:rsid w:val="007B24B1"/>
    <w:rsid w:val="007B2A3E"/>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C7356"/>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1426"/>
    <w:rsid w:val="007E2125"/>
    <w:rsid w:val="007E277B"/>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5D75"/>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3DA5"/>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47106"/>
    <w:rsid w:val="008475E5"/>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66C"/>
    <w:rsid w:val="008A281D"/>
    <w:rsid w:val="008A3686"/>
    <w:rsid w:val="008A3BB9"/>
    <w:rsid w:val="008A3FF2"/>
    <w:rsid w:val="008A4077"/>
    <w:rsid w:val="008A4453"/>
    <w:rsid w:val="008A6F4C"/>
    <w:rsid w:val="008A74DD"/>
    <w:rsid w:val="008A76FB"/>
    <w:rsid w:val="008B059F"/>
    <w:rsid w:val="008B256F"/>
    <w:rsid w:val="008B2C10"/>
    <w:rsid w:val="008B3389"/>
    <w:rsid w:val="008B5613"/>
    <w:rsid w:val="008B5617"/>
    <w:rsid w:val="008B57E5"/>
    <w:rsid w:val="008B59DF"/>
    <w:rsid w:val="008B6FFC"/>
    <w:rsid w:val="008C03D1"/>
    <w:rsid w:val="008C1E66"/>
    <w:rsid w:val="008C25DE"/>
    <w:rsid w:val="008C26B7"/>
    <w:rsid w:val="008C30B6"/>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033"/>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2608"/>
    <w:rsid w:val="00903071"/>
    <w:rsid w:val="00903450"/>
    <w:rsid w:val="009053DA"/>
    <w:rsid w:val="009059FF"/>
    <w:rsid w:val="009060FE"/>
    <w:rsid w:val="00910747"/>
    <w:rsid w:val="00910A12"/>
    <w:rsid w:val="00910E3B"/>
    <w:rsid w:val="009122D0"/>
    <w:rsid w:val="009124AF"/>
    <w:rsid w:val="009125B7"/>
    <w:rsid w:val="00912CFB"/>
    <w:rsid w:val="009139E6"/>
    <w:rsid w:val="009175E4"/>
    <w:rsid w:val="00917AF0"/>
    <w:rsid w:val="00917C5F"/>
    <w:rsid w:val="00920A37"/>
    <w:rsid w:val="00920ACC"/>
    <w:rsid w:val="00920F8A"/>
    <w:rsid w:val="009228A5"/>
    <w:rsid w:val="00922D49"/>
    <w:rsid w:val="00922E7F"/>
    <w:rsid w:val="00923EFB"/>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3BF8"/>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462E"/>
    <w:rsid w:val="00955290"/>
    <w:rsid w:val="00955EBD"/>
    <w:rsid w:val="009568B5"/>
    <w:rsid w:val="00962395"/>
    <w:rsid w:val="00962F77"/>
    <w:rsid w:val="00963193"/>
    <w:rsid w:val="00964AA4"/>
    <w:rsid w:val="00964B5B"/>
    <w:rsid w:val="00964DE9"/>
    <w:rsid w:val="00965598"/>
    <w:rsid w:val="009665B5"/>
    <w:rsid w:val="0096660F"/>
    <w:rsid w:val="009677C7"/>
    <w:rsid w:val="009712EA"/>
    <w:rsid w:val="00972642"/>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4DA"/>
    <w:rsid w:val="009C7936"/>
    <w:rsid w:val="009C7B49"/>
    <w:rsid w:val="009D0074"/>
    <w:rsid w:val="009D0ED1"/>
    <w:rsid w:val="009D1A50"/>
    <w:rsid w:val="009D2E7D"/>
    <w:rsid w:val="009D43B4"/>
    <w:rsid w:val="009D491B"/>
    <w:rsid w:val="009D65BC"/>
    <w:rsid w:val="009D7C5D"/>
    <w:rsid w:val="009D7F07"/>
    <w:rsid w:val="009D7F36"/>
    <w:rsid w:val="009E124C"/>
    <w:rsid w:val="009E2034"/>
    <w:rsid w:val="009E2122"/>
    <w:rsid w:val="009E2628"/>
    <w:rsid w:val="009E2729"/>
    <w:rsid w:val="009E29EC"/>
    <w:rsid w:val="009E2E72"/>
    <w:rsid w:val="009E2FC5"/>
    <w:rsid w:val="009E343C"/>
    <w:rsid w:val="009E36B4"/>
    <w:rsid w:val="009E4504"/>
    <w:rsid w:val="009E4F58"/>
    <w:rsid w:val="009E5242"/>
    <w:rsid w:val="009E5771"/>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69D2"/>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4E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0E31"/>
    <w:rsid w:val="00A6114C"/>
    <w:rsid w:val="00A6310F"/>
    <w:rsid w:val="00A63741"/>
    <w:rsid w:val="00A63E2A"/>
    <w:rsid w:val="00A6494D"/>
    <w:rsid w:val="00A64AFA"/>
    <w:rsid w:val="00A64BC4"/>
    <w:rsid w:val="00A64E0C"/>
    <w:rsid w:val="00A64FFB"/>
    <w:rsid w:val="00A65B5B"/>
    <w:rsid w:val="00A65E42"/>
    <w:rsid w:val="00A66E3D"/>
    <w:rsid w:val="00A67C77"/>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5FEE"/>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6741"/>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C26"/>
    <w:rsid w:val="00AD7241"/>
    <w:rsid w:val="00AE0583"/>
    <w:rsid w:val="00AE1E4E"/>
    <w:rsid w:val="00AE2012"/>
    <w:rsid w:val="00AE387A"/>
    <w:rsid w:val="00AE3E83"/>
    <w:rsid w:val="00AE3FB7"/>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55F"/>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274"/>
    <w:rsid w:val="00B56BB1"/>
    <w:rsid w:val="00B570C1"/>
    <w:rsid w:val="00B572E8"/>
    <w:rsid w:val="00B57514"/>
    <w:rsid w:val="00B57CE4"/>
    <w:rsid w:val="00B616D3"/>
    <w:rsid w:val="00B634DD"/>
    <w:rsid w:val="00B638B6"/>
    <w:rsid w:val="00B6458A"/>
    <w:rsid w:val="00B658C4"/>
    <w:rsid w:val="00B664B3"/>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5616"/>
    <w:rsid w:val="00B87630"/>
    <w:rsid w:val="00B90C3E"/>
    <w:rsid w:val="00B914C7"/>
    <w:rsid w:val="00B9160E"/>
    <w:rsid w:val="00B9248D"/>
    <w:rsid w:val="00B92AC7"/>
    <w:rsid w:val="00B95615"/>
    <w:rsid w:val="00B95650"/>
    <w:rsid w:val="00B96064"/>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000"/>
    <w:rsid w:val="00BB0D0A"/>
    <w:rsid w:val="00BB0DD3"/>
    <w:rsid w:val="00BB143A"/>
    <w:rsid w:val="00BB162C"/>
    <w:rsid w:val="00BB4C95"/>
    <w:rsid w:val="00BB58FC"/>
    <w:rsid w:val="00BB6D1C"/>
    <w:rsid w:val="00BB7874"/>
    <w:rsid w:val="00BC0FC9"/>
    <w:rsid w:val="00BC3302"/>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7384"/>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47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1386"/>
    <w:rsid w:val="00C22E13"/>
    <w:rsid w:val="00C22EB5"/>
    <w:rsid w:val="00C243CF"/>
    <w:rsid w:val="00C244FC"/>
    <w:rsid w:val="00C24A39"/>
    <w:rsid w:val="00C257A6"/>
    <w:rsid w:val="00C257E1"/>
    <w:rsid w:val="00C25ABF"/>
    <w:rsid w:val="00C2611D"/>
    <w:rsid w:val="00C3070D"/>
    <w:rsid w:val="00C308C8"/>
    <w:rsid w:val="00C31D0F"/>
    <w:rsid w:val="00C320E7"/>
    <w:rsid w:val="00C353BF"/>
    <w:rsid w:val="00C35EE4"/>
    <w:rsid w:val="00C4085B"/>
    <w:rsid w:val="00C409CD"/>
    <w:rsid w:val="00C41220"/>
    <w:rsid w:val="00C41706"/>
    <w:rsid w:val="00C43499"/>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1D1B"/>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16B"/>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5FA0"/>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8A"/>
    <w:rsid w:val="00D228C5"/>
    <w:rsid w:val="00D228EE"/>
    <w:rsid w:val="00D2438E"/>
    <w:rsid w:val="00D255A3"/>
    <w:rsid w:val="00D25F82"/>
    <w:rsid w:val="00D27368"/>
    <w:rsid w:val="00D3198F"/>
    <w:rsid w:val="00D31CB3"/>
    <w:rsid w:val="00D33D8A"/>
    <w:rsid w:val="00D343EC"/>
    <w:rsid w:val="00D35787"/>
    <w:rsid w:val="00D36F92"/>
    <w:rsid w:val="00D373E5"/>
    <w:rsid w:val="00D37527"/>
    <w:rsid w:val="00D3772C"/>
    <w:rsid w:val="00D40268"/>
    <w:rsid w:val="00D40382"/>
    <w:rsid w:val="00D40806"/>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0C6"/>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67"/>
    <w:rsid w:val="00DC0DE9"/>
    <w:rsid w:val="00DC20F7"/>
    <w:rsid w:val="00DC2820"/>
    <w:rsid w:val="00DC3224"/>
    <w:rsid w:val="00DC445E"/>
    <w:rsid w:val="00DC4B1B"/>
    <w:rsid w:val="00DC5533"/>
    <w:rsid w:val="00DC59F9"/>
    <w:rsid w:val="00DC5AF0"/>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1BB"/>
    <w:rsid w:val="00DF0608"/>
    <w:rsid w:val="00DF0855"/>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47FD3"/>
    <w:rsid w:val="00E50BA5"/>
    <w:rsid w:val="00E5254D"/>
    <w:rsid w:val="00E5284F"/>
    <w:rsid w:val="00E528C9"/>
    <w:rsid w:val="00E53108"/>
    <w:rsid w:val="00E53841"/>
    <w:rsid w:val="00E53BBE"/>
    <w:rsid w:val="00E549F2"/>
    <w:rsid w:val="00E54EB6"/>
    <w:rsid w:val="00E5529E"/>
    <w:rsid w:val="00E56791"/>
    <w:rsid w:val="00E56EA4"/>
    <w:rsid w:val="00E57291"/>
    <w:rsid w:val="00E6240F"/>
    <w:rsid w:val="00E644CD"/>
    <w:rsid w:val="00E65034"/>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198B"/>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6FF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5E4A"/>
    <w:rsid w:val="00EE658F"/>
    <w:rsid w:val="00EE6649"/>
    <w:rsid w:val="00EE6B18"/>
    <w:rsid w:val="00EE7D3F"/>
    <w:rsid w:val="00EF020B"/>
    <w:rsid w:val="00EF05F9"/>
    <w:rsid w:val="00EF2B60"/>
    <w:rsid w:val="00EF2C79"/>
    <w:rsid w:val="00EF3241"/>
    <w:rsid w:val="00EF41CD"/>
    <w:rsid w:val="00EF51AF"/>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2CD3"/>
    <w:rsid w:val="00F22D00"/>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0E8"/>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5A15"/>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752"/>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32D1"/>
    <w:rsid w:val="00FD3AAE"/>
    <w:rsid w:val="00FD3F95"/>
    <w:rsid w:val="00FD4271"/>
    <w:rsid w:val="00FD6779"/>
    <w:rsid w:val="00FD7477"/>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customStyle="1" w:styleId="gmail-msolistparagraph">
    <w:name w:val="gmail-msolistparagraph"/>
    <w:basedOn w:val="Normal"/>
    <w:rsid w:val="00EF51AF"/>
    <w:pPr>
      <w:bidi w:val="0"/>
      <w:spacing w:before="100" w:beforeAutospacing="1" w:after="100" w:afterAutospacing="1" w:line="240" w:lineRule="auto"/>
    </w:pPr>
    <w:rPr>
      <w:rFonts w:ascii="Times New Roman" w:hAnsi="Times New Roman"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3.xml"/></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26571B-E695-4825-AC4C-C9054D5EB62D}">
  <ds:schemaRefs>
    <ds:schemaRef ds:uri="http://schemas.openxmlformats.org/officeDocument/2006/bibliography"/>
  </ds:schemaRefs>
</ds:datastoreItem>
</file>

<file path=customXml/itemProps2.xml><?xml version="1.0" encoding="utf-8"?>
<ds:datastoreItem xmlns:ds="http://schemas.openxmlformats.org/officeDocument/2006/customXml" ds:itemID="{FE786A4D-101F-4957-9DA0-E2481145EA3B}"/>
</file>

<file path=customXml/itemProps3.xml><?xml version="1.0" encoding="utf-8"?>
<ds:datastoreItem xmlns:ds="http://schemas.openxmlformats.org/officeDocument/2006/customXml" ds:itemID="{5D13010B-FBCD-420B-874F-3777E3828DF2}"/>
</file>

<file path=customXml/itemProps4.xml><?xml version="1.0" encoding="utf-8"?>
<ds:datastoreItem xmlns:ds="http://schemas.openxmlformats.org/officeDocument/2006/customXml" ds:itemID="{93FA53B3-9C2A-4513-80C7-40E73F58B56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