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10996" w:rsidRPr="00170230" w:rsidP="00BB0000">
      <w:pPr>
        <w:tabs>
          <w:tab w:val="left" w:pos="340"/>
        </w:tabs>
        <w:spacing w:after="60" w:line="264" w:lineRule="exact"/>
        <w:ind w:left="5810"/>
        <w:rPr>
          <w:rFonts w:ascii="Tahoma" w:hAnsi="Tahoma" w:cs="Tahoma"/>
          <w:sz w:val="24"/>
          <w:szCs w:val="24"/>
          <w:rtl/>
        </w:rPr>
      </w:pPr>
      <w:bookmarkStart w:id="0" w:name="_Toc349122061"/>
      <w:bookmarkStart w:id="1" w:name="_Toc349136480"/>
      <w:bookmarkStart w:id="2" w:name="_Toc352831083"/>
      <w:bookmarkStart w:id="3" w:name="_Toc354324568"/>
      <w:bookmarkStart w:id="4" w:name="_Toc354661923"/>
      <w:r w:rsidRPr="00170230">
        <w:rPr>
          <w:rFonts w:ascii="Tahoma" w:hAnsi="Tahoma" w:cs="Tahoma"/>
          <w:b/>
          <w:bCs/>
          <w:sz w:val="24"/>
          <w:szCs w:val="24"/>
          <w:rtl/>
        </w:rPr>
        <w:t>מבקר המדינה</w:t>
      </w:r>
    </w:p>
    <w:p w:rsidR="00536D73" w:rsidP="00BB0000">
      <w:pPr>
        <w:tabs>
          <w:tab w:val="left" w:pos="340"/>
        </w:tabs>
        <w:spacing w:line="264" w:lineRule="exact"/>
        <w:ind w:left="5810"/>
        <w:rPr>
          <w:rFonts w:ascii="Tahoma" w:hAnsi="Tahoma" w:cs="Tahoma"/>
          <w:sz w:val="22"/>
          <w:szCs w:val="22"/>
          <w:rtl/>
        </w:rPr>
      </w:pPr>
      <w:r>
        <w:rPr>
          <w:rFonts w:ascii="Tahoma" w:hAnsi="Tahoma" w:cs="Tahoma" w:hint="cs"/>
          <w:sz w:val="22"/>
          <w:szCs w:val="22"/>
          <w:rtl/>
        </w:rPr>
        <w:t>דוח ביקורת מיוחד</w:t>
      </w:r>
    </w:p>
    <w:p w:rsidR="001A2AB7" w:rsidRPr="00BB0000" w:rsidP="00BB0000">
      <w:pPr>
        <w:tabs>
          <w:tab w:val="left" w:pos="340"/>
        </w:tabs>
        <w:spacing w:before="240" w:after="0" w:line="280" w:lineRule="exact"/>
        <w:ind w:left="5810"/>
        <w:rPr>
          <w:rFonts w:ascii="Tahoma" w:hAnsi="Tahoma" w:cs="Tahoma"/>
          <w:sz w:val="22"/>
          <w:szCs w:val="22"/>
          <w:rtl/>
        </w:rPr>
      </w:pPr>
      <w:r w:rsidRPr="006133CC">
        <w:rPr>
          <w:rFonts w:ascii="Tahoma" w:hAnsi="Tahoma" w:cs="Tahoma" w:hint="eastAsia"/>
          <w:sz w:val="22"/>
          <w:szCs w:val="22"/>
          <w:rtl/>
        </w:rPr>
        <w:t>משבר</w:t>
      </w:r>
      <w:r w:rsidRPr="006133CC">
        <w:rPr>
          <w:rFonts w:ascii="Tahoma" w:hAnsi="Tahoma" w:cs="Tahoma"/>
          <w:sz w:val="22"/>
          <w:szCs w:val="22"/>
          <w:rtl/>
        </w:rPr>
        <w:t xml:space="preserve"> </w:t>
      </w:r>
      <w:r w:rsidRPr="006133CC">
        <w:rPr>
          <w:rFonts w:ascii="Tahoma" w:hAnsi="Tahoma" w:cs="Tahoma" w:hint="eastAsia"/>
          <w:sz w:val="22"/>
          <w:szCs w:val="22"/>
          <w:rtl/>
        </w:rPr>
        <w:t>התחבורה</w:t>
      </w:r>
      <w:r w:rsidRPr="006133CC">
        <w:rPr>
          <w:rFonts w:ascii="Tahoma" w:hAnsi="Tahoma" w:cs="Tahoma"/>
          <w:sz w:val="22"/>
          <w:szCs w:val="22"/>
          <w:rtl/>
        </w:rPr>
        <w:t xml:space="preserve"> </w:t>
      </w:r>
      <w:r w:rsidRPr="006133CC">
        <w:rPr>
          <w:rFonts w:ascii="Tahoma" w:hAnsi="Tahoma" w:cs="Tahoma" w:hint="eastAsia"/>
          <w:sz w:val="22"/>
          <w:szCs w:val="22"/>
          <w:rtl/>
        </w:rPr>
        <w:t>הציבורית</w:t>
      </w:r>
    </w:p>
    <w:p w:rsidR="00A10996">
      <w:pPr>
        <w:bidi w:val="0"/>
        <w:rPr>
          <w:w w:val="80"/>
        </w:rPr>
      </w:pPr>
      <w:r>
        <w:rPr>
          <w:w w:val="80"/>
        </w:rPr>
        <w:br w:type="page"/>
      </w:r>
    </w:p>
    <w:p w:rsidR="00A10996" w:rsidRPr="0097737E" w:rsidP="00E077B7">
      <w:pPr>
        <w:rPr>
          <w:w w:val="80"/>
          <w:rtl/>
        </w:rPr>
      </w:pPr>
    </w:p>
    <w:p w:rsidR="006C5F46" w:rsidP="00E077B7">
      <w:pPr>
        <w:rPr>
          <w:szCs w:val="22"/>
          <w:rtl/>
        </w:rPr>
        <w:sectPr w:rsidSect="003B4D44">
          <w:headerReference w:type="default" r:id="rId5"/>
          <w:pgSz w:w="11906" w:h="16838" w:code="9"/>
          <w:pgMar w:top="3402" w:right="1701" w:bottom="2835" w:left="1701" w:header="1559" w:footer="709" w:gutter="0"/>
          <w:cols w:space="708"/>
          <w:titlePg/>
          <w:bidi/>
          <w:rtlGutter/>
          <w:docGrid w:linePitch="360"/>
        </w:sectPr>
      </w:pPr>
    </w:p>
    <w:p w:rsidR="001E2CC9" w:rsidRPr="00170230" w:rsidP="00A10996">
      <w:pPr>
        <w:spacing w:line="240" w:lineRule="atLeast"/>
        <w:jc w:val="center"/>
        <w:rPr>
          <w:rFonts w:ascii="Tahoma" w:hAnsi="Tahoma" w:cs="Tahoma"/>
          <w:sz w:val="20"/>
          <w:szCs w:val="18"/>
        </w:rPr>
      </w:pPr>
      <w:r>
        <w:rPr>
          <w:rFonts w:ascii="Tahoma" w:hAnsi="Tahoma" w:cs="Tahoma"/>
          <w:noProof/>
          <w:sz w:val="20"/>
          <w:szCs w:val="18"/>
        </w:rPr>
        <w:drawing>
          <wp:inline distT="0" distB="0" distL="0" distR="0">
            <wp:extent cx="658369" cy="81077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13255" name="israel-blue.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A10996" w:rsidRPr="00A10996" w:rsidP="00A10996">
      <w:pPr>
        <w:spacing w:before="120" w:after="0" w:line="312" w:lineRule="auto"/>
        <w:jc w:val="center"/>
        <w:rPr>
          <w:rFonts w:ascii="Tahoma" w:hAnsi="Tahoma" w:cs="Tahoma"/>
          <w:sz w:val="28"/>
          <w:szCs w:val="28"/>
          <w:rtl/>
        </w:rPr>
      </w:pPr>
      <w:r w:rsidRPr="00A10996">
        <w:rPr>
          <w:rFonts w:ascii="Tahoma" w:hAnsi="Tahoma" w:cs="Tahoma"/>
          <w:sz w:val="28"/>
          <w:szCs w:val="28"/>
          <w:rtl/>
        </w:rPr>
        <w:t>מבקר המדינה</w:t>
      </w:r>
    </w:p>
    <w:p w:rsidR="00651D4F" w:rsidRPr="00814592" w:rsidP="00651D4F">
      <w:pPr>
        <w:spacing w:before="2040" w:after="0" w:line="240" w:lineRule="auto"/>
        <w:jc w:val="center"/>
        <w:rPr>
          <w:rFonts w:ascii="Tahoma" w:hAnsi="Tahoma" w:cs="Tahoma"/>
          <w:color w:val="2A2AA6"/>
          <w:sz w:val="32"/>
          <w:szCs w:val="32"/>
          <w:rtl/>
        </w:rPr>
      </w:pPr>
      <w:r w:rsidRPr="00814592">
        <w:rPr>
          <w:rFonts w:ascii="Tahoma" w:hAnsi="Tahoma" w:cs="Tahoma" w:hint="cs"/>
          <w:color w:val="2A2AA6"/>
          <w:sz w:val="32"/>
          <w:szCs w:val="32"/>
          <w:rtl/>
        </w:rPr>
        <w:t>דוח ביקורת מיוחד</w:t>
      </w:r>
    </w:p>
    <w:p w:rsidR="001A2AB7" w:rsidRPr="00EB6FFF" w:rsidP="00EB6FFF">
      <w:pPr>
        <w:pStyle w:val="tab-name"/>
        <w:spacing w:before="120" w:line="240" w:lineRule="atLeast"/>
        <w:jc w:val="center"/>
        <w:outlineLvl w:val="0"/>
        <w:rPr>
          <w:color w:val="2A2AA6"/>
          <w:sz w:val="52"/>
          <w:szCs w:val="52"/>
        </w:rPr>
      </w:pPr>
      <w:r w:rsidRPr="006133CC">
        <w:rPr>
          <w:rFonts w:hint="eastAsia"/>
          <w:color w:val="2A2AA6"/>
          <w:sz w:val="52"/>
          <w:szCs w:val="52"/>
          <w:rtl/>
        </w:rPr>
        <w:t>משבר</w:t>
      </w:r>
      <w:r w:rsidRPr="006133CC">
        <w:rPr>
          <w:color w:val="2A2AA6"/>
          <w:sz w:val="52"/>
          <w:szCs w:val="52"/>
          <w:rtl/>
        </w:rPr>
        <w:t xml:space="preserve"> </w:t>
      </w:r>
      <w:r w:rsidRPr="006133CC">
        <w:rPr>
          <w:rFonts w:hint="eastAsia"/>
          <w:color w:val="2A2AA6"/>
          <w:sz w:val="52"/>
          <w:szCs w:val="52"/>
          <w:rtl/>
        </w:rPr>
        <w:t>התחבורה</w:t>
      </w:r>
      <w:r w:rsidRPr="006133CC">
        <w:rPr>
          <w:color w:val="2A2AA6"/>
          <w:sz w:val="52"/>
          <w:szCs w:val="52"/>
          <w:rtl/>
        </w:rPr>
        <w:t xml:space="preserve"> </w:t>
      </w:r>
      <w:r w:rsidRPr="006133CC">
        <w:rPr>
          <w:rFonts w:hint="eastAsia"/>
          <w:color w:val="2A2AA6"/>
          <w:sz w:val="52"/>
          <w:szCs w:val="52"/>
          <w:rtl/>
        </w:rPr>
        <w:t>הציבורית</w:t>
      </w:r>
    </w:p>
    <w:p w:rsidR="00A10996" w:rsidP="006133CC">
      <w:pPr>
        <w:spacing w:before="4200" w:after="0" w:line="720" w:lineRule="exact"/>
        <w:jc w:val="center"/>
        <w:rPr>
          <w:rFonts w:ascii="Tahoma" w:hAnsi="Tahoma" w:cs="Tahoma"/>
          <w:sz w:val="24"/>
          <w:szCs w:val="24"/>
        </w:rPr>
      </w:pPr>
      <w:r>
        <w:rPr>
          <w:rFonts w:ascii="Tahoma" w:hAnsi="Tahoma" w:cs="Tahoma"/>
          <w:noProof/>
          <w:sz w:val="24"/>
          <w:szCs w:val="24"/>
        </w:rPr>
        <w:drawing>
          <wp:inline distT="0" distB="0" distL="0" distR="0">
            <wp:extent cx="743714" cy="49072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33612" name="mevaker-semel.new-1.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3714" cy="490729"/>
                    </a:xfrm>
                    <a:prstGeom prst="rect">
                      <a:avLst/>
                    </a:prstGeom>
                  </pic:spPr>
                </pic:pic>
              </a:graphicData>
            </a:graphic>
          </wp:inline>
        </w:drawing>
      </w:r>
    </w:p>
    <w:p w:rsidR="006C5F46" w:rsidP="006133CC">
      <w:pPr>
        <w:spacing w:after="0" w:line="240" w:lineRule="auto"/>
        <w:jc w:val="center"/>
        <w:rPr>
          <w:rFonts w:ascii="Tahoma" w:hAnsi="Tahoma" w:cs="Tahoma"/>
          <w:sz w:val="22"/>
          <w:szCs w:val="22"/>
          <w:rtl/>
        </w:rPr>
      </w:pPr>
      <w:r w:rsidRPr="00A10996">
        <w:rPr>
          <w:rFonts w:ascii="Tahoma" w:hAnsi="Tahoma" w:cs="Tahoma"/>
          <w:sz w:val="22"/>
          <w:szCs w:val="22"/>
          <w:rtl/>
        </w:rPr>
        <w:t xml:space="preserve">ירושלים, </w:t>
      </w:r>
      <w:r w:rsidR="006133CC">
        <w:rPr>
          <w:rFonts w:ascii="Tahoma" w:hAnsi="Tahoma" w:cs="Tahoma" w:hint="cs"/>
          <w:sz w:val="22"/>
          <w:szCs w:val="22"/>
          <w:rtl/>
        </w:rPr>
        <w:t>אדר ב'</w:t>
      </w:r>
      <w:r w:rsidRPr="00A10996">
        <w:rPr>
          <w:rFonts w:ascii="Tahoma" w:hAnsi="Tahoma" w:cs="Tahoma"/>
          <w:sz w:val="22"/>
          <w:szCs w:val="22"/>
          <w:rtl/>
        </w:rPr>
        <w:t xml:space="preserve"> </w:t>
      </w:r>
      <w:r w:rsidRPr="00A10996">
        <w:rPr>
          <w:rFonts w:ascii="Tahoma" w:hAnsi="Tahoma" w:cs="Tahoma"/>
          <w:sz w:val="22"/>
          <w:szCs w:val="22"/>
          <w:rtl/>
        </w:rPr>
        <w:t>התשע"</w:t>
      </w:r>
      <w:r w:rsidR="001A2AB7">
        <w:rPr>
          <w:rFonts w:ascii="Tahoma" w:hAnsi="Tahoma" w:cs="Tahoma" w:hint="cs"/>
          <w:sz w:val="22"/>
          <w:szCs w:val="22"/>
          <w:rtl/>
        </w:rPr>
        <w:t>ט</w:t>
      </w:r>
      <w:r w:rsidRPr="00A10996">
        <w:rPr>
          <w:rFonts w:ascii="Tahoma" w:hAnsi="Tahoma" w:cs="Tahoma"/>
          <w:sz w:val="22"/>
          <w:szCs w:val="22"/>
          <w:rtl/>
        </w:rPr>
        <w:t xml:space="preserve">, </w:t>
      </w:r>
      <w:r w:rsidR="006133CC">
        <w:rPr>
          <w:rFonts w:ascii="Tahoma" w:hAnsi="Tahoma" w:cs="Tahoma" w:hint="cs"/>
          <w:sz w:val="22"/>
          <w:szCs w:val="22"/>
          <w:rtl/>
        </w:rPr>
        <w:t>מרץ</w:t>
      </w:r>
      <w:r w:rsidRPr="00A10996">
        <w:rPr>
          <w:rFonts w:ascii="Tahoma" w:hAnsi="Tahoma" w:cs="Tahoma"/>
          <w:sz w:val="22"/>
          <w:szCs w:val="22"/>
          <w:rtl/>
        </w:rPr>
        <w:t xml:space="preserve"> 201</w:t>
      </w:r>
      <w:r w:rsidR="001A2AB7">
        <w:rPr>
          <w:rFonts w:ascii="Tahoma" w:hAnsi="Tahoma" w:cs="Tahoma" w:hint="cs"/>
          <w:sz w:val="22"/>
          <w:szCs w:val="22"/>
          <w:rtl/>
        </w:rPr>
        <w:t>9</w:t>
      </w:r>
    </w:p>
    <w:p w:rsidR="00B73F67" w:rsidRPr="007D0D3E" w:rsidP="00B25183">
      <w:pPr>
        <w:spacing w:after="0" w:line="240" w:lineRule="auto"/>
        <w:rPr>
          <w:rFonts w:ascii="Tahoma" w:hAnsi="Tahoma" w:cs="Tahoma"/>
          <w:sz w:val="22"/>
          <w:szCs w:val="22"/>
          <w:rtl/>
        </w:rPr>
        <w:sectPr w:rsidSect="00410B08">
          <w:pgSz w:w="11906" w:h="16838" w:code="9"/>
          <w:pgMar w:top="3402" w:right="1701" w:bottom="2835" w:left="1701" w:header="1559" w:footer="709" w:gutter="0"/>
          <w:cols w:space="708"/>
          <w:titlePg/>
          <w:bidi/>
          <w:rtlGutter/>
          <w:docGrid w:linePitch="360"/>
        </w:sectPr>
      </w:pPr>
    </w:p>
    <w:p w:rsidR="00A10996" w:rsidRPr="00170230" w:rsidP="006133CC">
      <w:pPr>
        <w:spacing w:before="8000" w:after="0" w:line="240" w:lineRule="auto"/>
        <w:jc w:val="center"/>
        <w:rPr>
          <w:rFonts w:ascii="Tahoma" w:hAnsi="Tahoma" w:cs="Tahoma"/>
          <w:sz w:val="16"/>
          <w:szCs w:val="20"/>
          <w:rtl/>
        </w:rPr>
      </w:pPr>
      <w:r w:rsidRPr="00170230">
        <w:rPr>
          <w:rFonts w:ascii="Tahoma" w:hAnsi="Tahoma" w:cs="Tahoma"/>
          <w:sz w:val="16"/>
          <w:szCs w:val="20"/>
          <w:rtl/>
        </w:rPr>
        <w:t xml:space="preserve">מס' קטלוגי </w:t>
      </w:r>
      <w:r w:rsidR="005C76A4">
        <w:rPr>
          <w:rFonts w:ascii="Tahoma" w:hAnsi="Tahoma" w:cs="Tahoma"/>
          <w:sz w:val="16"/>
          <w:szCs w:val="20"/>
        </w:rPr>
        <w:t>00</w:t>
      </w:r>
      <w:r w:rsidR="006133CC">
        <w:rPr>
          <w:rFonts w:ascii="Tahoma" w:hAnsi="Tahoma" w:cs="Tahoma"/>
          <w:sz w:val="16"/>
          <w:szCs w:val="20"/>
        </w:rPr>
        <w:t>2</w:t>
      </w:r>
      <w:r w:rsidRPr="00170230">
        <w:rPr>
          <w:rFonts w:ascii="Tahoma" w:hAnsi="Tahoma" w:cs="Tahoma"/>
          <w:sz w:val="16"/>
          <w:szCs w:val="20"/>
          <w:rtl/>
        </w:rPr>
        <w:t>-</w:t>
      </w:r>
      <w:r w:rsidR="009B1CAD">
        <w:rPr>
          <w:rFonts w:ascii="Tahoma" w:hAnsi="Tahoma" w:cs="Tahoma"/>
          <w:sz w:val="16"/>
          <w:szCs w:val="20"/>
        </w:rPr>
        <w:t>201</w:t>
      </w:r>
      <w:r w:rsidR="001A2AB7">
        <w:rPr>
          <w:rFonts w:ascii="Tahoma" w:hAnsi="Tahoma" w:cs="Tahoma"/>
          <w:sz w:val="16"/>
          <w:szCs w:val="20"/>
        </w:rPr>
        <w:t>9</w:t>
      </w:r>
    </w:p>
    <w:p w:rsidR="005C76A4" w:rsidRPr="005C76A4" w:rsidP="005C76A4">
      <w:pPr>
        <w:spacing w:after="0" w:line="240" w:lineRule="auto"/>
        <w:jc w:val="center"/>
        <w:rPr>
          <w:rFonts w:ascii="Tahoma" w:hAnsi="Tahoma" w:cs="Tahoma"/>
          <w:sz w:val="16"/>
          <w:szCs w:val="16"/>
        </w:rPr>
      </w:pPr>
      <w:r w:rsidRPr="005C76A4">
        <w:rPr>
          <w:rFonts w:ascii="Tahoma" w:hAnsi="Tahoma" w:cs="Tahoma"/>
          <w:sz w:val="16"/>
          <w:szCs w:val="16"/>
        </w:rPr>
        <w:t>ISSN: 0793-1948</w:t>
      </w:r>
      <w:r w:rsidRPr="005C76A4">
        <w:rPr>
          <w:rFonts w:ascii="Tahoma" w:hAnsi="Tahoma" w:cs="Tahoma"/>
          <w:sz w:val="16"/>
          <w:szCs w:val="16"/>
          <w:rtl/>
        </w:rPr>
        <w:t xml:space="preserve"> </w:t>
      </w:r>
    </w:p>
    <w:p w:rsidR="00A10996" w:rsidRPr="00170230" w:rsidP="00A10996">
      <w:pPr>
        <w:spacing w:after="0" w:line="240" w:lineRule="auto"/>
        <w:jc w:val="center"/>
        <w:rPr>
          <w:rFonts w:ascii="Tahoma" w:hAnsi="Tahoma" w:cs="Tahoma"/>
          <w:sz w:val="20"/>
          <w:szCs w:val="20"/>
        </w:rPr>
      </w:pPr>
    </w:p>
    <w:p w:rsidR="009A7B8A" w:rsidP="00A10996">
      <w:pPr>
        <w:spacing w:after="0" w:line="240" w:lineRule="auto"/>
        <w:jc w:val="center"/>
        <w:rPr>
          <w:rFonts w:ascii="Tahoma" w:hAnsi="Tahoma" w:cs="Tahoma"/>
          <w:sz w:val="18"/>
          <w:szCs w:val="18"/>
          <w:rtl/>
        </w:rPr>
      </w:pPr>
      <w:r>
        <w:rPr>
          <w:rFonts w:ascii="Tahoma" w:hAnsi="Tahoma" w:cs="Tahoma" w:hint="cs"/>
          <w:sz w:val="18"/>
          <w:szCs w:val="18"/>
          <w:rtl/>
        </w:rPr>
        <w:t>ניתן להוריד גרסה אלקטרונית של דוח זה</w:t>
      </w:r>
    </w:p>
    <w:p w:rsidR="00A10996" w:rsidRPr="00170230" w:rsidP="00A10996">
      <w:pPr>
        <w:spacing w:after="0" w:line="240" w:lineRule="auto"/>
        <w:jc w:val="center"/>
        <w:rPr>
          <w:rFonts w:ascii="Tahoma" w:hAnsi="Tahoma" w:cs="Tahoma"/>
          <w:sz w:val="18"/>
          <w:szCs w:val="18"/>
          <w:rtl/>
        </w:rPr>
      </w:pPr>
      <w:r>
        <w:rPr>
          <w:rFonts w:ascii="Tahoma" w:hAnsi="Tahoma" w:cs="Tahoma" w:hint="cs"/>
          <w:sz w:val="18"/>
          <w:szCs w:val="18"/>
          <w:rtl/>
        </w:rPr>
        <w:t>מאתר האינטרנט של</w:t>
      </w:r>
      <w:r w:rsidRPr="00170230">
        <w:rPr>
          <w:rFonts w:ascii="Tahoma" w:hAnsi="Tahoma" w:cs="Tahoma"/>
          <w:sz w:val="18"/>
          <w:szCs w:val="18"/>
          <w:rtl/>
        </w:rPr>
        <w:t xml:space="preserve"> משרד מבקר המדינה</w:t>
      </w:r>
    </w:p>
    <w:p w:rsidR="00A10996" w:rsidRPr="00170230" w:rsidP="00A10996">
      <w:pPr>
        <w:spacing w:after="0" w:line="240" w:lineRule="auto"/>
        <w:jc w:val="center"/>
        <w:rPr>
          <w:rFonts w:ascii="Tahoma" w:hAnsi="Tahoma" w:cs="Tahoma"/>
          <w:sz w:val="20"/>
          <w:szCs w:val="20"/>
          <w:rtl/>
        </w:rPr>
      </w:pPr>
      <w:r w:rsidRPr="00170230">
        <w:rPr>
          <w:rFonts w:ascii="Tahoma" w:hAnsi="Tahoma" w:cs="Tahoma"/>
          <w:sz w:val="20"/>
          <w:szCs w:val="20"/>
        </w:rPr>
        <w:t>www.mevaker.gov.il</w:t>
      </w:r>
    </w:p>
    <w:p w:rsidR="00A10996" w:rsidRPr="00170230" w:rsidP="00A10996">
      <w:pPr>
        <w:spacing w:after="0" w:line="240" w:lineRule="auto"/>
        <w:jc w:val="center"/>
        <w:rPr>
          <w:rFonts w:ascii="Tahoma" w:hAnsi="Tahoma" w:cs="Tahoma"/>
          <w:sz w:val="20"/>
          <w:szCs w:val="20"/>
          <w:rtl/>
        </w:rPr>
      </w:pPr>
    </w:p>
    <w:p w:rsidR="006C5F46" w:rsidP="00237E1A">
      <w:pPr>
        <w:spacing w:after="0" w:line="240" w:lineRule="auto"/>
        <w:jc w:val="center"/>
        <w:rPr>
          <w:rFonts w:ascii="Tahoma" w:hAnsi="Tahoma" w:cs="Tahoma"/>
          <w:sz w:val="18"/>
          <w:szCs w:val="18"/>
        </w:rPr>
      </w:pPr>
      <w:r w:rsidRPr="00170230">
        <w:rPr>
          <w:rFonts w:ascii="Tahoma" w:hAnsi="Tahoma" w:cs="Tahoma"/>
          <w:sz w:val="18"/>
          <w:szCs w:val="18"/>
          <w:rtl/>
        </w:rPr>
        <w:t xml:space="preserve">סדר: </w:t>
      </w:r>
      <w:r w:rsidRPr="00170230">
        <w:rPr>
          <w:rFonts w:ascii="Tahoma" w:hAnsi="Tahoma" w:cs="Tahoma"/>
          <w:sz w:val="18"/>
          <w:szCs w:val="18"/>
          <w:rtl/>
        </w:rPr>
        <w:t>אונית</w:t>
      </w:r>
      <w:r w:rsidRPr="00170230">
        <w:rPr>
          <w:rFonts w:ascii="Tahoma" w:hAnsi="Tahoma" w:cs="Tahoma"/>
          <w:sz w:val="18"/>
          <w:szCs w:val="18"/>
          <w:rtl/>
        </w:rPr>
        <w:t xml:space="preserve"> שירותי מחשב בע"מ</w:t>
      </w:r>
    </w:p>
    <w:p w:rsidR="00242D1D" w:rsidRPr="00352D72" w:rsidP="00242D1D">
      <w:pPr>
        <w:pStyle w:val="KOT2"/>
        <w:keepNext w:val="0"/>
        <w:pageBreakBefore w:val="0"/>
        <w:ind w:right="2268"/>
        <w:rPr>
          <w:rtl/>
        </w:rPr>
      </w:pPr>
      <w:bookmarkEnd w:id="0"/>
      <w:bookmarkEnd w:id="1"/>
      <w:bookmarkEnd w:id="2"/>
      <w:bookmarkEnd w:id="3"/>
      <w:bookmarkEnd w:id="4"/>
      <w:r w:rsidRPr="00352D72">
        <w:rPr>
          <w:rtl/>
        </w:rPr>
        <w:t>תוכן העניינים</w:t>
      </w:r>
    </w:p>
    <w:p w:rsidR="003353AE" w:rsidRPr="003353AE" w:rsidP="00762859">
      <w:pPr>
        <w:spacing w:line="320" w:lineRule="exact"/>
        <w:ind w:right="2268"/>
        <w:rPr>
          <w:rFonts w:ascii="Tahoma" w:hAnsi="Tahoma" w:cs="Tahoma"/>
          <w:sz w:val="20"/>
          <w:szCs w:val="20"/>
          <w:rtl/>
          <w:lang w:eastAsia="he-IL"/>
        </w:rPr>
      </w:pPr>
      <w:r w:rsidRPr="003353AE">
        <w:rPr>
          <w:rFonts w:ascii="Tahoma" w:hAnsi="Tahoma" w:cs="Tahoma" w:hint="cs"/>
          <w:sz w:val="20"/>
          <w:szCs w:val="20"/>
          <w:rtl/>
          <w:lang w:eastAsia="he-IL"/>
        </w:rPr>
        <w:t xml:space="preserve">התחבורה </w:t>
      </w:r>
      <w:r w:rsidR="00762859">
        <w:rPr>
          <w:rFonts w:ascii="Tahoma" w:hAnsi="Tahoma" w:cs="Tahoma" w:hint="cs"/>
          <w:sz w:val="20"/>
          <w:szCs w:val="20"/>
          <w:rtl/>
          <w:lang w:eastAsia="he-IL"/>
        </w:rPr>
        <w:t>ה</w:t>
      </w:r>
      <w:r w:rsidRPr="003353AE">
        <w:rPr>
          <w:rFonts w:ascii="Tahoma" w:hAnsi="Tahoma" w:cs="Tahoma" w:hint="cs"/>
          <w:sz w:val="20"/>
          <w:szCs w:val="20"/>
          <w:rtl/>
          <w:lang w:eastAsia="he-IL"/>
        </w:rPr>
        <w:t>ציבורית בישראל</w:t>
      </w:r>
      <w:r w:rsidRPr="00A248FC">
        <w:rPr>
          <w:rFonts w:ascii="Tahoma" w:hAnsi="Tahoma" w:cs="Tahoma" w:hint="cs"/>
          <w:sz w:val="18"/>
          <w:szCs w:val="18"/>
          <w:rtl/>
          <w:lang w:eastAsia="he-IL"/>
        </w:rPr>
        <w:t xml:space="preserve"> // </w:t>
      </w:r>
      <w:r w:rsidR="006E6960">
        <w:rPr>
          <w:rFonts w:ascii="Tahoma" w:hAnsi="Tahoma" w:cs="Tahoma" w:hint="cs"/>
          <w:sz w:val="18"/>
          <w:szCs w:val="18"/>
          <w:rtl/>
          <w:lang w:eastAsia="he-IL"/>
        </w:rPr>
        <w:t>1</w:t>
      </w:r>
    </w:p>
    <w:p w:rsidR="003353AE" w:rsidRPr="003353AE" w:rsidP="00762859">
      <w:pPr>
        <w:spacing w:line="320" w:lineRule="exact"/>
        <w:ind w:right="2268"/>
        <w:rPr>
          <w:rFonts w:ascii="Tahoma" w:hAnsi="Tahoma" w:cs="Tahoma"/>
          <w:sz w:val="20"/>
          <w:szCs w:val="20"/>
          <w:lang w:eastAsia="he-IL"/>
        </w:rPr>
      </w:pPr>
      <w:r w:rsidRPr="003353AE">
        <w:rPr>
          <w:rFonts w:ascii="Tahoma" w:hAnsi="Tahoma" w:cs="Tahoma"/>
          <w:sz w:val="20"/>
          <w:szCs w:val="20"/>
          <w:rtl/>
          <w:lang w:eastAsia="he-IL"/>
        </w:rPr>
        <w:t xml:space="preserve">תכנון וקידום של התחבורה הציבורית </w:t>
      </w:r>
      <w:r w:rsidRPr="00A248FC">
        <w:rPr>
          <w:rFonts w:ascii="Tahoma" w:hAnsi="Tahoma" w:cs="Tahoma" w:hint="cs"/>
          <w:sz w:val="18"/>
          <w:szCs w:val="18"/>
          <w:rtl/>
          <w:lang w:eastAsia="he-IL"/>
        </w:rPr>
        <w:t xml:space="preserve">// </w:t>
      </w:r>
      <w:r w:rsidR="006E6960">
        <w:rPr>
          <w:rFonts w:ascii="Tahoma" w:hAnsi="Tahoma" w:cs="Tahoma" w:hint="cs"/>
          <w:sz w:val="18"/>
          <w:szCs w:val="18"/>
          <w:rtl/>
          <w:lang w:eastAsia="he-IL"/>
        </w:rPr>
        <w:t>23</w:t>
      </w:r>
    </w:p>
    <w:p w:rsidR="003353AE" w:rsidRPr="003353AE" w:rsidP="003353AE">
      <w:pPr>
        <w:spacing w:line="320" w:lineRule="exact"/>
        <w:ind w:right="2268"/>
        <w:rPr>
          <w:rFonts w:ascii="Tahoma" w:hAnsi="Tahoma" w:cs="Tahoma"/>
          <w:sz w:val="20"/>
          <w:szCs w:val="20"/>
          <w:lang w:eastAsia="he-IL"/>
        </w:rPr>
      </w:pPr>
      <w:r w:rsidRPr="003353AE">
        <w:rPr>
          <w:rFonts w:ascii="Tahoma" w:hAnsi="Tahoma" w:cs="Tahoma"/>
          <w:sz w:val="20"/>
          <w:szCs w:val="20"/>
          <w:rtl/>
          <w:lang w:eastAsia="he-IL"/>
        </w:rPr>
        <w:t>פעילות הרכבת ושילובה במערך התחבורה הציבורית</w:t>
      </w:r>
      <w:r w:rsidRPr="00A248FC">
        <w:rPr>
          <w:rFonts w:ascii="Tahoma" w:hAnsi="Tahoma" w:cs="Tahoma" w:hint="cs"/>
          <w:sz w:val="18"/>
          <w:szCs w:val="18"/>
          <w:rtl/>
          <w:lang w:eastAsia="he-IL"/>
        </w:rPr>
        <w:t xml:space="preserve"> // </w:t>
      </w:r>
      <w:r w:rsidR="006E6960">
        <w:rPr>
          <w:rFonts w:ascii="Tahoma" w:hAnsi="Tahoma" w:cs="Tahoma" w:hint="cs"/>
          <w:sz w:val="18"/>
          <w:szCs w:val="18"/>
          <w:rtl/>
          <w:lang w:eastAsia="he-IL"/>
        </w:rPr>
        <w:t>87</w:t>
      </w:r>
    </w:p>
    <w:p w:rsidR="003353AE" w:rsidRPr="003353AE" w:rsidP="003353AE">
      <w:pPr>
        <w:spacing w:line="320" w:lineRule="exact"/>
        <w:ind w:right="2268"/>
        <w:rPr>
          <w:rFonts w:ascii="Tahoma" w:hAnsi="Tahoma" w:cs="Tahoma"/>
          <w:sz w:val="20"/>
          <w:szCs w:val="20"/>
          <w:lang w:eastAsia="he-IL"/>
        </w:rPr>
      </w:pPr>
      <w:r w:rsidRPr="003353AE">
        <w:rPr>
          <w:rFonts w:ascii="Tahoma" w:hAnsi="Tahoma" w:cs="Tahoma"/>
          <w:sz w:val="20"/>
          <w:szCs w:val="20"/>
          <w:rtl/>
          <w:lang w:eastAsia="he-IL"/>
        </w:rPr>
        <w:t xml:space="preserve">קידום שירותי התחבורה הציבורית </w:t>
      </w:r>
      <w:r w:rsidR="006E6960">
        <w:rPr>
          <w:rFonts w:ascii="Tahoma" w:hAnsi="Tahoma" w:cs="Tahoma" w:hint="cs"/>
          <w:sz w:val="20"/>
          <w:szCs w:val="20"/>
          <w:rtl/>
          <w:lang w:eastAsia="he-IL"/>
        </w:rPr>
        <w:br/>
      </w:r>
      <w:r w:rsidRPr="003353AE">
        <w:rPr>
          <w:rFonts w:ascii="Tahoma" w:hAnsi="Tahoma" w:cs="Tahoma"/>
          <w:sz w:val="20"/>
          <w:szCs w:val="20"/>
          <w:rtl/>
          <w:lang w:eastAsia="he-IL"/>
        </w:rPr>
        <w:t>באוטובוסי</w:t>
      </w:r>
      <w:r w:rsidRPr="003353AE">
        <w:rPr>
          <w:rFonts w:ascii="Tahoma" w:hAnsi="Tahoma" w:cs="Tahoma" w:hint="cs"/>
          <w:sz w:val="20"/>
          <w:szCs w:val="20"/>
          <w:rtl/>
          <w:lang w:eastAsia="he-IL"/>
        </w:rPr>
        <w:t>ם</w:t>
      </w:r>
      <w:r w:rsidRPr="00A248FC">
        <w:rPr>
          <w:rFonts w:ascii="Tahoma" w:hAnsi="Tahoma" w:cs="Tahoma" w:hint="cs"/>
          <w:sz w:val="18"/>
          <w:szCs w:val="18"/>
          <w:rtl/>
          <w:lang w:eastAsia="he-IL"/>
        </w:rPr>
        <w:t xml:space="preserve"> // </w:t>
      </w:r>
      <w:r w:rsidR="006E6960">
        <w:rPr>
          <w:rFonts w:ascii="Tahoma" w:hAnsi="Tahoma" w:cs="Tahoma" w:hint="cs"/>
          <w:sz w:val="18"/>
          <w:szCs w:val="18"/>
          <w:rtl/>
          <w:lang w:eastAsia="he-IL"/>
        </w:rPr>
        <w:t>175</w:t>
      </w:r>
    </w:p>
    <w:p w:rsidR="003353AE" w:rsidRPr="003353AE" w:rsidP="003353AE">
      <w:pPr>
        <w:spacing w:line="320" w:lineRule="exact"/>
        <w:ind w:right="2268"/>
        <w:rPr>
          <w:rFonts w:ascii="Tahoma" w:hAnsi="Tahoma" w:cs="Tahoma"/>
          <w:sz w:val="20"/>
          <w:szCs w:val="20"/>
          <w:lang w:eastAsia="he-IL"/>
        </w:rPr>
      </w:pPr>
      <w:r w:rsidRPr="003353AE">
        <w:rPr>
          <w:rFonts w:ascii="Tahoma" w:hAnsi="Tahoma" w:cs="Tahoma" w:hint="cs"/>
          <w:sz w:val="20"/>
          <w:szCs w:val="20"/>
          <w:rtl/>
          <w:lang w:eastAsia="he-IL"/>
        </w:rPr>
        <w:t xml:space="preserve">קידום </w:t>
      </w:r>
      <w:r w:rsidR="00762859">
        <w:rPr>
          <w:rFonts w:ascii="Tahoma" w:hAnsi="Tahoma" w:cs="Tahoma" w:hint="cs"/>
          <w:sz w:val="20"/>
          <w:szCs w:val="20"/>
          <w:rtl/>
          <w:lang w:eastAsia="he-IL"/>
        </w:rPr>
        <w:t>ה</w:t>
      </w:r>
      <w:r w:rsidRPr="003353AE">
        <w:rPr>
          <w:rFonts w:ascii="Tahoma" w:hAnsi="Tahoma" w:cs="Tahoma" w:hint="cs"/>
          <w:sz w:val="20"/>
          <w:szCs w:val="20"/>
          <w:rtl/>
          <w:lang w:eastAsia="he-IL"/>
        </w:rPr>
        <w:t xml:space="preserve">תחבורה </w:t>
      </w:r>
      <w:r w:rsidR="00762859">
        <w:rPr>
          <w:rFonts w:ascii="Tahoma" w:hAnsi="Tahoma" w:cs="Tahoma" w:hint="cs"/>
          <w:sz w:val="20"/>
          <w:szCs w:val="20"/>
          <w:rtl/>
          <w:lang w:eastAsia="he-IL"/>
        </w:rPr>
        <w:t>ה</w:t>
      </w:r>
      <w:r w:rsidRPr="003353AE">
        <w:rPr>
          <w:rFonts w:ascii="Tahoma" w:hAnsi="Tahoma" w:cs="Tahoma" w:hint="cs"/>
          <w:sz w:val="20"/>
          <w:szCs w:val="20"/>
          <w:rtl/>
          <w:lang w:eastAsia="he-IL"/>
        </w:rPr>
        <w:t xml:space="preserve">ציבורית ביישובים </w:t>
      </w:r>
      <w:r w:rsidR="00762859">
        <w:rPr>
          <w:rFonts w:ascii="Tahoma" w:hAnsi="Tahoma" w:cs="Tahoma"/>
          <w:sz w:val="20"/>
          <w:szCs w:val="20"/>
          <w:rtl/>
          <w:lang w:eastAsia="he-IL"/>
        </w:rPr>
        <w:br/>
      </w:r>
      <w:r w:rsidRPr="003353AE">
        <w:rPr>
          <w:rFonts w:ascii="Tahoma" w:hAnsi="Tahoma" w:cs="Tahoma" w:hint="cs"/>
          <w:sz w:val="20"/>
          <w:szCs w:val="20"/>
          <w:rtl/>
          <w:lang w:eastAsia="he-IL"/>
        </w:rPr>
        <w:t>הלא-יהודיים</w:t>
      </w:r>
      <w:r w:rsidRPr="00A248FC">
        <w:rPr>
          <w:rFonts w:ascii="Tahoma" w:hAnsi="Tahoma" w:cs="Tahoma" w:hint="cs"/>
          <w:sz w:val="18"/>
          <w:szCs w:val="18"/>
          <w:rtl/>
          <w:lang w:eastAsia="he-IL"/>
        </w:rPr>
        <w:t xml:space="preserve"> // </w:t>
      </w:r>
      <w:r w:rsidR="006E6960">
        <w:rPr>
          <w:rFonts w:ascii="Tahoma" w:hAnsi="Tahoma" w:cs="Tahoma" w:hint="cs"/>
          <w:sz w:val="18"/>
          <w:szCs w:val="18"/>
          <w:rtl/>
          <w:lang w:eastAsia="he-IL"/>
        </w:rPr>
        <w:t>225</w:t>
      </w:r>
    </w:p>
    <w:p w:rsidR="003353AE" w:rsidRPr="003353AE" w:rsidP="003353AE">
      <w:pPr>
        <w:spacing w:line="320" w:lineRule="exact"/>
        <w:ind w:right="2268"/>
        <w:rPr>
          <w:rFonts w:ascii="Tahoma" w:hAnsi="Tahoma" w:cs="Tahoma"/>
          <w:sz w:val="20"/>
          <w:szCs w:val="20"/>
          <w:lang w:eastAsia="he-IL"/>
        </w:rPr>
      </w:pPr>
      <w:r w:rsidRPr="003353AE">
        <w:rPr>
          <w:rFonts w:ascii="Tahoma" w:hAnsi="Tahoma" w:cs="Tahoma"/>
          <w:sz w:val="20"/>
          <w:szCs w:val="20"/>
          <w:rtl/>
          <w:lang w:eastAsia="he-IL"/>
        </w:rPr>
        <w:t>הקמת מסלולי תחבורה ציבורית ונתיבים מהירים במטרופולין תל אביב-יפו</w:t>
      </w:r>
      <w:r w:rsidRPr="00A248FC">
        <w:rPr>
          <w:rFonts w:ascii="Tahoma" w:hAnsi="Tahoma" w:cs="Tahoma" w:hint="cs"/>
          <w:sz w:val="18"/>
          <w:szCs w:val="18"/>
          <w:rtl/>
          <w:lang w:eastAsia="he-IL"/>
        </w:rPr>
        <w:t xml:space="preserve"> // </w:t>
      </w:r>
      <w:r w:rsidR="006E6960">
        <w:rPr>
          <w:rFonts w:ascii="Tahoma" w:hAnsi="Tahoma" w:cs="Tahoma" w:hint="cs"/>
          <w:sz w:val="18"/>
          <w:szCs w:val="18"/>
          <w:rtl/>
          <w:lang w:eastAsia="he-IL"/>
        </w:rPr>
        <w:t>283</w:t>
      </w:r>
    </w:p>
    <w:p w:rsidR="003353AE" w:rsidRPr="003353AE" w:rsidP="003353AE">
      <w:pPr>
        <w:spacing w:line="320" w:lineRule="exact"/>
        <w:ind w:right="2268"/>
        <w:rPr>
          <w:rFonts w:ascii="Tahoma" w:hAnsi="Tahoma" w:cs="Tahoma"/>
          <w:sz w:val="20"/>
          <w:szCs w:val="20"/>
          <w:lang w:eastAsia="he-IL"/>
        </w:rPr>
      </w:pPr>
      <w:r w:rsidRPr="003353AE">
        <w:rPr>
          <w:rFonts w:ascii="Tahoma" w:hAnsi="Tahoma" w:cs="Tahoma"/>
          <w:sz w:val="20"/>
          <w:szCs w:val="20"/>
          <w:rtl/>
          <w:lang w:eastAsia="he-IL"/>
        </w:rPr>
        <w:t xml:space="preserve">קידום ופיתוח </w:t>
      </w:r>
      <w:r w:rsidR="00762859">
        <w:rPr>
          <w:rFonts w:ascii="Tahoma" w:hAnsi="Tahoma" w:cs="Tahoma" w:hint="cs"/>
          <w:sz w:val="20"/>
          <w:szCs w:val="20"/>
          <w:rtl/>
          <w:lang w:eastAsia="he-IL"/>
        </w:rPr>
        <w:t xml:space="preserve">של </w:t>
      </w:r>
      <w:r w:rsidR="00D40806">
        <w:rPr>
          <w:rFonts w:ascii="Tahoma" w:hAnsi="Tahoma" w:cs="Tahoma" w:hint="cs"/>
          <w:sz w:val="20"/>
          <w:szCs w:val="20"/>
          <w:rtl/>
          <w:lang w:eastAsia="he-IL"/>
        </w:rPr>
        <w:t>ה</w:t>
      </w:r>
      <w:r w:rsidRPr="003353AE">
        <w:rPr>
          <w:rFonts w:ascii="Tahoma" w:hAnsi="Tahoma" w:cs="Tahoma"/>
          <w:sz w:val="20"/>
          <w:szCs w:val="20"/>
          <w:rtl/>
          <w:lang w:eastAsia="he-IL"/>
        </w:rPr>
        <w:t xml:space="preserve">תחבורה הציבורית </w:t>
      </w:r>
      <w:r w:rsidR="00762859">
        <w:rPr>
          <w:rFonts w:ascii="Tahoma" w:hAnsi="Tahoma" w:cs="Tahoma" w:hint="cs"/>
          <w:sz w:val="20"/>
          <w:szCs w:val="20"/>
          <w:rtl/>
          <w:lang w:eastAsia="he-IL"/>
        </w:rPr>
        <w:br/>
      </w:r>
      <w:r w:rsidRPr="003353AE">
        <w:rPr>
          <w:rFonts w:ascii="Tahoma" w:hAnsi="Tahoma" w:cs="Tahoma"/>
          <w:sz w:val="20"/>
          <w:szCs w:val="20"/>
          <w:rtl/>
          <w:lang w:eastAsia="he-IL"/>
        </w:rPr>
        <w:t>במטרופולין חיפה</w:t>
      </w:r>
      <w:r w:rsidRPr="00A248FC">
        <w:rPr>
          <w:rFonts w:ascii="Tahoma" w:hAnsi="Tahoma" w:cs="Tahoma" w:hint="cs"/>
          <w:sz w:val="18"/>
          <w:szCs w:val="18"/>
          <w:rtl/>
          <w:lang w:eastAsia="he-IL"/>
        </w:rPr>
        <w:t xml:space="preserve"> // </w:t>
      </w:r>
      <w:r w:rsidR="006E6960">
        <w:rPr>
          <w:rFonts w:ascii="Tahoma" w:hAnsi="Tahoma" w:cs="Tahoma" w:hint="cs"/>
          <w:sz w:val="18"/>
          <w:szCs w:val="18"/>
          <w:rtl/>
          <w:lang w:eastAsia="he-IL"/>
        </w:rPr>
        <w:t>383</w:t>
      </w:r>
    </w:p>
    <w:p w:rsidR="003353AE" w:rsidRPr="003353AE" w:rsidP="003353AE">
      <w:pPr>
        <w:spacing w:line="320" w:lineRule="exact"/>
        <w:ind w:right="2268"/>
        <w:rPr>
          <w:rFonts w:ascii="Tahoma" w:hAnsi="Tahoma" w:cs="Tahoma"/>
          <w:sz w:val="20"/>
          <w:szCs w:val="20"/>
          <w:lang w:eastAsia="he-IL"/>
        </w:rPr>
      </w:pPr>
      <w:r w:rsidRPr="003353AE">
        <w:rPr>
          <w:rFonts w:ascii="Tahoma" w:hAnsi="Tahoma" w:cs="Tahoma"/>
          <w:sz w:val="20"/>
          <w:szCs w:val="20"/>
          <w:rtl/>
          <w:lang w:eastAsia="he-IL"/>
        </w:rPr>
        <w:t xml:space="preserve">השירות לנוסעים של הרכבת הקלה </w:t>
      </w:r>
      <w:r w:rsidR="006E6960">
        <w:rPr>
          <w:rFonts w:ascii="Tahoma" w:hAnsi="Tahoma" w:cs="Tahoma" w:hint="cs"/>
          <w:sz w:val="20"/>
          <w:szCs w:val="20"/>
          <w:rtl/>
          <w:lang w:eastAsia="he-IL"/>
        </w:rPr>
        <w:br/>
      </w:r>
      <w:r w:rsidRPr="003353AE">
        <w:rPr>
          <w:rFonts w:ascii="Tahoma" w:hAnsi="Tahoma" w:cs="Tahoma"/>
          <w:sz w:val="20"/>
          <w:szCs w:val="20"/>
          <w:rtl/>
          <w:lang w:eastAsia="he-IL"/>
        </w:rPr>
        <w:t>בירושלים</w:t>
      </w:r>
      <w:r w:rsidRPr="00A248FC">
        <w:rPr>
          <w:rFonts w:ascii="Tahoma" w:hAnsi="Tahoma" w:cs="Tahoma" w:hint="cs"/>
          <w:sz w:val="18"/>
          <w:szCs w:val="18"/>
          <w:rtl/>
          <w:lang w:eastAsia="he-IL"/>
        </w:rPr>
        <w:t xml:space="preserve"> // </w:t>
      </w:r>
      <w:r w:rsidR="006E6960">
        <w:rPr>
          <w:rFonts w:ascii="Tahoma" w:hAnsi="Tahoma" w:cs="Tahoma" w:hint="cs"/>
          <w:sz w:val="18"/>
          <w:szCs w:val="18"/>
          <w:rtl/>
          <w:lang w:eastAsia="he-IL"/>
        </w:rPr>
        <w:t>477</w:t>
      </w:r>
    </w:p>
    <w:p w:rsidR="003353AE" w:rsidP="003353AE">
      <w:pPr>
        <w:spacing w:line="320" w:lineRule="exact"/>
        <w:ind w:right="2268"/>
        <w:rPr>
          <w:rFonts w:ascii="Tahoma" w:hAnsi="Tahoma" w:cs="Tahoma"/>
          <w:sz w:val="18"/>
          <w:szCs w:val="18"/>
          <w:rtl/>
          <w:lang w:eastAsia="he-IL"/>
        </w:rPr>
      </w:pPr>
      <w:r w:rsidRPr="003353AE">
        <w:rPr>
          <w:rFonts w:ascii="Tahoma" w:hAnsi="Tahoma" w:cs="Tahoma"/>
          <w:sz w:val="20"/>
          <w:szCs w:val="20"/>
          <w:rtl/>
          <w:lang w:eastAsia="he-IL"/>
        </w:rPr>
        <w:t>פעולות הממשלה להפחתת השימוש בכלי רכב פרטיים באמצעות תמריצים כלכליים</w:t>
      </w:r>
      <w:r w:rsidRPr="00A248FC">
        <w:rPr>
          <w:rFonts w:ascii="Tahoma" w:hAnsi="Tahoma" w:cs="Tahoma" w:hint="cs"/>
          <w:sz w:val="18"/>
          <w:szCs w:val="18"/>
          <w:rtl/>
          <w:lang w:eastAsia="he-IL"/>
        </w:rPr>
        <w:t xml:space="preserve"> // </w:t>
      </w:r>
      <w:r w:rsidR="006E6960">
        <w:rPr>
          <w:rFonts w:ascii="Tahoma" w:hAnsi="Tahoma" w:cs="Tahoma" w:hint="cs"/>
          <w:sz w:val="18"/>
          <w:szCs w:val="18"/>
          <w:rtl/>
          <w:lang w:eastAsia="he-IL"/>
        </w:rPr>
        <w:t>529</w:t>
      </w:r>
    </w:p>
    <w:p w:rsidR="000F4E51" w:rsidP="003353AE">
      <w:pPr>
        <w:spacing w:line="320" w:lineRule="exact"/>
        <w:ind w:right="2268"/>
        <w:rPr>
          <w:rFonts w:ascii="Tahoma" w:hAnsi="Tahoma" w:cs="Tahoma"/>
          <w:sz w:val="18"/>
          <w:szCs w:val="18"/>
          <w:rtl/>
          <w:lang w:eastAsia="he-IL"/>
        </w:rPr>
      </w:pPr>
    </w:p>
    <w:p w:rsidR="000F4E51" w:rsidP="003353AE">
      <w:pPr>
        <w:spacing w:line="320" w:lineRule="exact"/>
        <w:ind w:right="2268"/>
        <w:rPr>
          <w:rFonts w:ascii="Tahoma" w:hAnsi="Tahoma" w:cs="Tahoma"/>
          <w:sz w:val="20"/>
          <w:szCs w:val="20"/>
          <w:rtl/>
          <w:lang w:eastAsia="he-IL"/>
        </w:rPr>
        <w:sectPr w:rsidSect="00613A26">
          <w:headerReference w:type="even" r:id="rId8"/>
          <w:headerReference w:type="default" r:id="rId9"/>
          <w:pgSz w:w="11906" w:h="16838" w:code="9"/>
          <w:pgMar w:top="3402" w:right="1701" w:bottom="2835" w:left="3402" w:header="1559" w:footer="709" w:gutter="0"/>
          <w:cols w:space="708"/>
          <w:bidi/>
          <w:rtlGutter/>
          <w:docGrid w:linePitch="360"/>
        </w:sectPr>
      </w:pPr>
    </w:p>
    <w:p w:rsidR="000F4E51" w:rsidRPr="003353AE" w:rsidP="003353AE">
      <w:pPr>
        <w:spacing w:line="320" w:lineRule="exact"/>
        <w:ind w:right="2268"/>
        <w:rPr>
          <w:rFonts w:ascii="Tahoma" w:hAnsi="Tahoma" w:cs="Tahoma"/>
          <w:sz w:val="20"/>
          <w:szCs w:val="20"/>
          <w:lang w:eastAsia="he-IL"/>
        </w:rPr>
      </w:pPr>
    </w:p>
    <w:p w:rsidR="000F4E51" w:rsidP="00660AC7">
      <w:pPr>
        <w:pStyle w:val="KOT2"/>
        <w:keepNext w:val="0"/>
        <w:pageBreakBefore w:val="0"/>
        <w:ind w:right="2268"/>
        <w:rPr>
          <w:rFonts w:ascii="Tahoma" w:hAnsi="Tahoma"/>
          <w:sz w:val="40"/>
          <w:szCs w:val="40"/>
          <w:rtl/>
          <w:lang w:bidi="ar-SA"/>
        </w:rPr>
        <w:sectPr w:rsidSect="000F4E51">
          <w:pgSz w:w="11906" w:h="16838" w:code="9"/>
          <w:pgMar w:top="3402" w:right="1701" w:bottom="2835" w:left="3402" w:header="1559" w:footer="709" w:gutter="0"/>
          <w:cols w:space="708"/>
          <w:titlePg/>
          <w:bidi/>
          <w:rtlGutter/>
          <w:docGrid w:linePitch="360"/>
        </w:sectPr>
      </w:pPr>
    </w:p>
    <w:p w:rsidR="00660AC7" w:rsidRPr="00660AC7" w:rsidP="00660AC7">
      <w:pPr>
        <w:pStyle w:val="KOT2"/>
        <w:keepNext w:val="0"/>
        <w:pageBreakBefore w:val="0"/>
        <w:ind w:right="2268"/>
        <w:rPr>
          <w:rFonts w:ascii="Tahoma" w:hAnsi="Tahoma"/>
          <w:sz w:val="40"/>
          <w:szCs w:val="40"/>
          <w:rtl/>
          <w:lang w:bidi="ar-SA"/>
        </w:rPr>
      </w:pPr>
      <w:r w:rsidRPr="00660AC7">
        <w:rPr>
          <w:rFonts w:ascii="Tahoma" w:hAnsi="Tahoma"/>
          <w:sz w:val="40"/>
          <w:szCs w:val="40"/>
          <w:rtl/>
          <w:lang w:bidi="ar-SA"/>
        </w:rPr>
        <w:t>الفهرس</w:t>
      </w:r>
    </w:p>
    <w:p w:rsidR="00EF51AF" w:rsidP="00EF51AF">
      <w:pPr>
        <w:spacing w:line="320" w:lineRule="exact"/>
        <w:ind w:right="1701"/>
        <w:rPr>
          <w:rFonts w:ascii="Tahoma" w:hAnsi="Tahoma" w:cs="Tahoma"/>
          <w:sz w:val="22"/>
          <w:szCs w:val="22"/>
          <w:rtl/>
          <w:lang w:eastAsia="he-IL" w:bidi="ar-SA"/>
        </w:rPr>
      </w:pPr>
      <w:r w:rsidRPr="00EF51AF">
        <w:rPr>
          <w:rFonts w:ascii="Tahoma" w:hAnsi="Tahoma" w:cs="Tahoma"/>
          <w:sz w:val="22"/>
          <w:szCs w:val="22"/>
          <w:rtl/>
          <w:lang w:eastAsia="he-IL" w:bidi="ar-SA"/>
        </w:rPr>
        <w:t>المواصلات العامّة في إسرائيل</w:t>
      </w:r>
      <w:r w:rsidRPr="00660AC7">
        <w:rPr>
          <w:rFonts w:ascii="Tahoma" w:hAnsi="Tahoma" w:cs="Tahoma"/>
          <w:sz w:val="20"/>
          <w:szCs w:val="20"/>
          <w:rtl/>
          <w:lang w:eastAsia="he-IL"/>
        </w:rPr>
        <w:t xml:space="preserve"> //</w:t>
      </w:r>
      <w:r>
        <w:rPr>
          <w:rFonts w:ascii="Tahoma" w:hAnsi="Tahoma" w:cs="Tahoma"/>
          <w:sz w:val="20"/>
          <w:szCs w:val="20"/>
          <w:lang w:eastAsia="he-IL"/>
        </w:rPr>
        <w:t xml:space="preserve"> </w:t>
      </w:r>
      <w:r>
        <w:rPr>
          <w:rFonts w:ascii="Tahoma" w:hAnsi="Tahoma" w:cs="Tahoma" w:hint="cs"/>
          <w:sz w:val="20"/>
          <w:szCs w:val="20"/>
          <w:rtl/>
          <w:lang w:eastAsia="he-IL"/>
        </w:rPr>
        <w:t>1</w:t>
      </w:r>
    </w:p>
    <w:p w:rsidR="00EF51AF" w:rsidP="00EF51AF">
      <w:pPr>
        <w:spacing w:line="320" w:lineRule="exact"/>
        <w:ind w:right="1701"/>
        <w:rPr>
          <w:rFonts w:ascii="Tahoma" w:hAnsi="Tahoma" w:cs="Tahoma"/>
          <w:sz w:val="22"/>
          <w:szCs w:val="22"/>
          <w:rtl/>
          <w:lang w:eastAsia="he-IL" w:bidi="ar-SA"/>
        </w:rPr>
      </w:pPr>
      <w:r w:rsidRPr="00EF51AF">
        <w:rPr>
          <w:rFonts w:ascii="Tahoma" w:hAnsi="Tahoma" w:cs="Tahoma"/>
          <w:sz w:val="22"/>
          <w:szCs w:val="22"/>
          <w:rtl/>
          <w:lang w:eastAsia="he-IL" w:bidi="ar-SA"/>
        </w:rPr>
        <w:t>تخطيط</w:t>
      </w:r>
      <w:r w:rsidRPr="00EF51AF">
        <w:rPr>
          <w:rFonts w:ascii="Tahoma" w:hAnsi="Tahoma" w:cs="Tahoma"/>
          <w:sz w:val="22"/>
          <w:szCs w:val="22"/>
          <w:rtl/>
          <w:lang w:eastAsia="he-IL" w:bidi="ar-SA"/>
        </w:rPr>
        <w:t xml:space="preserve"> المواصلات العامّة والنهوض بها</w:t>
      </w:r>
      <w:r w:rsidRPr="00660AC7">
        <w:rPr>
          <w:rFonts w:ascii="Tahoma" w:hAnsi="Tahoma" w:cs="Tahoma"/>
          <w:sz w:val="20"/>
          <w:szCs w:val="20"/>
          <w:rtl/>
          <w:lang w:eastAsia="he-IL"/>
        </w:rPr>
        <w:t xml:space="preserve"> //</w:t>
      </w:r>
      <w:r>
        <w:rPr>
          <w:rFonts w:ascii="Tahoma" w:hAnsi="Tahoma" w:cs="Tahoma"/>
          <w:sz w:val="20"/>
          <w:szCs w:val="20"/>
          <w:lang w:eastAsia="he-IL"/>
        </w:rPr>
        <w:t xml:space="preserve"> </w:t>
      </w:r>
      <w:r>
        <w:rPr>
          <w:rFonts w:ascii="Tahoma" w:hAnsi="Tahoma" w:cs="Tahoma" w:hint="cs"/>
          <w:sz w:val="20"/>
          <w:szCs w:val="20"/>
          <w:rtl/>
          <w:lang w:eastAsia="he-IL"/>
        </w:rPr>
        <w:t>23</w:t>
      </w:r>
    </w:p>
    <w:p w:rsidR="00EF51AF" w:rsidP="00EF51AF">
      <w:pPr>
        <w:spacing w:line="320" w:lineRule="exact"/>
        <w:ind w:right="1701"/>
        <w:rPr>
          <w:rFonts w:ascii="Tahoma" w:hAnsi="Tahoma" w:cs="Tahoma"/>
          <w:sz w:val="22"/>
          <w:szCs w:val="22"/>
          <w:rtl/>
          <w:lang w:eastAsia="he-IL" w:bidi="ar-SA"/>
        </w:rPr>
      </w:pPr>
      <w:r w:rsidRPr="00EF51AF">
        <w:rPr>
          <w:rFonts w:ascii="Tahoma" w:hAnsi="Tahoma" w:cs="Tahoma" w:hint="cs"/>
          <w:sz w:val="22"/>
          <w:szCs w:val="22"/>
          <w:rtl/>
          <w:lang w:eastAsia="he-IL" w:bidi="ar-SA"/>
        </w:rPr>
        <w:t>عمل</w:t>
      </w:r>
      <w:r w:rsidRPr="00EF51AF">
        <w:rPr>
          <w:rFonts w:ascii="Tahoma" w:hAnsi="Tahoma" w:cs="Tahoma"/>
          <w:sz w:val="22"/>
          <w:szCs w:val="22"/>
          <w:rtl/>
          <w:lang w:eastAsia="he-IL" w:bidi="ar-SA"/>
        </w:rPr>
        <w:t xml:space="preserve"> القطارات ودمجه في منظومة المواصلات العامّة</w:t>
      </w:r>
      <w:r w:rsidRPr="00660AC7">
        <w:rPr>
          <w:rFonts w:ascii="Tahoma" w:hAnsi="Tahoma" w:cs="Tahoma"/>
          <w:sz w:val="20"/>
          <w:szCs w:val="20"/>
          <w:rtl/>
          <w:lang w:eastAsia="he-IL"/>
        </w:rPr>
        <w:t xml:space="preserve"> //</w:t>
      </w:r>
      <w:r>
        <w:rPr>
          <w:rFonts w:ascii="Tahoma" w:hAnsi="Tahoma" w:cs="Tahoma"/>
          <w:sz w:val="20"/>
          <w:szCs w:val="20"/>
          <w:lang w:eastAsia="he-IL"/>
        </w:rPr>
        <w:t xml:space="preserve"> </w:t>
      </w:r>
      <w:r>
        <w:rPr>
          <w:rFonts w:ascii="Tahoma" w:hAnsi="Tahoma" w:cs="Tahoma" w:hint="cs"/>
          <w:sz w:val="20"/>
          <w:szCs w:val="20"/>
          <w:rtl/>
          <w:lang w:eastAsia="he-IL"/>
        </w:rPr>
        <w:t>87</w:t>
      </w:r>
    </w:p>
    <w:p w:rsidR="00EF51AF" w:rsidP="00EF51AF">
      <w:pPr>
        <w:spacing w:line="320" w:lineRule="exact"/>
        <w:ind w:right="1701"/>
        <w:rPr>
          <w:rFonts w:ascii="Tahoma" w:hAnsi="Tahoma" w:cs="Tahoma"/>
          <w:sz w:val="22"/>
          <w:szCs w:val="22"/>
          <w:rtl/>
          <w:lang w:eastAsia="he-IL" w:bidi="ar-SA"/>
        </w:rPr>
      </w:pPr>
      <w:r w:rsidRPr="00EF51AF">
        <w:rPr>
          <w:rFonts w:ascii="Tahoma" w:hAnsi="Tahoma" w:cs="Tahoma"/>
          <w:sz w:val="22"/>
          <w:szCs w:val="22"/>
          <w:rtl/>
          <w:lang w:eastAsia="he-IL" w:bidi="ar-SA"/>
        </w:rPr>
        <w:t>النهوض بخدمات المواصلات العامّة في الباصات</w:t>
      </w:r>
      <w:r w:rsidRPr="00660AC7">
        <w:rPr>
          <w:rFonts w:ascii="Tahoma" w:hAnsi="Tahoma" w:cs="Tahoma"/>
          <w:sz w:val="20"/>
          <w:szCs w:val="20"/>
          <w:rtl/>
          <w:lang w:eastAsia="he-IL"/>
        </w:rPr>
        <w:t xml:space="preserve"> //</w:t>
      </w:r>
      <w:r>
        <w:rPr>
          <w:rFonts w:ascii="Tahoma" w:hAnsi="Tahoma" w:cs="Tahoma"/>
          <w:sz w:val="20"/>
          <w:szCs w:val="20"/>
          <w:lang w:eastAsia="he-IL"/>
        </w:rPr>
        <w:t xml:space="preserve"> </w:t>
      </w:r>
      <w:r>
        <w:rPr>
          <w:rFonts w:ascii="Tahoma" w:hAnsi="Tahoma" w:cs="Tahoma" w:hint="cs"/>
          <w:sz w:val="20"/>
          <w:szCs w:val="20"/>
          <w:rtl/>
          <w:lang w:eastAsia="he-IL"/>
        </w:rPr>
        <w:t>175</w:t>
      </w:r>
    </w:p>
    <w:p w:rsidR="00EF51AF" w:rsidP="00EF51AF">
      <w:pPr>
        <w:spacing w:line="320" w:lineRule="exact"/>
        <w:ind w:right="1701"/>
        <w:rPr>
          <w:rFonts w:ascii="Tahoma" w:hAnsi="Tahoma" w:cs="Tahoma"/>
          <w:sz w:val="22"/>
          <w:szCs w:val="22"/>
          <w:rtl/>
          <w:lang w:eastAsia="he-IL" w:bidi="ar-SA"/>
        </w:rPr>
      </w:pPr>
      <w:r w:rsidRPr="00EF51AF">
        <w:rPr>
          <w:rFonts w:ascii="Tahoma" w:hAnsi="Tahoma" w:cs="Tahoma"/>
          <w:sz w:val="22"/>
          <w:szCs w:val="22"/>
          <w:rtl/>
          <w:lang w:eastAsia="he-IL" w:bidi="ar-SA"/>
        </w:rPr>
        <w:t>النهوض بالمواصلات العامّة في البلدات غير اليهوديّة</w:t>
      </w:r>
      <w:r w:rsidRPr="00660AC7">
        <w:rPr>
          <w:rFonts w:ascii="Tahoma" w:hAnsi="Tahoma" w:cs="Tahoma"/>
          <w:sz w:val="20"/>
          <w:szCs w:val="20"/>
          <w:rtl/>
          <w:lang w:eastAsia="he-IL"/>
        </w:rPr>
        <w:t xml:space="preserve"> //</w:t>
      </w:r>
      <w:r>
        <w:rPr>
          <w:rFonts w:ascii="Tahoma" w:hAnsi="Tahoma" w:cs="Tahoma"/>
          <w:sz w:val="20"/>
          <w:szCs w:val="20"/>
          <w:lang w:eastAsia="he-IL"/>
        </w:rPr>
        <w:t xml:space="preserve"> </w:t>
      </w:r>
      <w:r>
        <w:rPr>
          <w:rFonts w:ascii="Tahoma" w:hAnsi="Tahoma" w:cs="Tahoma" w:hint="cs"/>
          <w:sz w:val="20"/>
          <w:szCs w:val="20"/>
          <w:rtl/>
          <w:lang w:eastAsia="he-IL"/>
        </w:rPr>
        <w:t>225</w:t>
      </w:r>
    </w:p>
    <w:p w:rsidR="00EF51AF" w:rsidRPr="00EF51AF" w:rsidP="00EF51AF">
      <w:pPr>
        <w:spacing w:line="320" w:lineRule="exact"/>
        <w:ind w:right="1701"/>
        <w:rPr>
          <w:rFonts w:ascii="Tahoma" w:hAnsi="Tahoma" w:cs="Tahoma"/>
          <w:sz w:val="22"/>
          <w:szCs w:val="22"/>
          <w:lang w:eastAsia="he-IL" w:bidi="ar-SA"/>
        </w:rPr>
      </w:pPr>
      <w:r w:rsidRPr="00EF51AF">
        <w:rPr>
          <w:rFonts w:ascii="Tahoma" w:hAnsi="Tahoma" w:cs="Tahoma"/>
          <w:sz w:val="22"/>
          <w:szCs w:val="22"/>
          <w:rtl/>
          <w:lang w:eastAsia="he-IL" w:bidi="ar-SA"/>
        </w:rPr>
        <w:t xml:space="preserve">إنشاء مسارات للمواصلات العامّة ومسارات سريعة في حاضرة </w:t>
      </w:r>
      <w:r w:rsidRPr="00EF51AF">
        <w:rPr>
          <w:rFonts w:ascii="Tahoma" w:hAnsi="Tahoma" w:cs="Tahoma"/>
          <w:sz w:val="22"/>
          <w:szCs w:val="22"/>
          <w:rtl/>
          <w:lang w:eastAsia="he-IL" w:bidi="ar-SA"/>
        </w:rPr>
        <w:t>تل</w:t>
      </w:r>
      <w:r w:rsidRPr="00EF51AF">
        <w:rPr>
          <w:rFonts w:ascii="Tahoma" w:hAnsi="Tahoma" w:cs="Tahoma"/>
          <w:sz w:val="22"/>
          <w:szCs w:val="22"/>
          <w:rtl/>
          <w:lang w:eastAsia="he-IL" w:bidi="ar-SA"/>
        </w:rPr>
        <w:t xml:space="preserve"> أبيب- يافا</w:t>
      </w:r>
      <w:r w:rsidRPr="00660AC7">
        <w:rPr>
          <w:rFonts w:ascii="Tahoma" w:hAnsi="Tahoma" w:cs="Tahoma"/>
          <w:sz w:val="20"/>
          <w:szCs w:val="20"/>
          <w:rtl/>
          <w:lang w:eastAsia="he-IL"/>
        </w:rPr>
        <w:t xml:space="preserve"> //</w:t>
      </w:r>
      <w:r>
        <w:rPr>
          <w:rFonts w:ascii="Tahoma" w:hAnsi="Tahoma" w:cs="Tahoma"/>
          <w:sz w:val="20"/>
          <w:szCs w:val="20"/>
          <w:lang w:eastAsia="he-IL"/>
        </w:rPr>
        <w:t xml:space="preserve"> </w:t>
      </w:r>
      <w:r>
        <w:rPr>
          <w:rFonts w:ascii="Tahoma" w:hAnsi="Tahoma" w:cs="Tahoma" w:hint="cs"/>
          <w:sz w:val="20"/>
          <w:szCs w:val="20"/>
          <w:rtl/>
          <w:lang w:eastAsia="he-IL"/>
        </w:rPr>
        <w:t>283</w:t>
      </w:r>
    </w:p>
    <w:p w:rsidR="00EF51AF" w:rsidP="00EF51AF">
      <w:pPr>
        <w:spacing w:line="320" w:lineRule="exact"/>
        <w:ind w:right="1701"/>
        <w:rPr>
          <w:rFonts w:ascii="Tahoma" w:hAnsi="Tahoma" w:cs="Tahoma"/>
          <w:sz w:val="22"/>
          <w:szCs w:val="22"/>
          <w:rtl/>
          <w:lang w:eastAsia="he-IL" w:bidi="ar-SA"/>
        </w:rPr>
      </w:pPr>
      <w:r w:rsidRPr="00EF51AF">
        <w:rPr>
          <w:rFonts w:ascii="Tahoma" w:hAnsi="Tahoma" w:cs="Tahoma"/>
          <w:sz w:val="22"/>
          <w:szCs w:val="22"/>
          <w:rtl/>
          <w:lang w:eastAsia="he-IL" w:bidi="ar-SA"/>
        </w:rPr>
        <w:t xml:space="preserve">النهوض بالمواصلات العامّة في حاضرة حيفا </w:t>
      </w:r>
      <w:r w:rsidRPr="00EF51AF">
        <w:rPr>
          <w:rFonts w:ascii="Tahoma" w:hAnsi="Tahoma" w:cs="Tahoma"/>
          <w:sz w:val="22"/>
          <w:szCs w:val="22"/>
          <w:rtl/>
          <w:lang w:eastAsia="he-IL" w:bidi="ar-SA"/>
        </w:rPr>
        <w:t>وتطويرها</w:t>
      </w:r>
      <w:r w:rsidRPr="00660AC7">
        <w:rPr>
          <w:rFonts w:ascii="Tahoma" w:hAnsi="Tahoma" w:cs="Tahoma"/>
          <w:sz w:val="20"/>
          <w:szCs w:val="20"/>
          <w:rtl/>
          <w:lang w:eastAsia="he-IL"/>
        </w:rPr>
        <w:t xml:space="preserve"> //</w:t>
      </w:r>
      <w:r>
        <w:rPr>
          <w:rFonts w:ascii="Tahoma" w:hAnsi="Tahoma" w:cs="Tahoma"/>
          <w:sz w:val="20"/>
          <w:szCs w:val="20"/>
          <w:lang w:eastAsia="he-IL"/>
        </w:rPr>
        <w:t xml:space="preserve"> </w:t>
      </w:r>
      <w:r>
        <w:rPr>
          <w:rFonts w:ascii="Tahoma" w:hAnsi="Tahoma" w:cs="Tahoma" w:hint="cs"/>
          <w:sz w:val="20"/>
          <w:szCs w:val="20"/>
          <w:rtl/>
          <w:lang w:eastAsia="he-IL"/>
        </w:rPr>
        <w:t>383</w:t>
      </w:r>
    </w:p>
    <w:p w:rsidR="00EF51AF" w:rsidP="00EF51AF">
      <w:pPr>
        <w:spacing w:line="320" w:lineRule="exact"/>
        <w:ind w:right="1701"/>
        <w:rPr>
          <w:rFonts w:ascii="Tahoma" w:hAnsi="Tahoma" w:cs="Tahoma"/>
          <w:sz w:val="22"/>
          <w:szCs w:val="22"/>
          <w:rtl/>
          <w:lang w:eastAsia="he-IL" w:bidi="ar-SA"/>
        </w:rPr>
      </w:pPr>
      <w:r w:rsidRPr="00EF51AF">
        <w:rPr>
          <w:rFonts w:ascii="Tahoma" w:hAnsi="Tahoma" w:cs="Tahoma"/>
          <w:sz w:val="22"/>
          <w:szCs w:val="22"/>
          <w:rtl/>
          <w:lang w:eastAsia="he-IL" w:bidi="ar-SA"/>
        </w:rPr>
        <w:t>الخدمات للمسافرين في القطار الخفيف في أورشليم القدس</w:t>
      </w:r>
      <w:r w:rsidRPr="00660AC7">
        <w:rPr>
          <w:rFonts w:ascii="Tahoma" w:hAnsi="Tahoma" w:cs="Tahoma"/>
          <w:sz w:val="20"/>
          <w:szCs w:val="20"/>
          <w:rtl/>
          <w:lang w:eastAsia="he-IL"/>
        </w:rPr>
        <w:t xml:space="preserve"> //</w:t>
      </w:r>
      <w:r>
        <w:rPr>
          <w:rFonts w:ascii="Tahoma" w:hAnsi="Tahoma" w:cs="Tahoma"/>
          <w:sz w:val="20"/>
          <w:szCs w:val="20"/>
          <w:lang w:eastAsia="he-IL"/>
        </w:rPr>
        <w:t xml:space="preserve"> </w:t>
      </w:r>
      <w:r>
        <w:rPr>
          <w:rFonts w:ascii="Tahoma" w:hAnsi="Tahoma" w:cs="Tahoma" w:hint="cs"/>
          <w:sz w:val="20"/>
          <w:szCs w:val="20"/>
          <w:rtl/>
          <w:lang w:eastAsia="he-IL"/>
        </w:rPr>
        <w:t>447</w:t>
      </w:r>
    </w:p>
    <w:p w:rsidR="00EF51AF" w:rsidRPr="00EF51AF" w:rsidP="00EF51AF">
      <w:pPr>
        <w:spacing w:line="320" w:lineRule="exact"/>
        <w:ind w:right="1701"/>
        <w:rPr>
          <w:rFonts w:ascii="Tahoma" w:hAnsi="Tahoma" w:cs="Tahoma"/>
          <w:sz w:val="22"/>
          <w:szCs w:val="22"/>
          <w:rtl/>
          <w:lang w:eastAsia="he-IL"/>
        </w:rPr>
      </w:pPr>
      <w:r w:rsidRPr="00EF51AF">
        <w:rPr>
          <w:rFonts w:ascii="Tahoma" w:hAnsi="Tahoma" w:cs="Tahoma"/>
          <w:sz w:val="22"/>
          <w:szCs w:val="22"/>
          <w:rtl/>
          <w:lang w:eastAsia="he-IL" w:bidi="ar-SA"/>
        </w:rPr>
        <w:t>الخطوات التي تتّخذها الحكومة للحدّ من استخدام السيّارات الخصوصيّة، بواسطة محفّزات اقتصاديّة</w:t>
      </w:r>
      <w:r w:rsidRPr="00660AC7">
        <w:rPr>
          <w:rFonts w:ascii="Tahoma" w:hAnsi="Tahoma" w:cs="Tahoma"/>
          <w:sz w:val="20"/>
          <w:szCs w:val="20"/>
          <w:rtl/>
          <w:lang w:eastAsia="he-IL"/>
        </w:rPr>
        <w:t xml:space="preserve"> //</w:t>
      </w:r>
      <w:r>
        <w:rPr>
          <w:rFonts w:ascii="Tahoma" w:hAnsi="Tahoma" w:cs="Tahoma"/>
          <w:sz w:val="20"/>
          <w:szCs w:val="20"/>
          <w:lang w:eastAsia="he-IL"/>
        </w:rPr>
        <w:t xml:space="preserve"> </w:t>
      </w:r>
      <w:r>
        <w:rPr>
          <w:rFonts w:ascii="Tahoma" w:hAnsi="Tahoma" w:cs="Tahoma" w:hint="cs"/>
          <w:sz w:val="20"/>
          <w:szCs w:val="20"/>
          <w:rtl/>
          <w:lang w:eastAsia="he-IL"/>
        </w:rPr>
        <w:t>529</w:t>
      </w:r>
    </w:p>
    <w:p w:rsidR="00242D1D" w:rsidP="002E35EC">
      <w:pPr>
        <w:rPr>
          <w:rtl/>
        </w:rPr>
      </w:pPr>
    </w:p>
    <w:p w:rsidR="000F4E51" w:rsidP="002E35EC">
      <w:pPr>
        <w:rPr>
          <w:rtl/>
        </w:rPr>
        <w:sectPr w:rsidSect="00613A26">
          <w:pgSz w:w="11906" w:h="16838" w:code="9"/>
          <w:pgMar w:top="3402" w:right="1701" w:bottom="2835" w:left="3402" w:header="1559" w:footer="709" w:gutter="0"/>
          <w:cols w:space="708"/>
          <w:bidi/>
          <w:rtlGutter/>
          <w:docGrid w:linePitch="360"/>
        </w:sectPr>
      </w:pPr>
    </w:p>
    <w:p w:rsidR="000F4E51" w:rsidP="002E35EC">
      <w:pPr>
        <w:rPr>
          <w:rtl/>
        </w:rPr>
      </w:pPr>
    </w:p>
    <w:p w:rsidR="000F4E51" w:rsidP="002E35EC">
      <w:pPr>
        <w:rPr>
          <w:rtl/>
        </w:rPr>
        <w:sectPr w:rsidSect="000F4E51">
          <w:headerReference w:type="first" r:id="rId10"/>
          <w:pgSz w:w="11906" w:h="16838" w:code="9"/>
          <w:pgMar w:top="3402" w:right="1701" w:bottom="2835" w:left="3402" w:header="1559" w:footer="709" w:gutter="0"/>
          <w:cols w:space="708"/>
          <w:titlePg/>
          <w:bidi/>
          <w:rtlGutter/>
          <w:docGrid w:linePitch="360"/>
        </w:sectPr>
      </w:pPr>
    </w:p>
    <w:p w:rsidR="002E35EC" w:rsidP="002E35EC">
      <w:pPr>
        <w:spacing w:line="240" w:lineRule="atLeast"/>
        <w:jc w:val="center"/>
      </w:pPr>
      <w:r>
        <w:rPr>
          <w:noProof/>
        </w:rPr>
        <w:drawing>
          <wp:inline distT="0" distB="0" distL="0" distR="0">
            <wp:extent cx="4319905" cy="4402455"/>
            <wp:effectExtent l="0" t="0" r="4445" b="0"/>
            <wp:docPr id="9" name="Picture 9" descr="במשך שנים רבות משרד התחבורה לא פעל די הצורך כדי שתכנון הערים יתבצע תוך התחשבות בצרכים של המפעילים והמשתמשים בתחבורה הציבורית. נוסף על כך, הליכי התכנון נמשכים שנים רבות, ולעיתים אין סנכרון בין הבנייה בפועל לבין המענה התחבורתי.&#10;בגלל היערכות לא מספקת לגידול בביקוש, ובשל מחסור בציוד נייד ובתשתיות, נוסעי הרכבת חווים צפיפות גדולה בחלק מקווי הרכבת, והיא צפויה להימשך גם בשנים הקרובות.&#10;מחסור בתשתיות תומכות תחבורה ציבורית ובנהגים, שיטת תשלום למפעילים שאינה מתמרצת את מפעילי האוטובוסים וכשלים במערך הפיקוח והבקרה של משרד התחבורה מביאים לפגיעה בשירות לנוסעי האוטובוסים.&#10;החלטות הממשלה לקידום תשתיות ושירותי תחבורה ציבורית בחלק מהיישובים הלא-יהודיים הביאו להגדלת הפערים בהשקעה המצטברת בשנים 2005 עד 2017 בין היישובים הלא-יהודיים. &#10;התמשכות הליכי קבלת ההחלטות ואישורי התקציב עיכבו את קידום מתן ההעדפה ברמזורים למטרונית בכמה שנים וגרמו להארכת זמן הנסיעה ולפגיעה משמעותית בשירות לנוסע במטרופולין חיפ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85118" name="opn-r.wmf"/>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9905" cy="4402455"/>
                    </a:xfrm>
                    <a:prstGeom prst="rect">
                      <a:avLst/>
                    </a:prstGeom>
                  </pic:spPr>
                </pic:pic>
              </a:graphicData>
            </a:graphic>
          </wp:inline>
        </w:drawing>
      </w:r>
    </w:p>
    <w:p w:rsidR="009E5771" w:rsidP="002E35EC">
      <w:pPr>
        <w:pStyle w:val="TableofFigures"/>
        <w:spacing w:line="240" w:lineRule="atLeast"/>
        <w:jc w:val="center"/>
        <w:rPr>
          <w:rtl/>
          <w:lang w:eastAsia="en-US"/>
        </w:rPr>
      </w:pPr>
      <w:r>
        <w:rPr>
          <w:rtl/>
          <w:lang w:eastAsia="en-US"/>
        </w:rPr>
        <w:br w:type="page"/>
      </w:r>
    </w:p>
    <w:p w:rsidR="009E5771" w:rsidP="002E35EC">
      <w:pPr>
        <w:spacing w:line="240" w:lineRule="atLeast"/>
        <w:jc w:val="center"/>
      </w:pPr>
      <w:r>
        <w:rPr>
          <w:noProof/>
        </w:rPr>
        <w:drawing>
          <wp:inline distT="0" distB="0" distL="0" distR="0">
            <wp:extent cx="4319905" cy="4393565"/>
            <wp:effectExtent l="0" t="0" r="4445" b="6985"/>
            <wp:docPr id="10" name="Picture 10" descr="ביצוע פרויקטים חשובים לקידום התחבורה הציבורית במטרופולין חיפה - פרויקט הרכבת הקלה מנצרת לחיפה, הרכבת והכפלת מסילות הרכבת ממרכז הארץ לחיפה, מתעכב שנים רבות. &#10;מימוש תוכנית &quot;מהיר לעיר&quot; למתן העדפה לתחבורה ציבורית במטרופולין תל אביב-יפו מתעכב שנים רבות. התוכנית מיושמת באופן חלקי תוך פגיעה ברציפות בצירי התנועה, ובלי שהושלם התכנון למתן העדפה לאוטובוסים ברמזורים. &#10;מאפייני ההסכם בין המדינה לבין הזכיין האחראי להפעלת הרכבת הקלה בירושלים, אינם מאפשרים היענות מהירה לשינויים בצורכי המשתמשים, מגבילים פיתוח תשתיות נוספות ופוגעים ביכולת לשפר את השירות לנוסע. &#10;יישום כושל בעשור האחרון של החלטות הממשלה ושל הצוותים המקצועיים שעסקו בקידום תמריצים כלכליים להפחתת השימוש בכלי רכב פרטיים - מתוך תשעה כלים ותוכניות שנבחנו, שישה כלים אינם מוכנים ליישום, חלקם לא קודמו כלל, וניסוי לבחינת אגרת גודש עוכב על ידי שר התחבורה בניגוד למדיניות הממשלה ולהחלטותיה.&#10;ליקויים בתפקוד משרד התחבורה בתכנון, פיתוח, הסדרה וניהול של מערך התחבורה הציבורית תרמו לכך שהשירות הניתן למשתמשי התחבורה הציבורית אינו נותן מענה לצורכיה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73068" name="opn-l.wmf"/>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9905" cy="4393565"/>
                    </a:xfrm>
                    <a:prstGeom prst="rect">
                      <a:avLst/>
                    </a:prstGeom>
                  </pic:spPr>
                </pic:pic>
              </a:graphicData>
            </a:graphic>
          </wp:inline>
        </w:drawing>
      </w:r>
    </w:p>
    <w:p w:rsidR="002E35EC" w:rsidP="002E35EC">
      <w:pPr>
        <w:rPr>
          <w:rtl/>
        </w:rPr>
        <w:sectPr w:rsidSect="000F4E51">
          <w:headerReference w:type="first" r:id="rId13"/>
          <w:pgSz w:w="11906" w:h="16838" w:code="9"/>
          <w:pgMar w:top="3402" w:right="1701" w:bottom="2835" w:left="3402" w:header="1559" w:footer="709" w:gutter="0"/>
          <w:cols w:space="708"/>
          <w:titlePg/>
          <w:bidi/>
          <w:rtlGutter/>
          <w:docGrid w:linePitch="360"/>
        </w:sectPr>
      </w:pPr>
      <w:bookmarkStart w:id="5" w:name="_GoBack"/>
      <w:bookmarkEnd w:id="5"/>
    </w:p>
    <w:p w:rsidR="000F4E51" w:rsidP="002E35EC">
      <w:pPr>
        <w:rPr>
          <w:rtl/>
        </w:rPr>
      </w:pPr>
    </w:p>
    <w:sectPr w:rsidSect="000F4E51">
      <w:headerReference w:type="first" r:id="rId14"/>
      <w:pgSz w:w="11906" w:h="16838" w:code="9"/>
      <w:pgMar w:top="3402" w:right="1701" w:bottom="2835" w:left="3402" w:header="155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altName w:val="Arial"/>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1451"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sidR="00D70CA7">
      <w:rPr>
        <w:rFonts w:ascii="Arial Bold" w:hAnsi="Arial Bold" w:cs="Tahoma"/>
        <w:noProof/>
        <w:sz w:val="16"/>
        <w:szCs w:val="16"/>
        <w:rtl/>
      </w:rPr>
      <w:t>9</w:t>
    </w:r>
    <w:r w:rsidRPr="000536D4">
      <w:rPr>
        <w:rFonts w:ascii="Arial Bold" w:hAnsi="Arial Bold" w:cs="Tahoma"/>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2D1D" w:rsidRPr="000536D4" w:rsidP="005C76A4">
    <w:pPr>
      <w:spacing w:before="240" w:after="180" w:line="240" w:lineRule="auto"/>
      <w:rPr>
        <w:b/>
        <w:bCs/>
      </w:rPr>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Pr>
        <w:rFonts w:ascii="Arial Bold" w:hAnsi="Arial Bold" w:eastAsiaTheme="majorEastAsia" w:cs="Tahoma" w:hint="cs"/>
        <w:color w:val="0B5294" w:themeColor="accent1" w:themeShade="BF"/>
        <w:sz w:val="16"/>
        <w:szCs w:val="16"/>
        <w:rtl/>
      </w:rPr>
      <w:t>ביקורת מיוחד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2D1D" w:rsidRPr="00D70CA7" w:rsidP="00B25183">
    <w:pPr>
      <w:spacing w:before="240" w:after="180" w:line="240" w:lineRule="auto"/>
      <w:jc w:val="right"/>
      <w:rPr>
        <w:rFonts w:ascii="Tahoma" w:hAnsi="Tahoma" w:cs="Tahoma"/>
        <w:b/>
        <w:bCs/>
        <w:sz w:val="16"/>
        <w:szCs w:val="16"/>
      </w:rPr>
    </w:pPr>
    <w:r w:rsidRPr="006133CC">
      <w:rPr>
        <w:rFonts w:ascii="Tahoma" w:hAnsi="Tahoma" w:eastAsiaTheme="majorEastAsia" w:cs="Tahoma" w:hint="eastAsia"/>
        <w:noProof/>
        <w:color w:val="0B5294" w:themeColor="accent1" w:themeShade="BF"/>
        <w:sz w:val="16"/>
        <w:szCs w:val="16"/>
        <w:rtl/>
      </w:rPr>
      <w:t>משבר</w:t>
    </w:r>
    <w:r w:rsidRPr="006133CC">
      <w:rPr>
        <w:rFonts w:ascii="Tahoma" w:hAnsi="Tahoma" w:eastAsiaTheme="majorEastAsia" w:cs="Tahoma"/>
        <w:noProof/>
        <w:color w:val="0B5294" w:themeColor="accent1" w:themeShade="BF"/>
        <w:sz w:val="16"/>
        <w:szCs w:val="16"/>
        <w:rtl/>
      </w:rPr>
      <w:t xml:space="preserve"> </w:t>
    </w:r>
    <w:r w:rsidRPr="006133CC">
      <w:rPr>
        <w:rFonts w:ascii="Tahoma" w:hAnsi="Tahoma" w:eastAsiaTheme="majorEastAsia" w:cs="Tahoma" w:hint="eastAsia"/>
        <w:noProof/>
        <w:color w:val="0B5294" w:themeColor="accent1" w:themeShade="BF"/>
        <w:sz w:val="16"/>
        <w:szCs w:val="16"/>
        <w:rtl/>
      </w:rPr>
      <w:t>התחבורה</w:t>
    </w:r>
    <w:r w:rsidRPr="006133CC">
      <w:rPr>
        <w:rFonts w:ascii="Tahoma" w:hAnsi="Tahoma" w:eastAsiaTheme="majorEastAsia" w:cs="Tahoma"/>
        <w:noProof/>
        <w:color w:val="0B5294" w:themeColor="accent1" w:themeShade="BF"/>
        <w:sz w:val="16"/>
        <w:szCs w:val="16"/>
        <w:rtl/>
      </w:rPr>
      <w:t xml:space="preserve"> </w:t>
    </w:r>
    <w:r w:rsidRPr="006133CC">
      <w:rPr>
        <w:rFonts w:ascii="Tahoma" w:hAnsi="Tahoma" w:eastAsiaTheme="majorEastAsia" w:cs="Tahoma" w:hint="eastAsia"/>
        <w:noProof/>
        <w:color w:val="0B5294" w:themeColor="accent1" w:themeShade="BF"/>
        <w:sz w:val="16"/>
        <w:szCs w:val="16"/>
        <w:rtl/>
      </w:rPr>
      <w:t>הציבורית</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4.75pt" o:bullet="t">
        <v:imagedata r:id="rId1" o:title=""/>
      </v:shape>
    </w:pict>
  </w:numPicBullet>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469D4907"/>
    <w:multiLevelType w:val="hybridMultilevel"/>
    <w:tmpl w:val="24FA095A"/>
    <w:lvl w:ilvl="0">
      <w:start w:val="1"/>
      <w:numFmt w:val="decimal"/>
      <w:lvlText w:val="%1."/>
      <w:lvlJc w:val="left"/>
      <w:pPr>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F22D4F"/>
    <w:multiLevelType w:val="hybridMultilevel"/>
    <w:tmpl w:val="F6F8185A"/>
    <w:lvl w:ilvl="0">
      <w:start w:val="1"/>
      <w:numFmt w:val="decimal"/>
      <w:lvlText w:val="%1."/>
      <w:lvlJc w:val="left"/>
      <w:pPr>
        <w:ind w:left="720" w:hanging="360"/>
      </w:pPr>
      <w:rPr>
        <w:rFonts w:cs="Tahoma" w:hint="default"/>
        <w:bCs w:val="0"/>
        <w:iCs w:val="0"/>
        <w:szCs w:val="17"/>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4906BA"/>
    <w:multiLevelType w:val="hybridMultilevel"/>
    <w:tmpl w:val="DA9060A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F2109E"/>
    <w:multiLevelType w:val="hybridMultilevel"/>
    <w:tmpl w:val="4B846458"/>
    <w:lvl w:ilvl="0">
      <w:start w:val="1"/>
      <w:numFmt w:val="decimal"/>
      <w:lvlText w:val="%1."/>
      <w:lvlJc w:val="left"/>
      <w:pPr>
        <w:ind w:left="672" w:hanging="360"/>
      </w:pPr>
      <w:rPr>
        <w:rFonts w:hint="default"/>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9">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9F246EF"/>
    <w:multiLevelType w:val="hybridMultilevel"/>
    <w:tmpl w:val="144CF8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20"/>
  </w:num>
  <w:num w:numId="4">
    <w:abstractNumId w:val="5"/>
  </w:num>
  <w:num w:numId="5">
    <w:abstractNumId w:val="19"/>
  </w:num>
  <w:num w:numId="6">
    <w:abstractNumId w:val="3"/>
  </w:num>
  <w:num w:numId="7">
    <w:abstractNumId w:val="22"/>
  </w:num>
  <w:num w:numId="8">
    <w:abstractNumId w:val="23"/>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 w:numId="36">
    <w:abstractNumId w:val="18"/>
  </w:num>
  <w:num w:numId="37">
    <w:abstractNumId w:val="21"/>
  </w:num>
  <w:num w:numId="38">
    <w:abstractNumId w:val="5"/>
  </w:num>
  <w:num w:numId="39">
    <w:abstractNumId w:val="5"/>
  </w:num>
  <w:num w:numId="40">
    <w:abstractNumId w:val="5"/>
  </w:num>
  <w:num w:numId="41">
    <w:abstractNumId w:val="5"/>
  </w:num>
  <w:num w:numId="42">
    <w:abstractNumId w:val="16"/>
  </w:num>
  <w:num w:numId="43">
    <w:abstractNumId w:val="5"/>
  </w:num>
  <w:num w:numId="44">
    <w:abstractNumId w:val="5"/>
  </w:num>
  <w:num w:numId="45">
    <w:abstractNumId w:val="5"/>
  </w:num>
  <w:num w:numId="46">
    <w:abstractNumId w:val="5"/>
  </w:num>
  <w:num w:numId="47">
    <w:abstractNumId w:val="5"/>
  </w:num>
  <w:num w:numId="48">
    <w:abstractNumId w:val="5"/>
  </w:num>
  <w:num w:numId="49">
    <w:abstractNumId w:val="15"/>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050"/>
    <w:rsid w:val="000114F5"/>
    <w:rsid w:val="00011508"/>
    <w:rsid w:val="000123B5"/>
    <w:rsid w:val="00012511"/>
    <w:rsid w:val="00012E42"/>
    <w:rsid w:val="00012FC5"/>
    <w:rsid w:val="00013127"/>
    <w:rsid w:val="00015D42"/>
    <w:rsid w:val="00017099"/>
    <w:rsid w:val="000174BC"/>
    <w:rsid w:val="00021662"/>
    <w:rsid w:val="000225D3"/>
    <w:rsid w:val="00024291"/>
    <w:rsid w:val="000249E2"/>
    <w:rsid w:val="00025440"/>
    <w:rsid w:val="00025650"/>
    <w:rsid w:val="0002681A"/>
    <w:rsid w:val="0002689B"/>
    <w:rsid w:val="00027245"/>
    <w:rsid w:val="0002729A"/>
    <w:rsid w:val="00031449"/>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4F5A"/>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90AB0"/>
    <w:rsid w:val="00091821"/>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3F7"/>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D79"/>
    <w:rsid w:val="000F3B27"/>
    <w:rsid w:val="000F4951"/>
    <w:rsid w:val="000F4997"/>
    <w:rsid w:val="000F49B9"/>
    <w:rsid w:val="000F4C6C"/>
    <w:rsid w:val="000F4E31"/>
    <w:rsid w:val="000F4E51"/>
    <w:rsid w:val="000F51B7"/>
    <w:rsid w:val="000F68CD"/>
    <w:rsid w:val="000F69B0"/>
    <w:rsid w:val="000F6B40"/>
    <w:rsid w:val="000F6DCF"/>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067F"/>
    <w:rsid w:val="00141E28"/>
    <w:rsid w:val="00143613"/>
    <w:rsid w:val="00144589"/>
    <w:rsid w:val="00144786"/>
    <w:rsid w:val="00145DAD"/>
    <w:rsid w:val="00146345"/>
    <w:rsid w:val="00150E90"/>
    <w:rsid w:val="0015132E"/>
    <w:rsid w:val="001519D2"/>
    <w:rsid w:val="001522A5"/>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86D"/>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AB7"/>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21EA"/>
    <w:rsid w:val="001E25A0"/>
    <w:rsid w:val="001E2CC9"/>
    <w:rsid w:val="001E3D2B"/>
    <w:rsid w:val="001E5A0D"/>
    <w:rsid w:val="001E5BF1"/>
    <w:rsid w:val="001E5C22"/>
    <w:rsid w:val="001E7054"/>
    <w:rsid w:val="001E7248"/>
    <w:rsid w:val="001E732D"/>
    <w:rsid w:val="001E7790"/>
    <w:rsid w:val="001F042F"/>
    <w:rsid w:val="001F16FD"/>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132"/>
    <w:rsid w:val="00204FD5"/>
    <w:rsid w:val="00205F03"/>
    <w:rsid w:val="00206427"/>
    <w:rsid w:val="00206924"/>
    <w:rsid w:val="00206B50"/>
    <w:rsid w:val="0020737B"/>
    <w:rsid w:val="00207C31"/>
    <w:rsid w:val="002110A0"/>
    <w:rsid w:val="00211542"/>
    <w:rsid w:val="002115E2"/>
    <w:rsid w:val="00211890"/>
    <w:rsid w:val="00211CD5"/>
    <w:rsid w:val="00212C70"/>
    <w:rsid w:val="00212CC9"/>
    <w:rsid w:val="002164D6"/>
    <w:rsid w:val="00216564"/>
    <w:rsid w:val="00216CE4"/>
    <w:rsid w:val="00216E18"/>
    <w:rsid w:val="00217002"/>
    <w:rsid w:val="00217551"/>
    <w:rsid w:val="00217D25"/>
    <w:rsid w:val="00220150"/>
    <w:rsid w:val="00220B1E"/>
    <w:rsid w:val="00221B6D"/>
    <w:rsid w:val="0022265A"/>
    <w:rsid w:val="00222EFD"/>
    <w:rsid w:val="00223E18"/>
    <w:rsid w:val="00225614"/>
    <w:rsid w:val="00225E4F"/>
    <w:rsid w:val="00226BE5"/>
    <w:rsid w:val="00226D6C"/>
    <w:rsid w:val="00226E00"/>
    <w:rsid w:val="002303B8"/>
    <w:rsid w:val="00230D48"/>
    <w:rsid w:val="0023147E"/>
    <w:rsid w:val="002314C8"/>
    <w:rsid w:val="00231F72"/>
    <w:rsid w:val="002330D7"/>
    <w:rsid w:val="00233EF1"/>
    <w:rsid w:val="002348BC"/>
    <w:rsid w:val="0023632E"/>
    <w:rsid w:val="00236CF1"/>
    <w:rsid w:val="0023718D"/>
    <w:rsid w:val="002373DF"/>
    <w:rsid w:val="00237E1A"/>
    <w:rsid w:val="00240202"/>
    <w:rsid w:val="0024074B"/>
    <w:rsid w:val="00240B64"/>
    <w:rsid w:val="00240FF7"/>
    <w:rsid w:val="002415B8"/>
    <w:rsid w:val="0024225C"/>
    <w:rsid w:val="002422F3"/>
    <w:rsid w:val="00242B03"/>
    <w:rsid w:val="00242D1D"/>
    <w:rsid w:val="00242DD2"/>
    <w:rsid w:val="002438EA"/>
    <w:rsid w:val="00243FB3"/>
    <w:rsid w:val="002449A8"/>
    <w:rsid w:val="00244F89"/>
    <w:rsid w:val="00245388"/>
    <w:rsid w:val="002455D9"/>
    <w:rsid w:val="002511A2"/>
    <w:rsid w:val="002518DB"/>
    <w:rsid w:val="002530C2"/>
    <w:rsid w:val="00255959"/>
    <w:rsid w:val="00255CC3"/>
    <w:rsid w:val="00257CAE"/>
    <w:rsid w:val="00260172"/>
    <w:rsid w:val="002630E9"/>
    <w:rsid w:val="00263139"/>
    <w:rsid w:val="002634FC"/>
    <w:rsid w:val="00264588"/>
    <w:rsid w:val="002647FF"/>
    <w:rsid w:val="00264915"/>
    <w:rsid w:val="002649D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C1D"/>
    <w:rsid w:val="00294765"/>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7A49"/>
    <w:rsid w:val="002A7A4A"/>
    <w:rsid w:val="002A7C14"/>
    <w:rsid w:val="002B0204"/>
    <w:rsid w:val="002B052B"/>
    <w:rsid w:val="002B064A"/>
    <w:rsid w:val="002B0758"/>
    <w:rsid w:val="002B07BA"/>
    <w:rsid w:val="002B0A10"/>
    <w:rsid w:val="002B1D68"/>
    <w:rsid w:val="002B285B"/>
    <w:rsid w:val="002B3C5B"/>
    <w:rsid w:val="002B5441"/>
    <w:rsid w:val="002B5517"/>
    <w:rsid w:val="002B5743"/>
    <w:rsid w:val="002B6920"/>
    <w:rsid w:val="002B6B84"/>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2A24"/>
    <w:rsid w:val="002E317F"/>
    <w:rsid w:val="002E3363"/>
    <w:rsid w:val="002E35EC"/>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44D4"/>
    <w:rsid w:val="003006EA"/>
    <w:rsid w:val="00300E9F"/>
    <w:rsid w:val="00301280"/>
    <w:rsid w:val="003019BB"/>
    <w:rsid w:val="003027AA"/>
    <w:rsid w:val="00302CDA"/>
    <w:rsid w:val="00302D1E"/>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2B9"/>
    <w:rsid w:val="00333FB0"/>
    <w:rsid w:val="00334BBC"/>
    <w:rsid w:val="003353AE"/>
    <w:rsid w:val="00335960"/>
    <w:rsid w:val="00335F65"/>
    <w:rsid w:val="00336A22"/>
    <w:rsid w:val="00336A9C"/>
    <w:rsid w:val="003416E1"/>
    <w:rsid w:val="00341EDA"/>
    <w:rsid w:val="00342E41"/>
    <w:rsid w:val="00342F9F"/>
    <w:rsid w:val="003437E8"/>
    <w:rsid w:val="00344900"/>
    <w:rsid w:val="00345A36"/>
    <w:rsid w:val="003466C7"/>
    <w:rsid w:val="00346DF9"/>
    <w:rsid w:val="003504AD"/>
    <w:rsid w:val="00351463"/>
    <w:rsid w:val="00352D72"/>
    <w:rsid w:val="00352F48"/>
    <w:rsid w:val="00353326"/>
    <w:rsid w:val="0035361A"/>
    <w:rsid w:val="003541A3"/>
    <w:rsid w:val="0035442A"/>
    <w:rsid w:val="00354900"/>
    <w:rsid w:val="0035514A"/>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F4"/>
    <w:rsid w:val="003978B2"/>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1DE0"/>
    <w:rsid w:val="003C2223"/>
    <w:rsid w:val="003C317B"/>
    <w:rsid w:val="003C3AD5"/>
    <w:rsid w:val="003C4D6C"/>
    <w:rsid w:val="003C57DC"/>
    <w:rsid w:val="003C5926"/>
    <w:rsid w:val="003C5929"/>
    <w:rsid w:val="003C67A4"/>
    <w:rsid w:val="003C726F"/>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15EA"/>
    <w:rsid w:val="003E323C"/>
    <w:rsid w:val="003E5275"/>
    <w:rsid w:val="003E5430"/>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B8A"/>
    <w:rsid w:val="00403F22"/>
    <w:rsid w:val="00404D52"/>
    <w:rsid w:val="00405C49"/>
    <w:rsid w:val="00406649"/>
    <w:rsid w:val="00406A0E"/>
    <w:rsid w:val="004101F3"/>
    <w:rsid w:val="00410B08"/>
    <w:rsid w:val="004113F4"/>
    <w:rsid w:val="004119B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5E2B"/>
    <w:rsid w:val="00425E9A"/>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FA7"/>
    <w:rsid w:val="00445112"/>
    <w:rsid w:val="00445C07"/>
    <w:rsid w:val="00445CE5"/>
    <w:rsid w:val="00446104"/>
    <w:rsid w:val="0044687F"/>
    <w:rsid w:val="00446C74"/>
    <w:rsid w:val="00447EBD"/>
    <w:rsid w:val="004505D6"/>
    <w:rsid w:val="00451F72"/>
    <w:rsid w:val="00451F8B"/>
    <w:rsid w:val="004535E7"/>
    <w:rsid w:val="004557A8"/>
    <w:rsid w:val="00456430"/>
    <w:rsid w:val="004564D4"/>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67D"/>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1C5"/>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2013"/>
    <w:rsid w:val="004E382E"/>
    <w:rsid w:val="004E384A"/>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AD4"/>
    <w:rsid w:val="00510C73"/>
    <w:rsid w:val="00511771"/>
    <w:rsid w:val="00511D75"/>
    <w:rsid w:val="00512355"/>
    <w:rsid w:val="005124C7"/>
    <w:rsid w:val="00512C90"/>
    <w:rsid w:val="00512CF1"/>
    <w:rsid w:val="00513862"/>
    <w:rsid w:val="00513FBC"/>
    <w:rsid w:val="00514E43"/>
    <w:rsid w:val="00515123"/>
    <w:rsid w:val="0051556D"/>
    <w:rsid w:val="00517B27"/>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AAB"/>
    <w:rsid w:val="00535208"/>
    <w:rsid w:val="00536356"/>
    <w:rsid w:val="00536D73"/>
    <w:rsid w:val="005377A6"/>
    <w:rsid w:val="00540FE0"/>
    <w:rsid w:val="0054263B"/>
    <w:rsid w:val="0054264F"/>
    <w:rsid w:val="00542ACA"/>
    <w:rsid w:val="005437E8"/>
    <w:rsid w:val="005438E7"/>
    <w:rsid w:val="00543BD2"/>
    <w:rsid w:val="00543F87"/>
    <w:rsid w:val="00544C20"/>
    <w:rsid w:val="00544E40"/>
    <w:rsid w:val="00545D3C"/>
    <w:rsid w:val="00546351"/>
    <w:rsid w:val="005468B0"/>
    <w:rsid w:val="00546EF7"/>
    <w:rsid w:val="00551A41"/>
    <w:rsid w:val="00552038"/>
    <w:rsid w:val="005529D8"/>
    <w:rsid w:val="00553692"/>
    <w:rsid w:val="005539F8"/>
    <w:rsid w:val="00554A39"/>
    <w:rsid w:val="00555B3E"/>
    <w:rsid w:val="005560EB"/>
    <w:rsid w:val="0055660D"/>
    <w:rsid w:val="00557333"/>
    <w:rsid w:val="00557DD2"/>
    <w:rsid w:val="0056030C"/>
    <w:rsid w:val="00561B31"/>
    <w:rsid w:val="00562733"/>
    <w:rsid w:val="00562A5B"/>
    <w:rsid w:val="00563438"/>
    <w:rsid w:val="005634A6"/>
    <w:rsid w:val="005638B0"/>
    <w:rsid w:val="00563A26"/>
    <w:rsid w:val="00563B11"/>
    <w:rsid w:val="005643A3"/>
    <w:rsid w:val="005656C4"/>
    <w:rsid w:val="0056610F"/>
    <w:rsid w:val="00567313"/>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BE4"/>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487E"/>
    <w:rsid w:val="005C593E"/>
    <w:rsid w:val="005C7407"/>
    <w:rsid w:val="005C76A4"/>
    <w:rsid w:val="005D0510"/>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54"/>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07C26"/>
    <w:rsid w:val="00610160"/>
    <w:rsid w:val="00611F89"/>
    <w:rsid w:val="0061200A"/>
    <w:rsid w:val="0061213D"/>
    <w:rsid w:val="006133CC"/>
    <w:rsid w:val="00613A26"/>
    <w:rsid w:val="00613B46"/>
    <w:rsid w:val="00613B94"/>
    <w:rsid w:val="00613F6E"/>
    <w:rsid w:val="0061400C"/>
    <w:rsid w:val="00614331"/>
    <w:rsid w:val="006152BC"/>
    <w:rsid w:val="00615BC7"/>
    <w:rsid w:val="006162C2"/>
    <w:rsid w:val="00616A04"/>
    <w:rsid w:val="00622048"/>
    <w:rsid w:val="00622250"/>
    <w:rsid w:val="00622944"/>
    <w:rsid w:val="00623093"/>
    <w:rsid w:val="00624217"/>
    <w:rsid w:val="00624795"/>
    <w:rsid w:val="00624B91"/>
    <w:rsid w:val="0062578F"/>
    <w:rsid w:val="00625EFD"/>
    <w:rsid w:val="00626741"/>
    <w:rsid w:val="006274AF"/>
    <w:rsid w:val="00627BBF"/>
    <w:rsid w:val="00630DCA"/>
    <w:rsid w:val="006339F3"/>
    <w:rsid w:val="00633BB2"/>
    <w:rsid w:val="00634119"/>
    <w:rsid w:val="0063470B"/>
    <w:rsid w:val="0063519E"/>
    <w:rsid w:val="0063632E"/>
    <w:rsid w:val="00640298"/>
    <w:rsid w:val="00641FC6"/>
    <w:rsid w:val="006423C5"/>
    <w:rsid w:val="0064502B"/>
    <w:rsid w:val="006453AA"/>
    <w:rsid w:val="00646CF4"/>
    <w:rsid w:val="006474EC"/>
    <w:rsid w:val="00650187"/>
    <w:rsid w:val="006510A4"/>
    <w:rsid w:val="0065147A"/>
    <w:rsid w:val="00651AFD"/>
    <w:rsid w:val="00651D4F"/>
    <w:rsid w:val="00652312"/>
    <w:rsid w:val="00652A0E"/>
    <w:rsid w:val="00652ADF"/>
    <w:rsid w:val="00655A3C"/>
    <w:rsid w:val="00655C9A"/>
    <w:rsid w:val="006562BE"/>
    <w:rsid w:val="00656936"/>
    <w:rsid w:val="00656EF1"/>
    <w:rsid w:val="006571FD"/>
    <w:rsid w:val="006600F0"/>
    <w:rsid w:val="00660683"/>
    <w:rsid w:val="00660AC7"/>
    <w:rsid w:val="006620DC"/>
    <w:rsid w:val="006638B1"/>
    <w:rsid w:val="006638D7"/>
    <w:rsid w:val="00663E81"/>
    <w:rsid w:val="00664118"/>
    <w:rsid w:val="0066553D"/>
    <w:rsid w:val="006655A1"/>
    <w:rsid w:val="00665F32"/>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0F8A"/>
    <w:rsid w:val="006A257A"/>
    <w:rsid w:val="006A2939"/>
    <w:rsid w:val="006A639B"/>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15B"/>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960"/>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10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3DA4"/>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5F0"/>
    <w:rsid w:val="00736A81"/>
    <w:rsid w:val="00736D39"/>
    <w:rsid w:val="00737811"/>
    <w:rsid w:val="0073787B"/>
    <w:rsid w:val="00737F3F"/>
    <w:rsid w:val="00737F8A"/>
    <w:rsid w:val="00740459"/>
    <w:rsid w:val="00741B41"/>
    <w:rsid w:val="00741B9F"/>
    <w:rsid w:val="00741C2D"/>
    <w:rsid w:val="00742351"/>
    <w:rsid w:val="00742EB6"/>
    <w:rsid w:val="007443E2"/>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859"/>
    <w:rsid w:val="00762B63"/>
    <w:rsid w:val="00763840"/>
    <w:rsid w:val="00763FE4"/>
    <w:rsid w:val="0076417E"/>
    <w:rsid w:val="00764C43"/>
    <w:rsid w:val="00766F23"/>
    <w:rsid w:val="00767C08"/>
    <w:rsid w:val="00770607"/>
    <w:rsid w:val="0077066B"/>
    <w:rsid w:val="00770C49"/>
    <w:rsid w:val="00770FE5"/>
    <w:rsid w:val="00772DF5"/>
    <w:rsid w:val="007745B9"/>
    <w:rsid w:val="007746E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8C1"/>
    <w:rsid w:val="00791D84"/>
    <w:rsid w:val="00792192"/>
    <w:rsid w:val="00792257"/>
    <w:rsid w:val="00792932"/>
    <w:rsid w:val="00793681"/>
    <w:rsid w:val="00796B9C"/>
    <w:rsid w:val="00796C2E"/>
    <w:rsid w:val="007A071F"/>
    <w:rsid w:val="007A2601"/>
    <w:rsid w:val="007A6F7E"/>
    <w:rsid w:val="007A73F1"/>
    <w:rsid w:val="007A76BA"/>
    <w:rsid w:val="007A7AD4"/>
    <w:rsid w:val="007B1194"/>
    <w:rsid w:val="007B1532"/>
    <w:rsid w:val="007B24B1"/>
    <w:rsid w:val="007B2A3E"/>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3911"/>
    <w:rsid w:val="007C4083"/>
    <w:rsid w:val="007C444C"/>
    <w:rsid w:val="007C52C8"/>
    <w:rsid w:val="007C62E0"/>
    <w:rsid w:val="007C657C"/>
    <w:rsid w:val="007C6F21"/>
    <w:rsid w:val="007C7356"/>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1426"/>
    <w:rsid w:val="007E2125"/>
    <w:rsid w:val="007E277B"/>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5D75"/>
    <w:rsid w:val="00806077"/>
    <w:rsid w:val="0081005B"/>
    <w:rsid w:val="00810C64"/>
    <w:rsid w:val="00810F32"/>
    <w:rsid w:val="008116BD"/>
    <w:rsid w:val="008120B2"/>
    <w:rsid w:val="00812495"/>
    <w:rsid w:val="00812889"/>
    <w:rsid w:val="0081405F"/>
    <w:rsid w:val="0081431F"/>
    <w:rsid w:val="00814592"/>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3DA5"/>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475E5"/>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66C"/>
    <w:rsid w:val="008A281D"/>
    <w:rsid w:val="008A3686"/>
    <w:rsid w:val="008A3BB9"/>
    <w:rsid w:val="008A3FF2"/>
    <w:rsid w:val="008A4077"/>
    <w:rsid w:val="008A4453"/>
    <w:rsid w:val="008A6F4C"/>
    <w:rsid w:val="008A74DD"/>
    <w:rsid w:val="008A76FB"/>
    <w:rsid w:val="008B059F"/>
    <w:rsid w:val="008B256F"/>
    <w:rsid w:val="008B2C10"/>
    <w:rsid w:val="008B3389"/>
    <w:rsid w:val="008B5613"/>
    <w:rsid w:val="008B5617"/>
    <w:rsid w:val="008B57E5"/>
    <w:rsid w:val="008B59DF"/>
    <w:rsid w:val="008B6FFC"/>
    <w:rsid w:val="008C03D1"/>
    <w:rsid w:val="008C1E66"/>
    <w:rsid w:val="008C25DE"/>
    <w:rsid w:val="008C26B7"/>
    <w:rsid w:val="008C30B6"/>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AF7"/>
    <w:rsid w:val="008E405A"/>
    <w:rsid w:val="008E6033"/>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2608"/>
    <w:rsid w:val="00903071"/>
    <w:rsid w:val="00903450"/>
    <w:rsid w:val="009053DA"/>
    <w:rsid w:val="009059FF"/>
    <w:rsid w:val="009060FE"/>
    <w:rsid w:val="00910747"/>
    <w:rsid w:val="00910A12"/>
    <w:rsid w:val="00910E3B"/>
    <w:rsid w:val="009122D0"/>
    <w:rsid w:val="009124AF"/>
    <w:rsid w:val="009125B7"/>
    <w:rsid w:val="00912CFB"/>
    <w:rsid w:val="009139E6"/>
    <w:rsid w:val="009175E4"/>
    <w:rsid w:val="00917AF0"/>
    <w:rsid w:val="00917C5F"/>
    <w:rsid w:val="00920A37"/>
    <w:rsid w:val="00920ACC"/>
    <w:rsid w:val="00920F8A"/>
    <w:rsid w:val="009228A5"/>
    <w:rsid w:val="00922D49"/>
    <w:rsid w:val="00922E7F"/>
    <w:rsid w:val="00923EFB"/>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09D5"/>
    <w:rsid w:val="009511E5"/>
    <w:rsid w:val="0095149D"/>
    <w:rsid w:val="009521C1"/>
    <w:rsid w:val="00952A15"/>
    <w:rsid w:val="009534C9"/>
    <w:rsid w:val="00953EF6"/>
    <w:rsid w:val="0095402B"/>
    <w:rsid w:val="00955290"/>
    <w:rsid w:val="00955EBD"/>
    <w:rsid w:val="009568B5"/>
    <w:rsid w:val="00962395"/>
    <w:rsid w:val="00962F77"/>
    <w:rsid w:val="00963193"/>
    <w:rsid w:val="00964AA4"/>
    <w:rsid w:val="00964B5B"/>
    <w:rsid w:val="00964DE9"/>
    <w:rsid w:val="00965598"/>
    <w:rsid w:val="009665B5"/>
    <w:rsid w:val="0096660F"/>
    <w:rsid w:val="009677C7"/>
    <w:rsid w:val="009712EA"/>
    <w:rsid w:val="00972642"/>
    <w:rsid w:val="009729A9"/>
    <w:rsid w:val="009752BE"/>
    <w:rsid w:val="0097535C"/>
    <w:rsid w:val="00975A23"/>
    <w:rsid w:val="009761D3"/>
    <w:rsid w:val="009762F4"/>
    <w:rsid w:val="00976F28"/>
    <w:rsid w:val="0097737E"/>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29DF"/>
    <w:rsid w:val="009C3181"/>
    <w:rsid w:val="009C555E"/>
    <w:rsid w:val="009C7936"/>
    <w:rsid w:val="009C7B49"/>
    <w:rsid w:val="009D0074"/>
    <w:rsid w:val="009D0ED1"/>
    <w:rsid w:val="009D1A50"/>
    <w:rsid w:val="009D2E7D"/>
    <w:rsid w:val="009D43B4"/>
    <w:rsid w:val="009D491B"/>
    <w:rsid w:val="009D65BC"/>
    <w:rsid w:val="009D7C5D"/>
    <w:rsid w:val="009D7F07"/>
    <w:rsid w:val="009D7F36"/>
    <w:rsid w:val="009E124C"/>
    <w:rsid w:val="009E2034"/>
    <w:rsid w:val="009E2122"/>
    <w:rsid w:val="009E2628"/>
    <w:rsid w:val="009E2729"/>
    <w:rsid w:val="009E29EC"/>
    <w:rsid w:val="009E2E72"/>
    <w:rsid w:val="009E2FC5"/>
    <w:rsid w:val="009E343C"/>
    <w:rsid w:val="009E36B4"/>
    <w:rsid w:val="009E4504"/>
    <w:rsid w:val="009E4F58"/>
    <w:rsid w:val="009E5242"/>
    <w:rsid w:val="009E5771"/>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DB"/>
    <w:rsid w:val="00A018F9"/>
    <w:rsid w:val="00A01C8C"/>
    <w:rsid w:val="00A02A8E"/>
    <w:rsid w:val="00A02BE8"/>
    <w:rsid w:val="00A0304E"/>
    <w:rsid w:val="00A0323A"/>
    <w:rsid w:val="00A05E5D"/>
    <w:rsid w:val="00A069A8"/>
    <w:rsid w:val="00A069D2"/>
    <w:rsid w:val="00A079A4"/>
    <w:rsid w:val="00A1046C"/>
    <w:rsid w:val="00A10996"/>
    <w:rsid w:val="00A123E9"/>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48FC"/>
    <w:rsid w:val="00A24E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0E31"/>
    <w:rsid w:val="00A6114C"/>
    <w:rsid w:val="00A6310F"/>
    <w:rsid w:val="00A63741"/>
    <w:rsid w:val="00A63E2A"/>
    <w:rsid w:val="00A6494D"/>
    <w:rsid w:val="00A64AFA"/>
    <w:rsid w:val="00A64BC4"/>
    <w:rsid w:val="00A64E0C"/>
    <w:rsid w:val="00A64FFB"/>
    <w:rsid w:val="00A65B5B"/>
    <w:rsid w:val="00A65E42"/>
    <w:rsid w:val="00A66E3D"/>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5FEE"/>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6741"/>
    <w:rsid w:val="00AC0359"/>
    <w:rsid w:val="00AC0DBD"/>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C26"/>
    <w:rsid w:val="00AD7241"/>
    <w:rsid w:val="00AE0583"/>
    <w:rsid w:val="00AE1E4E"/>
    <w:rsid w:val="00AE2012"/>
    <w:rsid w:val="00AE387A"/>
    <w:rsid w:val="00AE3E83"/>
    <w:rsid w:val="00AE3FB7"/>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CDA"/>
    <w:rsid w:val="00B07D20"/>
    <w:rsid w:val="00B07ED2"/>
    <w:rsid w:val="00B104B5"/>
    <w:rsid w:val="00B1055F"/>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274"/>
    <w:rsid w:val="00B56BB1"/>
    <w:rsid w:val="00B570C1"/>
    <w:rsid w:val="00B572E8"/>
    <w:rsid w:val="00B57514"/>
    <w:rsid w:val="00B57CE4"/>
    <w:rsid w:val="00B616D3"/>
    <w:rsid w:val="00B634DD"/>
    <w:rsid w:val="00B638B6"/>
    <w:rsid w:val="00B6458A"/>
    <w:rsid w:val="00B658C4"/>
    <w:rsid w:val="00B664B3"/>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524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000"/>
    <w:rsid w:val="00BB0D0A"/>
    <w:rsid w:val="00BB0DD3"/>
    <w:rsid w:val="00BB143A"/>
    <w:rsid w:val="00BB162C"/>
    <w:rsid w:val="00BB4C95"/>
    <w:rsid w:val="00BB58FC"/>
    <w:rsid w:val="00BB6D1C"/>
    <w:rsid w:val="00BB7874"/>
    <w:rsid w:val="00BC0FC9"/>
    <w:rsid w:val="00BC3302"/>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7384"/>
    <w:rsid w:val="00BF044F"/>
    <w:rsid w:val="00BF1F74"/>
    <w:rsid w:val="00BF3CC5"/>
    <w:rsid w:val="00BF42A4"/>
    <w:rsid w:val="00BF6CCE"/>
    <w:rsid w:val="00BF7116"/>
    <w:rsid w:val="00BF7EF8"/>
    <w:rsid w:val="00C00A84"/>
    <w:rsid w:val="00C010F3"/>
    <w:rsid w:val="00C01558"/>
    <w:rsid w:val="00C01C0D"/>
    <w:rsid w:val="00C02754"/>
    <w:rsid w:val="00C03083"/>
    <w:rsid w:val="00C03C73"/>
    <w:rsid w:val="00C040D9"/>
    <w:rsid w:val="00C04A0A"/>
    <w:rsid w:val="00C05394"/>
    <w:rsid w:val="00C10A0D"/>
    <w:rsid w:val="00C1147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1386"/>
    <w:rsid w:val="00C22E13"/>
    <w:rsid w:val="00C22EB5"/>
    <w:rsid w:val="00C243CF"/>
    <w:rsid w:val="00C244FC"/>
    <w:rsid w:val="00C24A39"/>
    <w:rsid w:val="00C257A6"/>
    <w:rsid w:val="00C257E1"/>
    <w:rsid w:val="00C25ABF"/>
    <w:rsid w:val="00C2611D"/>
    <w:rsid w:val="00C3070D"/>
    <w:rsid w:val="00C308C8"/>
    <w:rsid w:val="00C31D0F"/>
    <w:rsid w:val="00C320E7"/>
    <w:rsid w:val="00C353BF"/>
    <w:rsid w:val="00C35EE4"/>
    <w:rsid w:val="00C4085B"/>
    <w:rsid w:val="00C409CD"/>
    <w:rsid w:val="00C41220"/>
    <w:rsid w:val="00C41706"/>
    <w:rsid w:val="00C43499"/>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1D1B"/>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16B"/>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5FA0"/>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727"/>
    <w:rsid w:val="00D1425A"/>
    <w:rsid w:val="00D15224"/>
    <w:rsid w:val="00D17D22"/>
    <w:rsid w:val="00D21745"/>
    <w:rsid w:val="00D2288A"/>
    <w:rsid w:val="00D228C5"/>
    <w:rsid w:val="00D228EE"/>
    <w:rsid w:val="00D2438E"/>
    <w:rsid w:val="00D255A3"/>
    <w:rsid w:val="00D25F82"/>
    <w:rsid w:val="00D27368"/>
    <w:rsid w:val="00D3198F"/>
    <w:rsid w:val="00D31CB3"/>
    <w:rsid w:val="00D33D8A"/>
    <w:rsid w:val="00D343EC"/>
    <w:rsid w:val="00D35787"/>
    <w:rsid w:val="00D36F92"/>
    <w:rsid w:val="00D373E5"/>
    <w:rsid w:val="00D37527"/>
    <w:rsid w:val="00D3772C"/>
    <w:rsid w:val="00D40268"/>
    <w:rsid w:val="00D40382"/>
    <w:rsid w:val="00D40806"/>
    <w:rsid w:val="00D40B22"/>
    <w:rsid w:val="00D40DD4"/>
    <w:rsid w:val="00D4121F"/>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0C6"/>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38"/>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AF0"/>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1BB"/>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1D67"/>
    <w:rsid w:val="00E43F01"/>
    <w:rsid w:val="00E46189"/>
    <w:rsid w:val="00E46878"/>
    <w:rsid w:val="00E46C28"/>
    <w:rsid w:val="00E47FD3"/>
    <w:rsid w:val="00E50BA5"/>
    <w:rsid w:val="00E5254D"/>
    <w:rsid w:val="00E5284F"/>
    <w:rsid w:val="00E528C9"/>
    <w:rsid w:val="00E53108"/>
    <w:rsid w:val="00E53841"/>
    <w:rsid w:val="00E53BBE"/>
    <w:rsid w:val="00E549F2"/>
    <w:rsid w:val="00E54EB6"/>
    <w:rsid w:val="00E5529E"/>
    <w:rsid w:val="00E56791"/>
    <w:rsid w:val="00E56EA4"/>
    <w:rsid w:val="00E57291"/>
    <w:rsid w:val="00E6240F"/>
    <w:rsid w:val="00E65034"/>
    <w:rsid w:val="00E657A9"/>
    <w:rsid w:val="00E66DCA"/>
    <w:rsid w:val="00E67E7C"/>
    <w:rsid w:val="00E721AF"/>
    <w:rsid w:val="00E72DE0"/>
    <w:rsid w:val="00E74E55"/>
    <w:rsid w:val="00E76C73"/>
    <w:rsid w:val="00E81429"/>
    <w:rsid w:val="00E81824"/>
    <w:rsid w:val="00E8357C"/>
    <w:rsid w:val="00E83B42"/>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6FF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1AF"/>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2CD3"/>
    <w:rsid w:val="00F22D00"/>
    <w:rsid w:val="00F23538"/>
    <w:rsid w:val="00F2356D"/>
    <w:rsid w:val="00F24631"/>
    <w:rsid w:val="00F24A6D"/>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3CE"/>
    <w:rsid w:val="00F41EF0"/>
    <w:rsid w:val="00F42536"/>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0E8"/>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5A15"/>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752"/>
    <w:rsid w:val="00FB1DA9"/>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32D1"/>
    <w:rsid w:val="00FD3AAE"/>
    <w:rsid w:val="00FD3F95"/>
    <w:rsid w:val="00FD4271"/>
    <w:rsid w:val="00FD7477"/>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customStyle="1" w:styleId="gmail-msolistparagraph">
    <w:name w:val="gmail-msolistparagraph"/>
    <w:basedOn w:val="Normal"/>
    <w:rsid w:val="00EF51AF"/>
    <w:pPr>
      <w:bidi w:val="0"/>
      <w:spacing w:before="100" w:beforeAutospacing="1" w:after="100" w:afterAutospacing="1" w:line="240" w:lineRule="auto"/>
    </w:pPr>
    <w:rPr>
      <w:rFonts w:ascii="Times New Roman" w:hAnsi="Times New Roman"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8"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styles" Target="styles.xml"/><Relationship Id="rId7" Type="http://schemas.openxmlformats.org/officeDocument/2006/relationships/image" Target="media/image2.png"/><Relationship Id="rId16"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image" Target="media/image3.wmf"/><Relationship Id="rId6" Type="http://schemas.openxmlformats.org/officeDocument/2006/relationships/image" Target="media/image1.png"/><Relationship Id="rId15"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header" Target="header4.xml"/><Relationship Id="rId19" Type="http://schemas.openxmlformats.org/officeDocument/2006/relationships/customXml" Target="../customXml/item3.xml"/><Relationship Id="rId14" Type="http://schemas.openxmlformats.org/officeDocument/2006/relationships/header" Target="header6.xml"/><Relationship Id="rId4" Type="http://schemas.openxmlformats.org/officeDocument/2006/relationships/customXml" Target="../customXml/item1.xml"/><Relationship Id="rId9" Type="http://schemas.openxmlformats.org/officeDocument/2006/relationships/header" Target="header3.xml"/></Relationships>
</file>

<file path=word/_rels/numbering.xml.rels>&#65279;<?xml version="1.0" encoding="utf-8" standalone="yes"?><Relationships xmlns="http://schemas.openxmlformats.org/package/2006/relationships"><Relationship Id="rId1" Type="http://schemas.openxmlformats.org/officeDocument/2006/relationships/image" Target="media/image5.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849C13-C88E-4E99-B283-DE194EF1A5F7}">
  <ds:schemaRefs>
    <ds:schemaRef ds:uri="http://schemas.openxmlformats.org/officeDocument/2006/bibliography"/>
  </ds:schemaRefs>
</ds:datastoreItem>
</file>

<file path=customXml/itemProps2.xml><?xml version="1.0" encoding="utf-8"?>
<ds:datastoreItem xmlns:ds="http://schemas.openxmlformats.org/officeDocument/2006/customXml" ds:itemID="{23254C8E-A133-4A50-BE38-6176B1F6CBE1}"/>
</file>

<file path=customXml/itemProps3.xml><?xml version="1.0" encoding="utf-8"?>
<ds:datastoreItem xmlns:ds="http://schemas.openxmlformats.org/officeDocument/2006/customXml" ds:itemID="{3E0CA34B-7A2C-48ED-9EA7-01843FBAA7D7}"/>
</file>

<file path=customXml/itemProps4.xml><?xml version="1.0" encoding="utf-8"?>
<ds:datastoreItem xmlns:ds="http://schemas.openxmlformats.org/officeDocument/2006/customXml" ds:itemID="{30098291-4662-4C43-8661-583E222260C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2019-Transport-001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