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646EF" w:rsidP="007646EF">
      <w:pPr>
        <w:spacing w:line="360" w:lineRule="auto"/>
        <w:jc w:val="center"/>
        <w:rPr>
          <w:rtl/>
        </w:rPr>
      </w:pPr>
      <w:bookmarkStart w:id="0" w:name="_GoBack"/>
      <w:bookmarkEnd w:id="0"/>
    </w:p>
    <w:p w:rsidR="005461A1" w:rsidP="007646EF">
      <w:pPr>
        <w:spacing w:line="360" w:lineRule="auto"/>
        <w:jc w:val="center"/>
        <w:rPr>
          <w:rtl/>
        </w:rPr>
      </w:pPr>
    </w:p>
    <w:p w:rsidR="005461A1" w:rsidP="007646EF">
      <w:pPr>
        <w:spacing w:line="360" w:lineRule="auto"/>
        <w:jc w:val="center"/>
        <w:rPr>
          <w:rtl/>
        </w:rPr>
      </w:pPr>
    </w:p>
    <w:p w:rsidR="005461A1" w:rsidP="007646EF">
      <w:pPr>
        <w:spacing w:line="360" w:lineRule="auto"/>
        <w:jc w:val="center"/>
        <w:rPr>
          <w:rtl/>
        </w:rPr>
      </w:pPr>
    </w:p>
    <w:p w:rsidR="007646EF" w:rsidP="007646EF">
      <w:pPr>
        <w:pStyle w:val="BodyText"/>
        <w:rPr>
          <w:rFonts w:cs="David"/>
          <w:rtl/>
        </w:rPr>
      </w:pPr>
      <w:r>
        <w:rPr>
          <w:rFonts w:cs="David" w:hint="cs"/>
          <w:rtl/>
        </w:rPr>
        <w:t>מבקרת המדינה גב' מרים בן-פורת, הגישה ב</w:t>
      </w:r>
      <w:r>
        <w:rPr>
          <w:rFonts w:hAnsi="David" w:cs="David"/>
        </w:rPr>
        <w:t>1995-</w:t>
      </w:r>
      <w:r>
        <w:rPr>
          <w:rFonts w:cs="David" w:hint="cs"/>
          <w:rtl/>
        </w:rPr>
        <w:t xml:space="preserve">, לתת-הוועדה לענייני קהיליית המודיעין של הוועדה לענייני ביקורת המדינה של הכנסת, דוח על ביקורת שנערכה בנושא מערך החקירות בשירות  הביטחון הכללי (שב"כ) לשנים  </w:t>
      </w:r>
      <w:r>
        <w:rPr>
          <w:rFonts w:hAnsi="David" w:cs="David"/>
        </w:rPr>
        <w:t>1992-1988</w:t>
      </w:r>
      <w:r>
        <w:rPr>
          <w:rFonts w:cs="David" w:hint="cs"/>
          <w:rtl/>
        </w:rPr>
        <w:t xml:space="preserve">. </w:t>
      </w:r>
    </w:p>
    <w:p w:rsidR="007646EF" w:rsidP="007646EF">
      <w:pPr>
        <w:pStyle w:val="BodyText"/>
        <w:rPr>
          <w:rFonts w:cs="David"/>
          <w:rtl/>
        </w:rPr>
      </w:pPr>
    </w:p>
    <w:p w:rsidR="007646EF" w:rsidP="007646EF">
      <w:pPr>
        <w:pStyle w:val="BodyText"/>
        <w:rPr>
          <w:rFonts w:cs="David"/>
          <w:rtl/>
        </w:rPr>
      </w:pPr>
      <w:r>
        <w:rPr>
          <w:rFonts w:cs="David" w:hint="cs"/>
          <w:rtl/>
        </w:rPr>
        <w:t>בשנת 1997 החליטה הוועדה לענייני ביקורת המדינה, לאחר התייעצות עם מבקרת המדינה דאז, כי בשים לב לצורך לשמור על ביטחון המדינה, לא יונח הדוח על שולחן הכנסת ויישאר חסוי. עוד החליטה הוועדה באותו מועד, שלא לפרסם גם את תמצית הדוח, בנוסח שהמליצה לפרסם מבקרת המדינה דאז.</w:t>
      </w:r>
    </w:p>
    <w:p w:rsidR="007646EF" w:rsidP="007646EF">
      <w:pPr>
        <w:pStyle w:val="BodyText"/>
        <w:rPr>
          <w:rFonts w:cs="David"/>
          <w:rtl/>
        </w:rPr>
      </w:pPr>
    </w:p>
    <w:p w:rsidR="007646EF" w:rsidP="007646EF">
      <w:pPr>
        <w:pStyle w:val="BodyText"/>
        <w:rPr>
          <w:rFonts w:cs="David"/>
          <w:rtl/>
        </w:rPr>
      </w:pPr>
      <w:r>
        <w:rPr>
          <w:rFonts w:cs="David" w:hint="cs"/>
          <w:rtl/>
        </w:rPr>
        <w:t xml:space="preserve">בעקבות החלטת בית המשפט הגבוה לצדק, </w:t>
      </w:r>
      <w:r>
        <w:rPr>
          <w:rFonts w:cs="David" w:hint="cs"/>
          <w:rtl/>
        </w:rPr>
        <w:t>בבג"צ</w:t>
      </w:r>
      <w:r>
        <w:rPr>
          <w:rFonts w:cs="David" w:hint="cs"/>
          <w:rtl/>
        </w:rPr>
        <w:t xml:space="preserve"> 607/98 מיום 11.11.99, להמליץ בפני הוועדה לענייני ביקורת המדינה, להביא לבחינה מחודשת את החלטתה הקודמת של הוועדה משנת 1997, החליטה תת-הוועדה ביום 6.2.2000, בהתאם לסמכותה בחוק מבקר המדינה, ולאחר התייעצות עם מבקר המדינה, להתיר להניח על שולחן הכנסת אותה תמצית דוח, זאת בהתחשב בשינוי בנסיבות מאז החלטתה הקודמת.</w:t>
      </w:r>
    </w:p>
    <w:p w:rsidR="007646EF" w:rsidP="007646EF">
      <w:pPr>
        <w:pStyle w:val="BodyText"/>
        <w:rPr>
          <w:rFonts w:cs="David"/>
          <w:rtl/>
        </w:rPr>
      </w:pPr>
    </w:p>
    <w:p w:rsidR="007646EF" w:rsidP="005461A1">
      <w:pPr>
        <w:pStyle w:val="BodyText"/>
        <w:rPr>
          <w:rFonts w:cs="David"/>
          <w:rtl/>
        </w:rPr>
      </w:pPr>
      <w:r>
        <w:rPr>
          <w:rFonts w:cs="David" w:hint="cs"/>
          <w:rtl/>
        </w:rPr>
        <w:t xml:space="preserve">הדוח המפורסם בזה הינו, אפוא, התמצית שהותרה לפרסום מן הדוח בנושא מערך החקירות בשירות הביטחון הכללי (שב"כ) לשנים </w:t>
      </w:r>
      <w:r>
        <w:rPr>
          <w:rFonts w:hAnsi="David" w:cs="David"/>
        </w:rPr>
        <w:t>1992-1988</w:t>
      </w:r>
      <w:r>
        <w:rPr>
          <w:rFonts w:cs="David" w:hint="cs"/>
          <w:rtl/>
        </w:rPr>
        <w:t xml:space="preserve">. </w:t>
      </w:r>
    </w:p>
    <w:sectPr w:rsidSect="00FD6A61">
      <w:headerReference w:type="default" r:id="rId4"/>
      <w:pgSz w:w="11906" w:h="16838"/>
      <w:pgMar w:top="1250" w:right="1800" w:bottom="426" w:left="1800" w:header="56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61A1" w:rsidRPr="005461A1" w:rsidP="005461A1">
    <w:pPr>
      <w:spacing w:line="276" w:lineRule="auto"/>
      <w:rPr>
        <w:b/>
        <w:bCs/>
        <w:color w:val="A6A6A6" w:themeColor="background1" w:themeShade="A6"/>
        <w:rtl/>
      </w:rPr>
    </w:pPr>
    <w:r w:rsidRPr="005461A1">
      <w:rPr>
        <w:rFonts w:hint="cs"/>
        <w:b/>
        <w:bCs/>
        <w:color w:val="A6A6A6" w:themeColor="background1" w:themeShade="A6"/>
        <w:rtl/>
      </w:rPr>
      <w:t xml:space="preserve">תמצית מדוח הביקורת </w:t>
    </w:r>
    <w:r w:rsidRPr="005461A1">
      <w:rPr>
        <w:b/>
        <w:bCs/>
        <w:color w:val="A6A6A6" w:themeColor="background1" w:themeShade="A6"/>
        <w:rtl/>
      </w:rPr>
      <w:t>–</w:t>
    </w:r>
    <w:r w:rsidRPr="005461A1">
      <w:rPr>
        <w:rFonts w:hint="cs"/>
        <w:b/>
        <w:bCs/>
        <w:i/>
        <w:iCs/>
        <w:color w:val="A6A6A6" w:themeColor="background1" w:themeShade="A6"/>
        <w:rtl/>
      </w:rPr>
      <w:t xml:space="preserve"> </w:t>
    </w:r>
    <w:r w:rsidRPr="005461A1">
      <w:rPr>
        <w:rFonts w:hint="cs"/>
        <w:b/>
        <w:bCs/>
        <w:i/>
        <w:iCs/>
        <w:color w:val="A6A6A6" w:themeColor="background1" w:themeShade="A6"/>
        <w:rtl/>
      </w:rPr>
      <w:tab/>
    </w:r>
    <w:r w:rsidRPr="005461A1">
      <w:rPr>
        <w:rFonts w:hint="cs"/>
        <w:b/>
        <w:bCs/>
        <w:i/>
        <w:iCs/>
        <w:color w:val="A6A6A6" w:themeColor="background1" w:themeShade="A6"/>
        <w:rtl/>
      </w:rPr>
      <w:tab/>
    </w:r>
    <w:r w:rsidRPr="005461A1">
      <w:rPr>
        <w:rFonts w:hint="cs"/>
        <w:b/>
        <w:bCs/>
        <w:i/>
        <w:iCs/>
        <w:color w:val="A6A6A6" w:themeColor="background1" w:themeShade="A6"/>
        <w:rtl/>
      </w:rPr>
      <w:tab/>
    </w:r>
    <w:r w:rsidRPr="005461A1">
      <w:rPr>
        <w:rFonts w:hint="cs"/>
        <w:b/>
        <w:bCs/>
        <w:i/>
        <w:iCs/>
        <w:color w:val="A6A6A6" w:themeColor="background1" w:themeShade="A6"/>
        <w:rtl/>
      </w:rPr>
      <w:tab/>
    </w:r>
    <w:r w:rsidRPr="005461A1">
      <w:rPr>
        <w:rFonts w:hint="cs"/>
        <w:b/>
        <w:bCs/>
        <w:i/>
        <w:iCs/>
        <w:color w:val="A6A6A6" w:themeColor="background1" w:themeShade="A6"/>
        <w:rtl/>
      </w:rPr>
      <w:tab/>
    </w:r>
    <w:r w:rsidRPr="005461A1">
      <w:rPr>
        <w:rFonts w:hint="cs"/>
        <w:b/>
        <w:bCs/>
        <w:i/>
        <w:iCs/>
        <w:color w:val="A6A6A6" w:themeColor="background1" w:themeShade="A6"/>
        <w:rtl/>
      </w:rPr>
      <w:tab/>
    </w:r>
    <w:r w:rsidRPr="005461A1">
      <w:rPr>
        <w:rFonts w:hint="cs"/>
        <w:b/>
        <w:bCs/>
        <w:color w:val="A6A6A6" w:themeColor="background1" w:themeShade="A6"/>
        <w:rtl/>
      </w:rPr>
      <w:t>שנת פרסום: 2000</w:t>
    </w:r>
  </w:p>
  <w:p w:rsidR="007646EF" w:rsidRPr="005461A1" w:rsidP="005461A1">
    <w:pPr>
      <w:pStyle w:val="Heading6"/>
      <w:spacing w:before="0" w:line="276" w:lineRule="auto"/>
      <w:rPr>
        <w:rFonts w:ascii="Times New Roman" w:eastAsia="Times New Roman" w:hAnsi="Times New Roman" w:cs="David"/>
        <w:b/>
        <w:bCs/>
        <w:i w:val="0"/>
        <w:iCs w:val="0"/>
        <w:color w:val="A6A6A6" w:themeColor="background1" w:themeShade="A6"/>
        <w:sz w:val="22"/>
        <w:szCs w:val="22"/>
        <w:rtl/>
      </w:rPr>
    </w:pPr>
    <w:r w:rsidRPr="005461A1">
      <w:rPr>
        <w:rFonts w:ascii="Times New Roman" w:eastAsia="Times New Roman" w:hAnsi="Times New Roman" w:cs="David" w:hint="cs"/>
        <w:b/>
        <w:bCs/>
        <w:i w:val="0"/>
        <w:iCs w:val="0"/>
        <w:color w:val="A6A6A6" w:themeColor="background1" w:themeShade="A6"/>
        <w:sz w:val="22"/>
        <w:szCs w:val="22"/>
        <w:rtl/>
      </w:rPr>
      <w:t>בנושא מערך החקירות בשירות הביטחון הכללי (שב"כ)</w:t>
    </w:r>
    <w:r w:rsidRPr="005461A1" w:rsidR="005461A1">
      <w:rPr>
        <w:rFonts w:ascii="Times New Roman" w:eastAsia="Times New Roman" w:hAnsi="Times New Roman" w:cs="David" w:hint="cs"/>
        <w:b/>
        <w:bCs/>
        <w:i w:val="0"/>
        <w:iCs w:val="0"/>
        <w:color w:val="A6A6A6" w:themeColor="background1" w:themeShade="A6"/>
        <w:sz w:val="22"/>
        <w:szCs w:val="22"/>
        <w:rtl/>
      </w:rPr>
      <w:t xml:space="preserve"> </w:t>
    </w:r>
    <w:r w:rsidRPr="005461A1">
      <w:rPr>
        <w:rFonts w:ascii="Times New Roman" w:eastAsia="Times New Roman" w:hAnsi="Times New Roman" w:cs="David" w:hint="cs"/>
        <w:b/>
        <w:bCs/>
        <w:i w:val="0"/>
        <w:iCs w:val="0"/>
        <w:color w:val="A6A6A6" w:themeColor="background1" w:themeShade="A6"/>
        <w:sz w:val="22"/>
        <w:szCs w:val="22"/>
        <w:rtl/>
      </w:rPr>
      <w:t xml:space="preserve">לשנים </w:t>
    </w:r>
    <w:r w:rsidRPr="005461A1">
      <w:rPr>
        <w:rFonts w:ascii="Times New Roman" w:eastAsia="Times New Roman" w:hAnsi="Times New Roman" w:cs="David"/>
        <w:b/>
        <w:bCs/>
        <w:i w:val="0"/>
        <w:iCs w:val="0"/>
        <w:color w:val="A6A6A6" w:themeColor="background1" w:themeShade="A6"/>
        <w:sz w:val="22"/>
        <w:szCs w:val="22"/>
      </w:rPr>
      <w:t>1992-1988</w:t>
    </w:r>
  </w:p>
  <w:p w:rsidR="000A1BBC" w:rsidRPr="00A039FD" w:rsidP="005461A1">
    <w:pPr>
      <w:spacing w:line="276" w:lineRule="auto"/>
      <w:rPr>
        <w:b/>
        <w:bCs/>
        <w:color w:val="A6A6A6" w:themeColor="background1" w:themeShade="A6"/>
        <w:rtl/>
      </w:rPr>
    </w:pPr>
    <w:r w:rsidRPr="00A039FD">
      <w:rPr>
        <w:rFonts w:hint="cs"/>
        <w:b/>
        <w:bCs/>
        <w:color w:val="A6A6A6" w:themeColor="background1" w:themeShade="A6"/>
        <w:sz w:val="22"/>
        <w:szCs w:val="22"/>
        <w:rtl/>
      </w:rPr>
      <w:tab/>
    </w:r>
    <w:r w:rsidRPr="00A039FD">
      <w:rPr>
        <w:rFonts w:hint="cs"/>
        <w:b/>
        <w:bCs/>
        <w:color w:val="A6A6A6" w:themeColor="background1" w:themeShade="A6"/>
        <w:sz w:val="22"/>
        <w:szCs w:val="22"/>
        <w:rtl/>
      </w:rPr>
      <w:tab/>
    </w:r>
    <w:r w:rsidRPr="00A039FD">
      <w:rPr>
        <w:rFonts w:hint="cs"/>
        <w:b/>
        <w:bCs/>
        <w:color w:val="A6A6A6" w:themeColor="background1" w:themeShade="A6"/>
        <w:sz w:val="22"/>
        <w:szCs w:val="22"/>
        <w:rtl/>
      </w:rPr>
      <w:tab/>
    </w:r>
    <w:r w:rsidRPr="00A039FD">
      <w:rPr>
        <w:rFonts w:hint="cs"/>
        <w:b/>
        <w:bCs/>
        <w:color w:val="A6A6A6" w:themeColor="background1" w:themeShade="A6"/>
        <w:sz w:val="22"/>
        <w:szCs w:val="22"/>
        <w:rtl/>
      </w:rPr>
      <w:tab/>
    </w:r>
    <w:r w:rsidRPr="00A039FD">
      <w:rPr>
        <w:rFonts w:hint="cs"/>
        <w:b/>
        <w:bCs/>
        <w:color w:val="A6A6A6" w:themeColor="background1" w:themeShade="A6"/>
        <w:sz w:val="22"/>
        <w:szCs w:val="22"/>
        <w:rtl/>
      </w:rPr>
      <w:tab/>
    </w:r>
    <w:r w:rsidRPr="00A039FD" w:rsidR="00CD18F1">
      <w:rPr>
        <w:rFonts w:hint="cs"/>
        <w:b/>
        <w:bCs/>
        <w:color w:val="A6A6A6" w:themeColor="background1" w:themeShade="A6"/>
        <w:sz w:val="22"/>
        <w:szCs w:val="22"/>
        <w:rtl/>
      </w:rPr>
      <w:t xml:space="preserve">  </w:t>
    </w:r>
    <w:r w:rsidRPr="00A039FD">
      <w:rPr>
        <w:rFonts w:hint="cs"/>
        <w:b/>
        <w:bCs/>
        <w:color w:val="A6A6A6" w:themeColor="background1" w:themeShade="A6"/>
        <w:sz w:val="22"/>
        <w:szCs w:val="22"/>
        <w:rtl/>
      </w:rPr>
      <w:tab/>
    </w:r>
    <w:r w:rsidRPr="00A039FD" w:rsidR="00CD18F1">
      <w:rPr>
        <w:rFonts w:hint="cs"/>
        <w:b/>
        <w:bCs/>
        <w:color w:val="A6A6A6" w:themeColor="background1" w:themeShade="A6"/>
        <w:sz w:val="22"/>
        <w:szCs w:val="22"/>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53315"/>
    <w:rsid w:val="000A1BBC"/>
    <w:rsid w:val="000F2B28"/>
    <w:rsid w:val="001C7501"/>
    <w:rsid w:val="002118ED"/>
    <w:rsid w:val="002806D0"/>
    <w:rsid w:val="002B050A"/>
    <w:rsid w:val="002F02A5"/>
    <w:rsid w:val="00360C56"/>
    <w:rsid w:val="00376BF9"/>
    <w:rsid w:val="003C2525"/>
    <w:rsid w:val="003C3BBC"/>
    <w:rsid w:val="003C5578"/>
    <w:rsid w:val="00404F0C"/>
    <w:rsid w:val="004706D3"/>
    <w:rsid w:val="00517D55"/>
    <w:rsid w:val="005461A1"/>
    <w:rsid w:val="00572967"/>
    <w:rsid w:val="005B3002"/>
    <w:rsid w:val="00603B7C"/>
    <w:rsid w:val="00625823"/>
    <w:rsid w:val="00666D05"/>
    <w:rsid w:val="00691741"/>
    <w:rsid w:val="006C0D67"/>
    <w:rsid w:val="006D02F1"/>
    <w:rsid w:val="00732684"/>
    <w:rsid w:val="007646EF"/>
    <w:rsid w:val="00846D55"/>
    <w:rsid w:val="0087110B"/>
    <w:rsid w:val="008B022D"/>
    <w:rsid w:val="008F6C35"/>
    <w:rsid w:val="00912052"/>
    <w:rsid w:val="00A039FD"/>
    <w:rsid w:val="00A10F04"/>
    <w:rsid w:val="00A83D7F"/>
    <w:rsid w:val="00B94ACE"/>
    <w:rsid w:val="00B95738"/>
    <w:rsid w:val="00C32807"/>
    <w:rsid w:val="00C527C0"/>
    <w:rsid w:val="00CD18F1"/>
    <w:rsid w:val="00DB2103"/>
    <w:rsid w:val="00DD7288"/>
    <w:rsid w:val="00EC68B3"/>
    <w:rsid w:val="00F057E7"/>
    <w:rsid w:val="00FD6A61"/>
    <w:rsid w:val="00FF66D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
    <w:uiPriority w:val="9"/>
    <w:unhideWhenUsed/>
    <w:qFormat/>
    <w:rsid w:val="007646E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 w:type="paragraph" w:customStyle="1" w:styleId="a3">
    <w:name w:val="רגיל מוגדל"/>
    <w:basedOn w:val="Normal"/>
    <w:rsid w:val="00846D55"/>
    <w:pPr>
      <w:spacing w:line="288" w:lineRule="auto"/>
      <w:jc w:val="both"/>
    </w:pPr>
    <w:rPr>
      <w:rFonts w:cs="Times New Roman"/>
      <w:noProof/>
      <w:sz w:val="20"/>
      <w:lang w:eastAsia="he-IL"/>
    </w:rPr>
  </w:style>
  <w:style w:type="paragraph" w:styleId="Title">
    <w:name w:val="Title"/>
    <w:basedOn w:val="Normal"/>
    <w:link w:val="a4"/>
    <w:uiPriority w:val="10"/>
    <w:qFormat/>
    <w:rsid w:val="007646EF"/>
    <w:pPr>
      <w:spacing w:line="360" w:lineRule="auto"/>
      <w:jc w:val="center"/>
    </w:pPr>
    <w:rPr>
      <w:rFonts w:cs="Times New Roman"/>
      <w:b/>
      <w:bCs/>
      <w:lang w:eastAsia="he-IL"/>
    </w:rPr>
  </w:style>
  <w:style w:type="character" w:customStyle="1" w:styleId="a4">
    <w:name w:val="כותרת טקסט תו"/>
    <w:basedOn w:val="DefaultParagraphFont"/>
    <w:link w:val="Title"/>
    <w:uiPriority w:val="10"/>
    <w:rsid w:val="007646EF"/>
    <w:rPr>
      <w:rFonts w:ascii="Times New Roman" w:eastAsia="Times New Roman" w:hAnsi="Times New Roman" w:cs="Times New Roman"/>
      <w:b/>
      <w:bCs/>
      <w:sz w:val="24"/>
      <w:szCs w:val="24"/>
      <w:lang w:eastAsia="he-IL"/>
    </w:rPr>
  </w:style>
  <w:style w:type="paragraph" w:styleId="BodyText">
    <w:name w:val="Body Text"/>
    <w:basedOn w:val="Normal"/>
    <w:link w:val="a5"/>
    <w:semiHidden/>
    <w:unhideWhenUsed/>
    <w:rsid w:val="007646EF"/>
    <w:pPr>
      <w:spacing w:line="360" w:lineRule="auto"/>
      <w:jc w:val="both"/>
    </w:pPr>
    <w:rPr>
      <w:rFonts w:cs="Times New Roman"/>
      <w:lang w:eastAsia="he-IL"/>
    </w:rPr>
  </w:style>
  <w:style w:type="character" w:customStyle="1" w:styleId="a5">
    <w:name w:val="גוף טקסט תו"/>
    <w:basedOn w:val="DefaultParagraphFont"/>
    <w:link w:val="BodyText"/>
    <w:semiHidden/>
    <w:rsid w:val="007646EF"/>
    <w:rPr>
      <w:rFonts w:ascii="Times New Roman" w:eastAsia="Times New Roman" w:hAnsi="Times New Roman" w:cs="Times New Roman"/>
      <w:sz w:val="24"/>
      <w:szCs w:val="24"/>
      <w:lang w:eastAsia="he-IL"/>
    </w:rPr>
  </w:style>
  <w:style w:type="character" w:customStyle="1" w:styleId="6">
    <w:name w:val="כותרת 6 תו"/>
    <w:basedOn w:val="DefaultParagraphFont"/>
    <w:link w:val="Heading6"/>
    <w:uiPriority w:val="9"/>
    <w:rsid w:val="007646EF"/>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245FD1-1369-4062-936A-33062DCA5BC3}"/>
</file>

<file path=customXml/itemProps2.xml><?xml version="1.0" encoding="utf-8"?>
<ds:datastoreItem xmlns:ds="http://schemas.openxmlformats.org/officeDocument/2006/customXml" ds:itemID="{239E5331-8D3B-422E-89F9-5E492F9C8792}"/>
</file>

<file path=customXml/itemProps3.xml><?xml version="1.0" encoding="utf-8"?>
<ds:datastoreItem xmlns:ds="http://schemas.openxmlformats.org/officeDocument/2006/customXml" ds:itemID="{A5D38744-9C6B-4F0B-9A37-83E4D8B4E28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