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D710E6" w:rsidRPr="00D710E6" w:rsidP="00D710E6">
      <w:pPr>
        <w:spacing w:after="180" w:line="380" w:lineRule="exact"/>
        <w:jc w:val="both"/>
        <w:rPr>
          <w:rFonts w:cs="FrankRuehl"/>
          <w:szCs w:val="22"/>
          <w:rtl/>
        </w:rPr>
      </w:pPr>
      <w:bookmarkStart w:id="0" w:name="_Toc349122061"/>
      <w:bookmarkStart w:id="1" w:name="_Toc349136480"/>
      <w:bookmarkStart w:id="2" w:name="_Toc352831083"/>
      <w:bookmarkStart w:id="3" w:name="_Toc354324568"/>
      <w:bookmarkStart w:id="4" w:name="_Toc354661923"/>
      <w:bookmarkStart w:id="5" w:name="_GoBack"/>
      <w:bookmarkEnd w:id="5"/>
    </w:p>
    <w:p w:rsidR="00D710E6" w:rsidRPr="00D710E6" w:rsidP="00D710E6">
      <w:pPr>
        <w:spacing w:after="180" w:line="380" w:lineRule="exact"/>
        <w:jc w:val="both"/>
        <w:rPr>
          <w:rFonts w:cs="FrankRuehl"/>
          <w:szCs w:val="22"/>
          <w:rtl/>
        </w:rPr>
      </w:pPr>
    </w:p>
    <w:p w:rsidR="00D710E6" w:rsidRPr="00D710E6" w:rsidP="00D710E6">
      <w:pPr>
        <w:spacing w:after="180" w:line="380" w:lineRule="exact"/>
        <w:jc w:val="both"/>
        <w:rPr>
          <w:rFonts w:cs="FrankRuehl"/>
          <w:szCs w:val="22"/>
          <w:rtl/>
        </w:rPr>
      </w:pPr>
    </w:p>
    <w:p w:rsidR="00D710E6" w:rsidRPr="00D710E6" w:rsidP="00D710E6">
      <w:pPr>
        <w:spacing w:after="180" w:line="380" w:lineRule="exact"/>
        <w:jc w:val="both"/>
        <w:rPr>
          <w:rFonts w:ascii="Arial" w:hAnsi="Arial" w:cs="Arial"/>
          <w:b/>
          <w:bCs/>
          <w:sz w:val="32"/>
          <w:szCs w:val="32"/>
          <w:rtl/>
        </w:rPr>
      </w:pPr>
      <w:r w:rsidRPr="00D710E6">
        <w:rPr>
          <w:rFonts w:ascii="Arial" w:hAnsi="Arial" w:cs="Arial"/>
          <w:b/>
          <w:bCs/>
          <w:sz w:val="32"/>
          <w:szCs w:val="32"/>
          <w:rtl/>
          <w:lang w:bidi="ar-SA"/>
        </w:rPr>
        <w:t>المقدمة</w:t>
      </w:r>
    </w:p>
    <w:p w:rsidR="006B2955" w:rsidRPr="006B2955" w:rsidP="006B2955">
      <w:pPr>
        <w:spacing w:after="180" w:line="380" w:lineRule="exact"/>
        <w:ind w:left="567" w:right="567"/>
        <w:jc w:val="both"/>
        <w:rPr>
          <w:rFonts w:ascii="Arial" w:hAnsi="Arial" w:cs="Arial"/>
        </w:rPr>
      </w:pPr>
      <w:r w:rsidRPr="006B2955">
        <w:rPr>
          <w:rFonts w:ascii="Arial" w:hAnsi="Arial" w:cs="Arial"/>
          <w:rtl/>
          <w:lang w:bidi="ar-LB"/>
        </w:rPr>
        <w:t>"</w:t>
      </w:r>
      <w:r w:rsidRPr="006B2955">
        <w:rPr>
          <w:rFonts w:ascii="Arial" w:hAnsi="Arial" w:cs="Arial"/>
          <w:rtl/>
          <w:lang w:bidi="ar-JO"/>
        </w:rPr>
        <w:t>الجيش</w:t>
      </w:r>
      <w:r w:rsidRPr="006B2955">
        <w:rPr>
          <w:rFonts w:ascii="Arial" w:hAnsi="Arial" w:cs="Arial"/>
          <w:rtl/>
          <w:lang w:bidi="ar-JO"/>
        </w:rPr>
        <w:t xml:space="preserve"> هو أمن الدولة، والش</w:t>
      </w:r>
      <w:r w:rsidRPr="006B2955">
        <w:rPr>
          <w:rFonts w:ascii="Arial" w:hAnsi="Arial" w:cs="Arial"/>
          <w:rtl/>
          <w:lang w:bidi="ar-LB"/>
        </w:rPr>
        <w:t>ّ</w:t>
      </w:r>
      <w:r w:rsidRPr="006B2955">
        <w:rPr>
          <w:rFonts w:ascii="Arial" w:hAnsi="Arial" w:cs="Arial"/>
          <w:rtl/>
          <w:lang w:bidi="ar-JO"/>
        </w:rPr>
        <w:t>رطة</w:t>
      </w:r>
      <w:r w:rsidRPr="006B2955">
        <w:rPr>
          <w:rFonts w:ascii="Arial" w:hAnsi="Arial" w:cs="Arial"/>
          <w:rtl/>
          <w:lang w:bidi="ar-JO"/>
        </w:rPr>
        <w:t xml:space="preserve"> -احترامها... الشّرطيّ هو التجلّي الأوّل، </w:t>
      </w:r>
      <w:r w:rsidRPr="006B2955">
        <w:rPr>
          <w:rFonts w:ascii="Arial" w:hAnsi="Arial" w:cs="Arial"/>
          <w:rtl/>
          <w:lang w:bidi="ar-JO"/>
        </w:rPr>
        <w:t>الدّائم</w:t>
      </w:r>
      <w:r w:rsidRPr="006B2955">
        <w:rPr>
          <w:rFonts w:ascii="Arial" w:hAnsi="Arial" w:cs="Arial"/>
          <w:rtl/>
          <w:lang w:bidi="ar-JO"/>
        </w:rPr>
        <w:t xml:space="preserve"> واليوميّ في القرية والمدينة، لسلطة الدّولة. عبر الطريقة التي تتجلّى فيها هذه السلطة من خلال الشّرطيّين، من خلال نظافة ذات اليد، النشاط، حبّ الوطن، حبّ الأمّة، مساعدة المهاجرين الجدد والإخلاص للوظائف الصّعبة الملقاة على الدّولة، ينشأ تعاملٌ جديدٌ ليس نحو الشّرطي فحسب، وإنّما نحو الدّولة والقانون أيضًا."</w:t>
      </w:r>
      <w:r>
        <w:rPr>
          <w:rFonts w:ascii="Arial" w:hAnsi="Arial" w:cs="Arial"/>
          <w:vertAlign w:val="superscript"/>
          <w:rtl/>
        </w:rPr>
        <w:footnoteReference w:id="2"/>
      </w:r>
    </w:p>
    <w:p w:rsidR="006B2955" w:rsidRPr="006B2955" w:rsidP="006B2955">
      <w:pPr>
        <w:spacing w:after="180" w:line="380" w:lineRule="exact"/>
        <w:jc w:val="both"/>
        <w:rPr>
          <w:rFonts w:ascii="Arial" w:hAnsi="Arial" w:cs="Arial"/>
          <w:rtl/>
          <w:lang w:bidi="ar-JO"/>
        </w:rPr>
      </w:pPr>
      <w:r w:rsidRPr="006B2955">
        <w:rPr>
          <w:rFonts w:ascii="Arial" w:hAnsi="Arial" w:cs="Arial"/>
          <w:rtl/>
          <w:lang w:bidi="ar-JO"/>
        </w:rPr>
        <w:t>إنّ</w:t>
      </w:r>
      <w:r w:rsidRPr="006B2955">
        <w:rPr>
          <w:rFonts w:ascii="Arial" w:hAnsi="Arial" w:cs="Arial"/>
          <w:rtl/>
          <w:lang w:bidi="ar-JO"/>
        </w:rPr>
        <w:t xml:space="preserve"> القوّة والصّلاحية اللتين أعطتهما الدّولة لشرطة إسرائيل قائمان في صلب العقد الاجتماعيّ غير المكتوب بين الدّولة وسكّانها. المدارك الأساس لدولة القانون تقوم على تنازل مواطني الدّولة عن قوى وحقوق ممنوحة لهم بحكم "الوضع الطبيعيّ" لصالح بلورة "وضع سياسيّ"، تُمنح فيه السلطة السائدة حصريّة استخدام الصلاحيات، ومنها حتى صلاحيّات تلحف الضرر، لهدف حماية الأمن الشّخصيّ والمصلحة العامة. هذه هي الرؤية الأساسية لدى مفكّري العقد الاجتماعيّ، مثل جون لوك، توماس هوبس وجان جاك روسو. </w:t>
      </w:r>
      <w:r w:rsidRPr="006B2955">
        <w:rPr>
          <w:rFonts w:ascii="Arial" w:hAnsi="Arial" w:cs="Arial"/>
          <w:rtl/>
          <w:lang w:bidi="ar-JO"/>
        </w:rPr>
        <w:t>وفقًا</w:t>
      </w:r>
      <w:r w:rsidRPr="006B2955">
        <w:rPr>
          <w:rFonts w:ascii="Arial" w:hAnsi="Arial" w:cs="Arial"/>
          <w:rtl/>
          <w:lang w:bidi="ar-JO"/>
        </w:rPr>
        <w:t xml:space="preserve"> لهذه الرؤية، إنّ الانتقال إلى الوضع السياسيّ يتحقّق فقط حين يتنازل أعضاء المجتمع عن قوّتهم الطّبيعيّة لحماية أجسادهم، أملاكهم وكرامتهم الشّخصيّة الخاصّة بهم والخاصّة بالآخرين، ولمعاقبة من يمسّون بهم ويحوّلون هذه القوى إلى الدّولة. </w:t>
      </w:r>
      <w:r w:rsidRPr="006B2955">
        <w:rPr>
          <w:rFonts w:ascii="Arial" w:hAnsi="Arial" w:cs="Arial"/>
          <w:rtl/>
          <w:lang w:bidi="ar-JO"/>
        </w:rPr>
        <w:t>تعمل</w:t>
      </w:r>
      <w:r w:rsidRPr="006B2955">
        <w:rPr>
          <w:rFonts w:ascii="Arial" w:hAnsi="Arial" w:cs="Arial"/>
          <w:rtl/>
          <w:lang w:bidi="ar-JO"/>
        </w:rPr>
        <w:t xml:space="preserve"> الدولة على حماية شركاء العقد الاجتماعيّ، وتعاقب مَن ينتهكون القانون ويمسّون بأبناء المجتمع إذا اقتضت الحاجة. </w:t>
      </w:r>
      <w:r w:rsidRPr="006B2955">
        <w:rPr>
          <w:rFonts w:ascii="Arial" w:hAnsi="Arial" w:cs="Arial"/>
          <w:rtl/>
          <w:lang w:bidi="ar-JO"/>
        </w:rPr>
        <w:t>يتنازل</w:t>
      </w:r>
      <w:r w:rsidRPr="006B2955">
        <w:rPr>
          <w:rFonts w:ascii="Arial" w:hAnsi="Arial" w:cs="Arial"/>
          <w:rtl/>
          <w:lang w:bidi="ar-JO"/>
        </w:rPr>
        <w:t xml:space="preserve"> الفرد في الوضع السياسيّ عن قسمٍ من حريّاته الطبيعيّة، لكنّه يحظى بالحريّة السياسيّة والمدنيّة، ويكفّ عن العيش في مجتمع صاحب القوّة فيه هو صاحب الحقّ، بل في مجتمع تفوق قوّة القانون والعدل فيه قوّة الذّراع والعنف.</w:t>
      </w:r>
    </w:p>
    <w:p w:rsidR="006B2955" w:rsidRPr="006B2955" w:rsidP="006B2955">
      <w:pPr>
        <w:spacing w:after="180" w:line="380" w:lineRule="exact"/>
        <w:jc w:val="both"/>
        <w:rPr>
          <w:rFonts w:ascii="Arial" w:hAnsi="Arial" w:cs="Arial"/>
          <w:rtl/>
          <w:lang w:bidi="ar-JO"/>
        </w:rPr>
      </w:pPr>
      <w:r w:rsidRPr="006B2955">
        <w:rPr>
          <w:rFonts w:ascii="Arial" w:hAnsi="Arial" w:cs="Arial"/>
          <w:rtl/>
          <w:lang w:bidi="ar-JO"/>
        </w:rPr>
        <w:t>لشرطة إسرائيل دور مركزيّ في تحقيق العقد الاجتماعي. وتلقى على عاتقها مهمّة عظيمة الشأن: تجسيد سلطة القانون بمفهومها الأكثر أساسيّةً وحماية أجساد، ممتلكات وكرامة سكّان الدولة من مخالفي القانون. عن دور الشّرطة هذا والواجب الملقى على الدولة في حماية مطبّقي القانون في مهمّتهم الهامة، تحدّثت المحكمة العليا في إحدى القضايا:</w:t>
      </w:r>
    </w:p>
    <w:p w:rsidR="006B2955" w:rsidRPr="006B2955" w:rsidP="006B2955">
      <w:pPr>
        <w:tabs>
          <w:tab w:val="left" w:pos="565"/>
        </w:tabs>
        <w:spacing w:after="180" w:line="380" w:lineRule="exact"/>
        <w:ind w:left="567" w:right="567"/>
        <w:jc w:val="both"/>
        <w:rPr>
          <w:rFonts w:ascii="Arial" w:hAnsi="Arial" w:cs="Arial"/>
          <w:rtl/>
        </w:rPr>
      </w:pPr>
      <w:r w:rsidRPr="006B2955">
        <w:rPr>
          <w:rFonts w:ascii="Arial" w:hAnsi="Arial" w:cs="Arial"/>
          <w:rtl/>
          <w:lang w:bidi="ar-LB"/>
        </w:rPr>
        <w:t>"</w:t>
      </w:r>
      <w:r w:rsidRPr="006B2955">
        <w:rPr>
          <w:rFonts w:ascii="Arial" w:hAnsi="Arial" w:cs="Arial"/>
          <w:rtl/>
          <w:lang w:bidi="ar-JO"/>
        </w:rPr>
        <w:t>أفراد شرطة إسرائيل، شأنهم شأن سائر أفراد أذرع الأمن، يصلون الليل بالنّهار من أجل حماية أمن الجمهور، ولذلك يجب علينا القيام بكلّ ما يلزم من أجل حمايتهم من كلّ مَن يحاولون تهديدهم والمسّ بعملهم الهامّ، والذي يتمّ من أجل الجمهور برمّته ولضمان أمنه الشّخصيّ. من دون حماية مطبّقي القانون على نحوٍ لائق لن تتمكّن الدّولة من أنْ تضمن للجمهور الواسع تطبيقًا ناجعًا للقانون وضمان النّظام العامّ، وقد نتدهور إلى ذلك الوضع الطبيعيّ الذي أردنا الخروج منه بواسطة "العقد" أو "العهد" الاجتماعي بالمفهوم المجازي الذي أبرم بين الدولة وبين المواطنين الذين يسكنون فيها، والذي سلّم بموجبه المواطنون الدولة، بمحض إرادتهم، صلاحيّة سلب حريّات واستخدام قوّة فرض، أيضًا، من أجل ضمان حماية وأمن وحراسة ممتلكاتهم، وهذا بواسطة الشّرطة أيضًا</w:t>
      </w:r>
      <w:r w:rsidRPr="006B2955">
        <w:rPr>
          <w:rFonts w:ascii="Arial" w:hAnsi="Arial" w:cs="Arial"/>
          <w:rtl/>
        </w:rPr>
        <w:t>.</w:t>
      </w:r>
      <w:r w:rsidRPr="006B2955">
        <w:rPr>
          <w:rFonts w:ascii="Arial" w:hAnsi="Arial" w:cs="Arial"/>
          <w:rtl/>
          <w:lang w:bidi="ar-LB"/>
        </w:rPr>
        <w:t>"</w:t>
      </w:r>
      <w:r>
        <w:rPr>
          <w:rStyle w:val="FootnoteReference"/>
          <w:rFonts w:ascii="Arial" w:hAnsi="Arial" w:cs="Arial"/>
          <w:rtl/>
        </w:rPr>
        <w:footnoteReference w:id="3"/>
      </w:r>
    </w:p>
    <w:p w:rsidR="006B2955" w:rsidRPr="006B2955" w:rsidP="006B2955">
      <w:pPr>
        <w:spacing w:after="180" w:line="380" w:lineRule="exact"/>
        <w:jc w:val="both"/>
        <w:rPr>
          <w:rFonts w:ascii="Arial" w:hAnsi="Arial" w:cs="Arial"/>
          <w:rtl/>
          <w:lang w:bidi="ar-JO"/>
        </w:rPr>
      </w:pPr>
      <w:r w:rsidRPr="006B2955">
        <w:rPr>
          <w:rFonts w:ascii="Arial" w:hAnsi="Arial" w:cs="Arial"/>
          <w:rtl/>
          <w:lang w:bidi="ar-JO"/>
        </w:rPr>
        <w:t>حتى</w:t>
      </w:r>
      <w:r w:rsidRPr="006B2955">
        <w:rPr>
          <w:rFonts w:ascii="Arial" w:hAnsi="Arial" w:cs="Arial"/>
          <w:rtl/>
          <w:lang w:bidi="ar-JO"/>
        </w:rPr>
        <w:t xml:space="preserve"> تتمكّن شرطة إسرائيل من القيام بوظيفتها المذكورة أعلاه، يجب على الدولة أن تهتمّ بوجود أدوات فعّالة – معياريّة وماديّة على حدّ سواء – بأيدي الشّرطيين لمحاربة الجريمة والعنف. إحدى هذه الأدوات الماديّة تقع في مركز وجهة النظر هذه – جهاز السّيطرة الكهربائيّ "</w:t>
      </w:r>
      <w:r w:rsidRPr="006B2955">
        <w:rPr>
          <w:rFonts w:ascii="Arial" w:hAnsi="Arial" w:cs="Arial"/>
          <w:rtl/>
          <w:lang w:bidi="ar-JO"/>
        </w:rPr>
        <w:t>تيزر</w:t>
      </w:r>
      <w:r w:rsidRPr="006B2955">
        <w:rPr>
          <w:rFonts w:ascii="Arial" w:hAnsi="Arial" w:cs="Arial"/>
          <w:rtl/>
          <w:lang w:bidi="ar-JO"/>
        </w:rPr>
        <w:t>".</w:t>
      </w:r>
    </w:p>
    <w:p w:rsidR="006B2955" w:rsidRPr="006B2955" w:rsidP="006B2955">
      <w:pPr>
        <w:spacing w:after="180" w:line="380" w:lineRule="exact"/>
        <w:jc w:val="both"/>
        <w:rPr>
          <w:rFonts w:ascii="Arial" w:hAnsi="Arial" w:cs="Arial"/>
          <w:rtl/>
          <w:lang w:bidi="ar-JO"/>
        </w:rPr>
      </w:pPr>
      <w:r w:rsidRPr="006B2955">
        <w:rPr>
          <w:rFonts w:ascii="Arial" w:hAnsi="Arial" w:cs="Arial"/>
          <w:rtl/>
          <w:lang w:bidi="ar-JO"/>
        </w:rPr>
        <w:t xml:space="preserve">تمّ إعداد وجهة النظر هذه على أثر توجّه لجنة شؤون رقابة الدّولة برئاسة عضو الكنيست أمنون كوهين إلى مراقب الدولة بطلب تلقي وجهة نظر بشأن جهاز </w:t>
      </w:r>
      <w:r w:rsidRPr="006B2955">
        <w:rPr>
          <w:rFonts w:ascii="Arial" w:hAnsi="Arial" w:cs="Arial"/>
          <w:rtl/>
          <w:lang w:bidi="ar-JO"/>
        </w:rPr>
        <w:t>التيزر</w:t>
      </w:r>
      <w:r w:rsidRPr="006B2955">
        <w:rPr>
          <w:rFonts w:ascii="Arial" w:hAnsi="Arial" w:cs="Arial"/>
          <w:rtl/>
          <w:lang w:bidi="ar-JO"/>
        </w:rPr>
        <w:t>، وذلك، ضمن أمور أخرى، في ضوء شكاوى كثيرة وجدل عامّ نشط حول الاستخدام المبالغ فيه لهذا الجهاز من قبل شرطيّين من شرطة إسرائيل.</w:t>
      </w:r>
    </w:p>
    <w:p w:rsidR="006B2955" w:rsidRPr="006B2955" w:rsidP="006B2955">
      <w:pPr>
        <w:spacing w:after="180" w:line="380" w:lineRule="exact"/>
        <w:jc w:val="both"/>
        <w:rPr>
          <w:rFonts w:ascii="Arial" w:hAnsi="Arial" w:cs="Arial"/>
          <w:rtl/>
          <w:lang w:bidi="ar-JO"/>
        </w:rPr>
      </w:pPr>
      <w:r w:rsidRPr="006B2955">
        <w:rPr>
          <w:rFonts w:ascii="Arial" w:hAnsi="Arial" w:cs="Arial"/>
          <w:rtl/>
          <w:lang w:bidi="ar-JO"/>
        </w:rPr>
        <w:t>تشدّد</w:t>
      </w:r>
      <w:r w:rsidRPr="006B2955">
        <w:rPr>
          <w:rFonts w:ascii="Arial" w:hAnsi="Arial" w:cs="Arial"/>
          <w:rtl/>
          <w:lang w:bidi="ar-JO"/>
        </w:rPr>
        <w:t xml:space="preserve"> وجهة النظر هذه، أوّلاً وقبل أيّ شيء، على ما هو معلوم للجميع: الصّلاحيّات المعطاة للشرطة هي بمثابة دَين يجب تسديده. </w:t>
      </w:r>
      <w:r w:rsidRPr="006B2955">
        <w:rPr>
          <w:rFonts w:ascii="Arial" w:hAnsi="Arial" w:cs="Arial"/>
          <w:rtl/>
          <w:lang w:bidi="ar-JO"/>
        </w:rPr>
        <w:t>الشّرطة</w:t>
      </w:r>
      <w:r w:rsidRPr="006B2955">
        <w:rPr>
          <w:rFonts w:ascii="Arial" w:hAnsi="Arial" w:cs="Arial"/>
          <w:rtl/>
          <w:lang w:bidi="ar-JO"/>
        </w:rPr>
        <w:t xml:space="preserve"> مخوّلة باستخدام هذه الصلاحيّات فقط وفقًا لما يسمح به القانون، ومن خلال حماية حقوق الفرد في المجتمع. عمومًا، تخضع كلّ صلاحيّة شرطيّة لتقييدات دستوريّة. ليس هناك قوّة من دون تقييد. ولا صلاحيّة دون مسؤوليّة. </w:t>
      </w:r>
      <w:r w:rsidRPr="006B2955">
        <w:rPr>
          <w:rFonts w:ascii="Arial" w:hAnsi="Arial" w:cs="Arial"/>
          <w:rtl/>
          <w:lang w:bidi="ar-JO"/>
        </w:rPr>
        <w:t>دولة</w:t>
      </w:r>
      <w:r w:rsidRPr="006B2955">
        <w:rPr>
          <w:rFonts w:ascii="Arial" w:hAnsi="Arial" w:cs="Arial"/>
          <w:rtl/>
          <w:lang w:bidi="ar-JO"/>
        </w:rPr>
        <w:t xml:space="preserve"> إسرائيل هي دولة يهوديّة وديمقراطيّة تضع حقوق الفرد وكرامته كإنسانٍ في مركز نشاط جميع هيئات السّلطة فيها. </w:t>
      </w:r>
      <w:r w:rsidRPr="006B2955">
        <w:rPr>
          <w:rFonts w:ascii="Arial" w:hAnsi="Arial" w:cs="Arial"/>
          <w:rtl/>
          <w:lang w:bidi="ar-JO"/>
        </w:rPr>
        <w:t>قانون</w:t>
      </w:r>
      <w:r w:rsidRPr="006B2955">
        <w:rPr>
          <w:rFonts w:ascii="Arial" w:hAnsi="Arial" w:cs="Arial"/>
          <w:rtl/>
          <w:lang w:bidi="ar-JO"/>
        </w:rPr>
        <w:t xml:space="preserve"> أساس: كرامة الإنسان وحرّيّته يرسّخ ضمن معيار دستوريّ فوق قانونيّ حقوق إنسان أساسيّة، يجب على جميع السلطات – ومنها شرطة إسرائيل – احترامها وحمايتها.</w:t>
      </w:r>
    </w:p>
    <w:p w:rsidR="006B2955" w:rsidRPr="006B2955" w:rsidP="006B2955">
      <w:pPr>
        <w:spacing w:after="180" w:line="380" w:lineRule="exact"/>
        <w:jc w:val="both"/>
        <w:rPr>
          <w:rFonts w:ascii="Arial" w:hAnsi="Arial" w:cs="Arial"/>
          <w:rtl/>
          <w:lang w:bidi="ar-JO"/>
        </w:rPr>
      </w:pPr>
      <w:r w:rsidRPr="006B2955">
        <w:rPr>
          <w:rFonts w:ascii="Arial" w:hAnsi="Arial" w:cs="Arial"/>
          <w:rtl/>
          <w:lang w:bidi="ar-JO"/>
        </w:rPr>
        <w:t>إنّ المسّ بهذه الحقوق ممكنٌ ضمن تقييدات معيّنة تمّ تحديدها في القانون، وهي تتعلّق بالغاية من المسّ وبدرجته. تسري هذه التقييدات أوّلاً وقبل كل شيء على استخدام شرطة إسرائيل صلاحيّات مسبّبة للضرر. هذا ما ذكرته المحكمة العليا في إحدى القضايا:</w:t>
      </w:r>
    </w:p>
    <w:p w:rsidR="006B2955" w:rsidRPr="006B2955" w:rsidP="006B2955">
      <w:pPr>
        <w:tabs>
          <w:tab w:val="left" w:pos="565"/>
        </w:tabs>
        <w:spacing w:after="180" w:line="380" w:lineRule="exact"/>
        <w:ind w:left="567" w:right="567"/>
        <w:jc w:val="both"/>
        <w:rPr>
          <w:rFonts w:ascii="Arial" w:hAnsi="Arial" w:cs="Arial"/>
          <w:rtl/>
        </w:rPr>
      </w:pPr>
      <w:r w:rsidRPr="006B2955">
        <w:rPr>
          <w:rFonts w:ascii="Arial" w:hAnsi="Arial" w:cs="Arial"/>
          <w:rtl/>
          <w:lang w:bidi="ar-LB"/>
        </w:rPr>
        <w:t>"</w:t>
      </w:r>
      <w:r w:rsidRPr="006B2955">
        <w:rPr>
          <w:rFonts w:ascii="Arial" w:hAnsi="Arial" w:cs="Arial"/>
          <w:rtl/>
          <w:lang w:bidi="ar-JO"/>
        </w:rPr>
        <w:t xml:space="preserve">شرطيّو إسرائيل، عملهم صعب ومسؤول، ويترافق غير مرّة مع مخاطر وتهجّمات، وهي تستحقّ كل تشجيع يمكن للمحاكم أن تعطيه لهم. </w:t>
      </w:r>
      <w:r w:rsidRPr="006B2955">
        <w:rPr>
          <w:rFonts w:ascii="Arial" w:hAnsi="Arial" w:cs="Arial"/>
          <w:rtl/>
          <w:lang w:bidi="ar-JO"/>
        </w:rPr>
        <w:t>ولكن</w:t>
      </w:r>
      <w:r w:rsidRPr="006B2955">
        <w:rPr>
          <w:rFonts w:ascii="Arial" w:hAnsi="Arial" w:cs="Arial"/>
          <w:rtl/>
          <w:lang w:bidi="ar-JO"/>
        </w:rPr>
        <w:t xml:space="preserve"> أيّها نقصد؟ طالما أنّهم يذكرون وواعون إلى أنّ الصّلاحية والسلطة الممنوحتين لهم، أعطيت لغرض الوظيفة فقط ويحظر استخدامها على نحو سيّء. يجب عليهم أن يحفظوا هذا عن ظهر قلب صباح مساء، بالذات لأنّ وظيفتهم تستدعي في أحيان متقاربة صرامة بل حتى استخدامًا للقوّة. إنّ الانتقال </w:t>
      </w:r>
      <w:r w:rsidRPr="006B2955">
        <w:rPr>
          <w:rFonts w:ascii="Arial" w:hAnsi="Arial" w:cs="Arial"/>
          <w:rtl/>
          <w:lang w:bidi="ar-JO"/>
        </w:rPr>
        <w:t>من</w:t>
      </w:r>
      <w:r w:rsidRPr="006B2955">
        <w:rPr>
          <w:rFonts w:ascii="Arial" w:hAnsi="Arial" w:cs="Arial"/>
          <w:rtl/>
          <w:lang w:bidi="ar-JO"/>
        </w:rPr>
        <w:t xml:space="preserve"> "قوّة معقولة" إلى قوّة زائدة هو انتقال سريع ومُغرٍ ومن المحظور عليهم تجاوز الحدّ"</w:t>
      </w:r>
      <w:r w:rsidRPr="006B2955">
        <w:rPr>
          <w:rFonts w:ascii="Arial" w:hAnsi="Arial" w:cs="Arial"/>
          <w:rtl/>
        </w:rPr>
        <w:t>.</w:t>
      </w:r>
      <w:r>
        <w:rPr>
          <w:rStyle w:val="FootnoteReference"/>
          <w:rFonts w:ascii="Arial" w:hAnsi="Arial" w:cs="Arial"/>
          <w:rtl/>
        </w:rPr>
        <w:footnoteReference w:id="4"/>
      </w:r>
    </w:p>
    <w:p w:rsidR="006B2955" w:rsidRPr="006B2955" w:rsidP="006B2955">
      <w:pPr>
        <w:spacing w:after="180" w:line="380" w:lineRule="exact"/>
        <w:jc w:val="both"/>
        <w:rPr>
          <w:rFonts w:ascii="Arial" w:hAnsi="Arial" w:cs="Arial"/>
          <w:rtl/>
          <w:lang w:bidi="ar-JO"/>
        </w:rPr>
      </w:pPr>
      <w:r w:rsidRPr="006B2955">
        <w:rPr>
          <w:rFonts w:ascii="Arial" w:hAnsi="Arial" w:cs="Arial"/>
          <w:rtl/>
          <w:lang w:bidi="ar-JO"/>
        </w:rPr>
        <w:t xml:space="preserve">تطرح وجهة النظر هذه، للأسف، نواقص غير قليلة تخصّ عمل قيادة وزارة الأمن الداخليّ والشّرطة، ونظم استخدام </w:t>
      </w:r>
      <w:r w:rsidRPr="006B2955">
        <w:rPr>
          <w:rFonts w:ascii="Arial" w:hAnsi="Arial" w:cs="Arial"/>
          <w:rtl/>
          <w:lang w:bidi="ar-JO"/>
        </w:rPr>
        <w:t>التيزر</w:t>
      </w:r>
      <w:r w:rsidRPr="006B2955">
        <w:rPr>
          <w:rFonts w:ascii="Arial" w:hAnsi="Arial" w:cs="Arial"/>
          <w:rtl/>
          <w:lang w:bidi="ar-JO"/>
        </w:rPr>
        <w:t xml:space="preserve">، تقديم تقارير عنه ومراقبته. يتّضح من وجهة النظر هذه أنّه على امتداد سنوات طويلة، بل حتى بعد بدء استخدام </w:t>
      </w:r>
      <w:r w:rsidRPr="006B2955">
        <w:rPr>
          <w:rFonts w:ascii="Arial" w:hAnsi="Arial" w:cs="Arial"/>
          <w:rtl/>
          <w:lang w:bidi="ar-JO"/>
        </w:rPr>
        <w:t>التيزر</w:t>
      </w:r>
      <w:r w:rsidRPr="006B2955">
        <w:rPr>
          <w:rFonts w:ascii="Arial" w:hAnsi="Arial" w:cs="Arial"/>
          <w:rtl/>
          <w:lang w:bidi="ar-JO"/>
        </w:rPr>
        <w:t xml:space="preserve"> بشكل ميدانيّ، لم يتمّ بشكل نهائيّ، واضح ومفروغ منه تعريف ما إذا كان </w:t>
      </w:r>
      <w:r w:rsidRPr="006B2955">
        <w:rPr>
          <w:rFonts w:ascii="Arial" w:hAnsi="Arial" w:cs="Arial"/>
          <w:rtl/>
          <w:lang w:bidi="ar-JO"/>
        </w:rPr>
        <w:t>التيزر</w:t>
      </w:r>
      <w:r w:rsidRPr="006B2955">
        <w:rPr>
          <w:rFonts w:ascii="Arial" w:hAnsi="Arial" w:cs="Arial"/>
          <w:rtl/>
          <w:lang w:bidi="ar-JO"/>
        </w:rPr>
        <w:t xml:space="preserve"> هو وسيلة غير قاتلة أم أنّه جهاز إطلاق نار، بكلّ ما يحمله الأمر من معانٍ معياريّة وعمليّة نابعة منه. علاوةً على ذلك، إنّ القرار الذي لم يتخذ سوى مؤخّرًا، خلال الرّقابة وفي أعقابها، بأنّ </w:t>
      </w:r>
      <w:r w:rsidRPr="006B2955">
        <w:rPr>
          <w:rFonts w:ascii="Arial" w:hAnsi="Arial" w:cs="Arial"/>
          <w:rtl/>
          <w:lang w:bidi="ar-JO"/>
        </w:rPr>
        <w:t>التيزر</w:t>
      </w:r>
      <w:r w:rsidRPr="006B2955">
        <w:rPr>
          <w:rFonts w:ascii="Arial" w:hAnsi="Arial" w:cs="Arial"/>
          <w:rtl/>
          <w:lang w:bidi="ar-JO"/>
        </w:rPr>
        <w:t xml:space="preserve"> هو وسيلة غير </w:t>
      </w:r>
      <w:r w:rsidRPr="006B2955">
        <w:rPr>
          <w:rFonts w:ascii="Arial" w:hAnsi="Arial" w:cs="Arial"/>
          <w:rtl/>
          <w:lang w:bidi="ar-JO"/>
        </w:rPr>
        <w:t xml:space="preserve">قاتلة وهو ليس جهاز إطلاق نار، لم يستند إلى وجهة نظر مهنيّة مفصّلة ومسوّغة في مجالات القضاء، التكنولوجيا والطبّ لتدعمه. </w:t>
      </w:r>
      <w:r w:rsidRPr="006B2955">
        <w:rPr>
          <w:rFonts w:ascii="Arial" w:hAnsi="Arial" w:cs="Arial"/>
          <w:rtl/>
          <w:lang w:bidi="ar-JO"/>
        </w:rPr>
        <w:t>إنّ</w:t>
      </w:r>
      <w:r w:rsidRPr="006B2955">
        <w:rPr>
          <w:rFonts w:ascii="Arial" w:hAnsi="Arial" w:cs="Arial"/>
          <w:rtl/>
          <w:lang w:bidi="ar-JO"/>
        </w:rPr>
        <w:t xml:space="preserve"> غياب وجهات النظر تلك، كما ذُكِر، يبرز خصوصًا على خلفيّة حقيقة وجود مواقف مختلفة في هذا الموضوع في البلاد والعالم.</w:t>
      </w:r>
    </w:p>
    <w:p w:rsidR="006B2955" w:rsidRPr="006B2955" w:rsidP="006B2955">
      <w:pPr>
        <w:spacing w:after="180" w:line="380" w:lineRule="exact"/>
        <w:jc w:val="both"/>
        <w:rPr>
          <w:rFonts w:ascii="Arial" w:hAnsi="Arial" w:cs="Arial"/>
          <w:rtl/>
          <w:lang w:bidi="ar-JO"/>
        </w:rPr>
      </w:pPr>
      <w:r w:rsidRPr="006B2955">
        <w:rPr>
          <w:rFonts w:ascii="Arial" w:hAnsi="Arial" w:cs="Arial"/>
          <w:rtl/>
          <w:lang w:bidi="ar-JO"/>
        </w:rPr>
        <w:t xml:space="preserve">يتّضح من وجهة النظر أيضًا أنّ الشرطة لم تتابع بشكلٍ جارٍ التأثيرات الاستثنائيّة لاستخدام </w:t>
      </w:r>
      <w:r w:rsidRPr="006B2955">
        <w:rPr>
          <w:rFonts w:ascii="Arial" w:hAnsi="Arial" w:cs="Arial"/>
          <w:rtl/>
          <w:lang w:bidi="ar-JO"/>
        </w:rPr>
        <w:t>التيزر</w:t>
      </w:r>
      <w:r w:rsidRPr="006B2955">
        <w:rPr>
          <w:rFonts w:ascii="Arial" w:hAnsi="Arial" w:cs="Arial"/>
          <w:rtl/>
          <w:lang w:bidi="ar-JO"/>
        </w:rPr>
        <w:t xml:space="preserve"> بواسطة شرطيّيها ولم تفحص تأثيرات كتلك تمّ وصفها في أبحاث مختلفة جرت في العالم. في هذا السياق يتمّ التشديد في وجهة النظر على أنّه يجب على الشرطة أن تعيد فحص التغيير الذي نصّ عليه نظام تشغيل </w:t>
      </w:r>
      <w:r w:rsidRPr="006B2955">
        <w:rPr>
          <w:rFonts w:ascii="Arial" w:hAnsi="Arial" w:cs="Arial"/>
          <w:rtl/>
          <w:lang w:bidi="ar-JO"/>
        </w:rPr>
        <w:t>التيزر</w:t>
      </w:r>
      <w:r w:rsidRPr="006B2955">
        <w:rPr>
          <w:rFonts w:ascii="Arial" w:hAnsi="Arial" w:cs="Arial"/>
          <w:rtl/>
          <w:lang w:bidi="ar-JO"/>
        </w:rPr>
        <w:t xml:space="preserve"> بخصوص عدد الضغطات المتتالية الأقصى المسموح به (في النظام الجديد منصوص أنّه يمكن تشغيله ثلاث مرّات متتالية بدلاً من اثنتين، كما كان في النّظام السّابق). </w:t>
      </w:r>
      <w:r w:rsidRPr="006B2955">
        <w:rPr>
          <w:rFonts w:ascii="Arial" w:hAnsi="Arial" w:cs="Arial"/>
          <w:rtl/>
          <w:lang w:bidi="ar-JO"/>
        </w:rPr>
        <w:t>علاوةً</w:t>
      </w:r>
      <w:r w:rsidRPr="006B2955">
        <w:rPr>
          <w:rFonts w:ascii="Arial" w:hAnsi="Arial" w:cs="Arial"/>
          <w:rtl/>
          <w:lang w:bidi="ar-JO"/>
        </w:rPr>
        <w:t xml:space="preserve"> على هذا، ليس واضحًا إن كانت هناك عمومًا حاجة ميدانية حقيقيّة في تغيير ذلك النظام كما ورد. هناك نواقص إضافية طُرحت تخصّ موضوع تقديم تقارير ورقابة لاستخدام </w:t>
      </w:r>
      <w:r w:rsidRPr="006B2955">
        <w:rPr>
          <w:rFonts w:ascii="Arial" w:hAnsi="Arial" w:cs="Arial"/>
          <w:rtl/>
          <w:lang w:bidi="ar-JO"/>
        </w:rPr>
        <w:t>التيزر</w:t>
      </w:r>
      <w:r w:rsidRPr="006B2955">
        <w:rPr>
          <w:rFonts w:ascii="Arial" w:hAnsi="Arial" w:cs="Arial"/>
          <w:rtl/>
          <w:lang w:bidi="ar-JO"/>
        </w:rPr>
        <w:t xml:space="preserve">. فمن جملة الأمور التي طُرحت أنّه لغرض تلقي معلومات عن شكل استخدام </w:t>
      </w:r>
      <w:r w:rsidRPr="006B2955">
        <w:rPr>
          <w:rFonts w:ascii="Arial" w:hAnsi="Arial" w:cs="Arial"/>
          <w:rtl/>
          <w:lang w:bidi="ar-JO"/>
        </w:rPr>
        <w:t>التيزر</w:t>
      </w:r>
      <w:r w:rsidRPr="006B2955">
        <w:rPr>
          <w:rFonts w:ascii="Arial" w:hAnsi="Arial" w:cs="Arial"/>
          <w:rtl/>
          <w:lang w:bidi="ar-JO"/>
        </w:rPr>
        <w:t xml:space="preserve"> ووتيرة استخدامه، أن الشرطة لا تعتمد على الإمكانيّة التكنولوجيّة لإجراء متابعة جارية لاستخدام الجهاز.</w:t>
      </w:r>
    </w:p>
    <w:p w:rsidR="006B2955" w:rsidRPr="006B2955" w:rsidP="006B2955">
      <w:pPr>
        <w:spacing w:after="180" w:line="380" w:lineRule="exact"/>
        <w:jc w:val="both"/>
        <w:rPr>
          <w:rFonts w:ascii="Arial" w:hAnsi="Arial" w:cs="Arial"/>
          <w:rtl/>
          <w:lang w:bidi="ar-JO"/>
        </w:rPr>
      </w:pPr>
      <w:r w:rsidRPr="006B2955">
        <w:rPr>
          <w:rFonts w:ascii="Arial" w:hAnsi="Arial" w:cs="Arial"/>
          <w:rtl/>
          <w:lang w:bidi="ar-JO"/>
        </w:rPr>
        <w:t xml:space="preserve">هناك فصل إضافيّ في وجهة النظر تمّ تخصيصه لمعالجة شكاوى على استخدام </w:t>
      </w:r>
      <w:r w:rsidRPr="006B2955">
        <w:rPr>
          <w:rFonts w:ascii="Arial" w:hAnsi="Arial" w:cs="Arial"/>
          <w:rtl/>
          <w:lang w:bidi="ar-JO"/>
        </w:rPr>
        <w:t>التيزر</w:t>
      </w:r>
      <w:r w:rsidRPr="006B2955">
        <w:rPr>
          <w:rFonts w:ascii="Arial" w:hAnsi="Arial" w:cs="Arial"/>
          <w:rtl/>
          <w:lang w:bidi="ar-JO"/>
        </w:rPr>
        <w:t xml:space="preserve"> خلافًا للقانون. يتّضح من هذا الفصل أنّه رغم الشكاوى التي قدّمت ضد شرطيّين – وتتّضح منها أحيانًا صورة قاسية جدًّا لاستخدام </w:t>
      </w:r>
      <w:r w:rsidRPr="006B2955">
        <w:rPr>
          <w:rFonts w:ascii="Arial" w:hAnsi="Arial" w:cs="Arial"/>
          <w:rtl/>
          <w:lang w:bidi="ar-JO"/>
        </w:rPr>
        <w:t>التيزر</w:t>
      </w:r>
      <w:r w:rsidRPr="006B2955">
        <w:rPr>
          <w:rFonts w:ascii="Arial" w:hAnsi="Arial" w:cs="Arial"/>
          <w:rtl/>
          <w:lang w:bidi="ar-JO"/>
        </w:rPr>
        <w:t xml:space="preserve"> خلافًا للقانون ولأنظمة تشغيله – فإنّ الشرطة لم تشغّل منظومة تتلقى وتحلّل بشكل منظوميّ وفرديّ معطيات ذات صلة بموضوع استخدام </w:t>
      </w:r>
      <w:r w:rsidRPr="006B2955">
        <w:rPr>
          <w:rFonts w:ascii="Arial" w:hAnsi="Arial" w:cs="Arial"/>
          <w:rtl/>
          <w:lang w:bidi="ar-JO"/>
        </w:rPr>
        <w:t>التيزر</w:t>
      </w:r>
      <w:r w:rsidRPr="006B2955">
        <w:rPr>
          <w:rFonts w:ascii="Arial" w:hAnsi="Arial" w:cs="Arial"/>
          <w:rtl/>
          <w:lang w:bidi="ar-JO"/>
        </w:rPr>
        <w:t xml:space="preserve"> الموجودة في ملفّات قسم التحقيق مع الشرطيّين لغرض استخلاص العبر منها وتطبيق الاستنتاجات الناتجة عنها، ومن ضمن ذلك أيضًا تصحيح الأنظمة وإجراء إرشادات.</w:t>
      </w:r>
    </w:p>
    <w:p w:rsidR="006B2955" w:rsidRPr="006B2955" w:rsidP="006B2955">
      <w:pPr>
        <w:spacing w:after="180" w:line="380" w:lineRule="exact"/>
        <w:jc w:val="both"/>
        <w:rPr>
          <w:rFonts w:ascii="Arial" w:hAnsi="Arial" w:cs="Arial"/>
          <w:rtl/>
          <w:lang w:bidi="ar-JO"/>
        </w:rPr>
      </w:pPr>
      <w:r w:rsidRPr="006B2955">
        <w:rPr>
          <w:rFonts w:ascii="Arial" w:hAnsi="Arial" w:cs="Arial"/>
          <w:rtl/>
          <w:lang w:bidi="ar-JO"/>
        </w:rPr>
        <w:t xml:space="preserve">كما ورد أعلاه، يمكن </w:t>
      </w:r>
      <w:r w:rsidRPr="006B2955">
        <w:rPr>
          <w:rFonts w:ascii="Arial" w:hAnsi="Arial" w:cs="Arial"/>
          <w:rtl/>
          <w:lang w:bidi="ar-JO"/>
        </w:rPr>
        <w:t>للتيزر</w:t>
      </w:r>
      <w:r w:rsidRPr="006B2955">
        <w:rPr>
          <w:rFonts w:ascii="Arial" w:hAnsi="Arial" w:cs="Arial"/>
          <w:rtl/>
          <w:lang w:bidi="ar-JO"/>
        </w:rPr>
        <w:t xml:space="preserve"> في حالات معيّنة أن يكون قاتلاً، ولهذا يجب أن يتمّ توضيح قواعد استخدامه النسبيّ بشكل مفصّل. إنّ التوصية المترتبة إذًا على وجهة النظر هي أن تفحص الشّرطة من جديد جوانب مختلفة من موضوع استخدام </w:t>
      </w:r>
      <w:r w:rsidRPr="006B2955">
        <w:rPr>
          <w:rFonts w:ascii="Arial" w:hAnsi="Arial" w:cs="Arial"/>
          <w:rtl/>
          <w:lang w:bidi="ar-JO"/>
        </w:rPr>
        <w:t>التيزر</w:t>
      </w:r>
      <w:r w:rsidRPr="006B2955">
        <w:rPr>
          <w:rFonts w:ascii="Arial" w:hAnsi="Arial" w:cs="Arial"/>
          <w:rtl/>
          <w:lang w:bidi="ar-JO"/>
        </w:rPr>
        <w:t>، المعطيات التي عُرضت عليها في توجّهات جمعية حقوق المواطن ونقابة الأطبّاء في إسرائيل وتحليل الحوادث الاستثنائيّة؛ يجدر في ختام هذا الفحص أن تأخذ الشّرطة بالاعتبار ما إذا كانت هناك حاجة في تعديل إضافيّ يتعلق بتشغيل الجهاز وفحص طرق الإشراف والرقابة على استخدامه.</w:t>
      </w:r>
    </w:p>
    <w:p w:rsidR="006B2955" w:rsidRPr="006B2955" w:rsidP="006B2955">
      <w:pPr>
        <w:spacing w:after="180" w:line="380" w:lineRule="exact"/>
        <w:jc w:val="both"/>
        <w:rPr>
          <w:rFonts w:ascii="Arial" w:hAnsi="Arial" w:cs="Arial"/>
          <w:rtl/>
          <w:lang w:bidi="ar-SA"/>
        </w:rPr>
      </w:pPr>
      <w:r w:rsidRPr="006B2955">
        <w:rPr>
          <w:rFonts w:ascii="Arial" w:hAnsi="Arial" w:cs="Arial"/>
          <w:rtl/>
          <w:lang w:bidi="ar-JO"/>
        </w:rPr>
        <w:t xml:space="preserve">إلى جانب هذا، أجد من الصحيح الإشارة بالإيجاب إلى أنّ الشرطة، ومَن يقف بقيادتها، يقظون للنقد العامّ ولتزايد الشّكاوى بسبب استخدام </w:t>
      </w:r>
      <w:r w:rsidRPr="006B2955">
        <w:rPr>
          <w:rFonts w:ascii="Arial" w:hAnsi="Arial" w:cs="Arial"/>
          <w:rtl/>
          <w:lang w:bidi="ar-JO"/>
        </w:rPr>
        <w:t>التيزر</w:t>
      </w:r>
      <w:r w:rsidRPr="006B2955">
        <w:rPr>
          <w:rFonts w:ascii="Arial" w:hAnsi="Arial" w:cs="Arial"/>
          <w:rtl/>
          <w:lang w:bidi="ar-JO"/>
        </w:rPr>
        <w:t xml:space="preserve"> على نحو غير لائق. وقد دخل مفتّش الشّرطة العام إلى صلب الموضوع ووجد من الصّحيح تجميد استخدام جزء من عناصر جهاز </w:t>
      </w:r>
      <w:r w:rsidRPr="006B2955">
        <w:rPr>
          <w:rFonts w:ascii="Arial" w:hAnsi="Arial" w:cs="Arial"/>
          <w:rtl/>
          <w:lang w:bidi="ar-JO"/>
        </w:rPr>
        <w:t>التيزر</w:t>
      </w:r>
      <w:r w:rsidRPr="006B2955">
        <w:rPr>
          <w:rFonts w:ascii="Arial" w:hAnsi="Arial" w:cs="Arial"/>
          <w:rtl/>
          <w:lang w:bidi="ar-JO"/>
        </w:rPr>
        <w:t xml:space="preserve"> لفترة محدّدة</w:t>
      </w:r>
      <w:r w:rsidRPr="006B2955">
        <w:rPr>
          <w:rFonts w:ascii="Arial" w:hAnsi="Arial" w:cs="Arial"/>
          <w:rtl/>
        </w:rPr>
        <w:t xml:space="preserve"> </w:t>
      </w:r>
      <w:r w:rsidRPr="006B2955">
        <w:rPr>
          <w:rFonts w:ascii="Arial" w:hAnsi="Arial" w:cs="Arial"/>
          <w:rtl/>
          <w:lang w:bidi="ar-JO"/>
        </w:rPr>
        <w:t xml:space="preserve">وتعيين طاقم فحص، كما أمر لاحقًا بتعديل أقسام من نظام تشغيل الجهاز. كانَ هذا تصحيحًا فورياً </w:t>
      </w:r>
      <w:r w:rsidRPr="006B2955">
        <w:rPr>
          <w:rFonts w:ascii="Arial" w:hAnsi="Arial" w:cs="Arial"/>
          <w:rtl/>
          <w:lang w:bidi="ar-JO"/>
        </w:rPr>
        <w:t>لقسم</w:t>
      </w:r>
      <w:r w:rsidRPr="006B2955">
        <w:rPr>
          <w:rFonts w:ascii="Arial" w:hAnsi="Arial" w:cs="Arial"/>
          <w:rtl/>
          <w:lang w:bidi="ar-JO"/>
        </w:rPr>
        <w:t xml:space="preserve"> من النواقص، وهو أمر يجب مباركته. </w:t>
      </w:r>
      <w:r w:rsidRPr="006B2955">
        <w:rPr>
          <w:rFonts w:ascii="Arial" w:hAnsi="Arial" w:cs="Arial"/>
          <w:rtl/>
          <w:lang w:bidi="ar-JO"/>
        </w:rPr>
        <w:t>لكن</w:t>
      </w:r>
      <w:r w:rsidRPr="006B2955">
        <w:rPr>
          <w:rFonts w:ascii="Arial" w:hAnsi="Arial" w:cs="Arial"/>
          <w:rtl/>
          <w:lang w:bidi="ar-JO"/>
        </w:rPr>
        <w:t>، من الجدير أن نشير إلى أنّ الوقاية قبل وقوع الواقعة السيّئة كانت ممكنة في حال كان عمل طاقم المقر أكثر أساسيّة، واتسم بإرشاد أشمل وإشراف ورقابة أكثر صرامةً</w:t>
      </w:r>
      <w:r w:rsidRPr="006B2955">
        <w:rPr>
          <w:rFonts w:ascii="Arial" w:hAnsi="Arial" w:cs="Arial"/>
          <w:rtl/>
          <w:lang w:bidi="ar-LB"/>
        </w:rPr>
        <w:t>.</w:t>
      </w:r>
    </w:p>
    <w:p w:rsidR="006B2955" w:rsidRPr="006B2955" w:rsidP="006B2955">
      <w:pPr>
        <w:spacing w:after="180" w:line="380" w:lineRule="exact"/>
        <w:jc w:val="both"/>
        <w:rPr>
          <w:rFonts w:ascii="Arial" w:hAnsi="Arial" w:cs="Arial"/>
          <w:rtl/>
        </w:rPr>
      </w:pPr>
      <w:r w:rsidRPr="006B2955">
        <w:rPr>
          <w:rFonts w:ascii="Arial" w:hAnsi="Arial" w:cs="Arial"/>
          <w:rtl/>
          <w:lang w:bidi="ar-JO"/>
        </w:rPr>
        <w:t xml:space="preserve">لم يتم تصحيح كلّ ما يستدعي التصحيح، مثلما تفصّل وجهة النظر </w:t>
      </w:r>
      <w:r w:rsidRPr="006B2955">
        <w:rPr>
          <w:rFonts w:ascii="Arial" w:hAnsi="Arial" w:cs="Arial"/>
          <w:rtl/>
          <w:lang w:bidi="ar-JO"/>
        </w:rPr>
        <w:t>هذه</w:t>
      </w:r>
      <w:r w:rsidRPr="006B2955">
        <w:rPr>
          <w:rFonts w:ascii="Arial" w:hAnsi="Arial" w:cs="Arial"/>
          <w:rtl/>
          <w:lang w:bidi="ar-JO"/>
        </w:rPr>
        <w:t xml:space="preserve">. </w:t>
      </w:r>
      <w:r w:rsidRPr="006B2955">
        <w:rPr>
          <w:rFonts w:ascii="Arial" w:hAnsi="Arial" w:cs="Arial"/>
          <w:rtl/>
          <w:lang w:bidi="ar-JO"/>
        </w:rPr>
        <w:t>يجب</w:t>
      </w:r>
      <w:r w:rsidRPr="006B2955">
        <w:rPr>
          <w:rFonts w:ascii="Arial" w:hAnsi="Arial" w:cs="Arial"/>
          <w:rtl/>
          <w:lang w:bidi="ar-JO"/>
        </w:rPr>
        <w:t xml:space="preserve"> على وزارة الأمن الداخليّ، الشّرطة وقسم التحقيق مع الشرطيّين في وزارة القضاء، في أسرع وقت ممكن، تصحيح النواقص التي تطرحها وجهة النظر وتطبيق التوصيات المفصّلة فيها. يجب على الشرطة أن تواصل العمل دون توانٍ، ومن ضمن ذلك من خلال نشر أنظمة وإجراء إرشادات، من أجل تنبيه الشّرطيّين الذين يستخدمون </w:t>
      </w:r>
      <w:r w:rsidRPr="006B2955">
        <w:rPr>
          <w:rFonts w:ascii="Arial" w:hAnsi="Arial" w:cs="Arial"/>
          <w:rtl/>
          <w:lang w:bidi="ar-JO"/>
        </w:rPr>
        <w:t>التيزر</w:t>
      </w:r>
      <w:r w:rsidRPr="006B2955">
        <w:rPr>
          <w:rFonts w:ascii="Arial" w:hAnsi="Arial" w:cs="Arial"/>
          <w:rtl/>
          <w:lang w:bidi="ar-JO"/>
        </w:rPr>
        <w:t xml:space="preserve"> لمخاطر استخدام هذا الجهاز، وتعريفهم بقواعد الاستخدام النسبيّ له من خلال تحديد نطاق اعتبارات الشرطيّ بخصوص استخدام </w:t>
      </w:r>
      <w:r w:rsidRPr="006B2955">
        <w:rPr>
          <w:rFonts w:ascii="Arial" w:hAnsi="Arial" w:cs="Arial"/>
          <w:rtl/>
          <w:lang w:bidi="ar-JO"/>
        </w:rPr>
        <w:t>التيزر</w:t>
      </w:r>
      <w:r w:rsidRPr="006B2955">
        <w:rPr>
          <w:rFonts w:ascii="Arial" w:hAnsi="Arial" w:cs="Arial"/>
          <w:rtl/>
          <w:lang w:bidi="ar-JO"/>
        </w:rPr>
        <w:t xml:space="preserve"> خلال حدث ميدانيّ. ويُقترح بشأن استكمال الفحوصات المقترحة في وجهة النظر هذه وتصحيح النواقص المطروحة فيها أن تفحص الشرطة اتخاذ خطوات تضمن استخدام </w:t>
      </w:r>
      <w:r w:rsidRPr="006B2955">
        <w:rPr>
          <w:rFonts w:ascii="Arial" w:hAnsi="Arial" w:cs="Arial"/>
          <w:rtl/>
          <w:lang w:bidi="ar-JO"/>
        </w:rPr>
        <w:t>التيزر</w:t>
      </w:r>
      <w:r w:rsidRPr="006B2955">
        <w:rPr>
          <w:rFonts w:ascii="Arial" w:hAnsi="Arial" w:cs="Arial"/>
          <w:rtl/>
          <w:lang w:bidi="ar-JO"/>
        </w:rPr>
        <w:t xml:space="preserve"> الحذِر والخاضع للرّقابة.</w:t>
      </w:r>
      <w:r w:rsidRPr="006B2955">
        <w:rPr>
          <w:rFonts w:ascii="Arial" w:hAnsi="Arial" w:cs="Arial"/>
          <w:rtl/>
        </w:rPr>
        <w:t xml:space="preserve"> </w:t>
      </w:r>
    </w:p>
    <w:p w:rsidR="006B2955" w:rsidRPr="006B2955" w:rsidP="006B2955">
      <w:pPr>
        <w:spacing w:after="180" w:line="380" w:lineRule="exact"/>
        <w:jc w:val="both"/>
        <w:rPr>
          <w:rFonts w:ascii="Arial" w:hAnsi="Arial" w:cs="Arial"/>
          <w:rtl/>
          <w:lang w:bidi="ar-JO"/>
        </w:rPr>
      </w:pPr>
      <w:r w:rsidRPr="006B2955">
        <w:rPr>
          <w:rFonts w:ascii="Arial" w:hAnsi="Arial" w:cs="Arial"/>
          <w:rtl/>
          <w:lang w:bidi="ar-JO"/>
        </w:rPr>
        <w:t>ما</w:t>
      </w:r>
      <w:r w:rsidRPr="006B2955">
        <w:rPr>
          <w:rFonts w:ascii="Arial" w:hAnsi="Arial" w:cs="Arial"/>
          <w:rtl/>
          <w:lang w:bidi="ar-JO"/>
        </w:rPr>
        <w:t xml:space="preserve"> من شكّ في أنّه يجب تزويد أفراد شرطة إسرائيل الذين يصلون الليل بالنّهار لضمان أمن سكّان الدولة، بالأدوات اللائقة لمواجهة المخالفين، لكن يُحظر أن تتحوّل أدوات حديثة هدفها مساعدة الشرطة في عملها إلى معول لإلحاق ضرر غير نسبيّ بحقوق الإنسان. </w:t>
      </w:r>
      <w:r w:rsidRPr="006B2955">
        <w:rPr>
          <w:rFonts w:ascii="Arial" w:hAnsi="Arial" w:cs="Arial"/>
          <w:rtl/>
          <w:lang w:bidi="ar-JO"/>
        </w:rPr>
        <w:t>ففي</w:t>
      </w:r>
      <w:r w:rsidRPr="006B2955">
        <w:rPr>
          <w:rFonts w:ascii="Arial" w:hAnsi="Arial" w:cs="Arial"/>
          <w:rtl/>
          <w:lang w:bidi="ar-JO"/>
        </w:rPr>
        <w:t xml:space="preserve"> خاتمة المطاف، التوازن اللائق بين حماية حقوق الإنسان وبين الاستخدام الفعّال للصلاحيّات والوسائل الماثلة بأيدي الشرطة سوف يزيد من ثقة الجمهور بشرطة إسرائيل ويعزّز قدراتها للقيام بالوظائف الهامّة الملقاة على عاتقها. وقد توقف عند ذلك قاضي المحكمة العليا سليم جبران في إحدى القضايا بالقول:</w:t>
      </w:r>
    </w:p>
    <w:p w:rsidR="006B2955" w:rsidRPr="006B2955" w:rsidP="006B2955">
      <w:pPr>
        <w:tabs>
          <w:tab w:val="left" w:pos="565"/>
        </w:tabs>
        <w:spacing w:after="180" w:line="380" w:lineRule="exact"/>
        <w:ind w:left="567" w:right="567"/>
        <w:jc w:val="both"/>
        <w:rPr>
          <w:rFonts w:ascii="Arial" w:hAnsi="Arial" w:cs="Arial"/>
        </w:rPr>
      </w:pPr>
      <w:r w:rsidRPr="006B2955">
        <w:rPr>
          <w:rFonts w:ascii="Arial" w:hAnsi="Arial" w:cs="Arial"/>
          <w:rtl/>
          <w:lang w:bidi="ar-LB"/>
        </w:rPr>
        <w:t>"</w:t>
      </w:r>
      <w:r w:rsidRPr="006B2955">
        <w:rPr>
          <w:rFonts w:ascii="Arial" w:hAnsi="Arial" w:cs="Arial"/>
          <w:rtl/>
          <w:lang w:bidi="ar-JO"/>
        </w:rPr>
        <w:t>بصياغة</w:t>
      </w:r>
      <w:r w:rsidRPr="006B2955">
        <w:rPr>
          <w:rFonts w:ascii="Arial" w:hAnsi="Arial" w:cs="Arial"/>
          <w:rtl/>
          <w:lang w:bidi="ar-JO"/>
        </w:rPr>
        <w:t xml:space="preserve"> مجدّدة لأقوال القاضي أ. براك </w:t>
      </w:r>
      <w:r w:rsidRPr="006B2955">
        <w:rPr>
          <w:rFonts w:ascii="Arial" w:hAnsi="Arial" w:cs="Arial"/>
          <w:b/>
          <w:bCs/>
          <w:rtl/>
          <w:lang w:bidi="ar-JO"/>
        </w:rPr>
        <w:t>في قضيّة اللجنة الشّعبيّة ضدّ التعذيب</w:t>
      </w:r>
      <w:r w:rsidRPr="006B2955">
        <w:rPr>
          <w:rFonts w:ascii="Arial" w:hAnsi="Arial" w:cs="Arial"/>
          <w:rtl/>
          <w:lang w:bidi="ar-JO"/>
        </w:rPr>
        <w:t xml:space="preserve"> يمكن القول إنّ مصير الشّرطة في دولة ديمقراطيّة هو أنّه ليس كلّ الأدوات لائقة بنظرها، ولا كلّ الأساليب التي يستخدمها المجرمون ومخالفو القانون متاحة لها. </w:t>
      </w:r>
      <w:r w:rsidRPr="006B2955">
        <w:rPr>
          <w:rFonts w:ascii="Arial" w:hAnsi="Arial" w:cs="Arial"/>
          <w:rtl/>
          <w:lang w:bidi="ar-JO"/>
        </w:rPr>
        <w:t>الشّرطة</w:t>
      </w:r>
      <w:r w:rsidRPr="006B2955">
        <w:rPr>
          <w:rFonts w:ascii="Arial" w:hAnsi="Arial" w:cs="Arial"/>
          <w:rtl/>
          <w:lang w:bidi="ar-JO"/>
        </w:rPr>
        <w:t xml:space="preserve"> في الدولة الديمقراطية تحارب غير مرّة حين </w:t>
      </w:r>
      <w:r w:rsidRPr="006B2955">
        <w:rPr>
          <w:rFonts w:ascii="Arial" w:hAnsi="Arial" w:cs="Arial"/>
          <w:rtl/>
          <w:lang w:bidi="ar-JO"/>
        </w:rPr>
        <w:t xml:space="preserve">تكون إحدى يديها مكبّلة في الخلف. </w:t>
      </w:r>
      <w:r w:rsidRPr="006B2955">
        <w:rPr>
          <w:rFonts w:ascii="Arial" w:hAnsi="Arial" w:cs="Arial"/>
          <w:rtl/>
          <w:lang w:bidi="ar-JO"/>
        </w:rPr>
        <w:t>رغم</w:t>
      </w:r>
      <w:r w:rsidRPr="006B2955">
        <w:rPr>
          <w:rFonts w:ascii="Arial" w:hAnsi="Arial" w:cs="Arial"/>
          <w:rtl/>
          <w:lang w:bidi="ar-JO"/>
        </w:rPr>
        <w:t xml:space="preserve"> ذلك، فإنّ يد الشرطة في دولة ديمقراطيّة تظلّ هي الأقوى، لأنّ حماية سلطة القانون والاعتراف بحريّات الفرد، تُشكّل مركبًا مهمًّا في مفهوم أمن الدولة. </w:t>
      </w:r>
      <w:r w:rsidRPr="006B2955">
        <w:rPr>
          <w:rFonts w:ascii="Arial" w:hAnsi="Arial" w:cs="Arial"/>
          <w:rtl/>
          <w:lang w:bidi="ar-JO"/>
        </w:rPr>
        <w:t>في</w:t>
      </w:r>
      <w:r w:rsidRPr="006B2955">
        <w:rPr>
          <w:rFonts w:ascii="Arial" w:hAnsi="Arial" w:cs="Arial"/>
          <w:rtl/>
          <w:lang w:bidi="ar-JO"/>
        </w:rPr>
        <w:t xml:space="preserve"> خاتمة المطاف، إنّها تعزّز روحها وقوّتها وتمكّنها من التغلّب على مصاعبها</w:t>
      </w:r>
      <w:r w:rsidRPr="006B2955">
        <w:rPr>
          <w:rFonts w:ascii="Arial" w:hAnsi="Arial" w:cs="Arial"/>
          <w:rtl/>
        </w:rPr>
        <w:t>.</w:t>
      </w:r>
      <w:r w:rsidRPr="006B2955">
        <w:rPr>
          <w:rFonts w:ascii="Arial" w:hAnsi="Arial" w:cs="Arial"/>
          <w:rtl/>
          <w:lang w:bidi="ar-LB"/>
        </w:rPr>
        <w:t>"</w:t>
      </w:r>
      <w:r>
        <w:rPr>
          <w:rStyle w:val="FootnoteReference"/>
          <w:rFonts w:ascii="Arial" w:hAnsi="Arial" w:cs="Arial"/>
          <w:rtl/>
        </w:rPr>
        <w:footnoteReference w:id="5"/>
      </w:r>
    </w:p>
    <w:p w:rsidR="006B2955" w:rsidRPr="00075CC0" w:rsidP="006B2955"/>
    <w:p w:rsidR="00D710E6" w:rsidRPr="00D710E6" w:rsidP="00D710E6">
      <w:pPr>
        <w:tabs>
          <w:tab w:val="center" w:pos="4714"/>
        </w:tabs>
        <w:spacing w:after="120" w:line="240" w:lineRule="atLeast"/>
        <w:jc w:val="both"/>
        <w:rPr>
          <w:rFonts w:cs="FrankRuehl"/>
          <w:szCs w:val="22"/>
          <w:rtl/>
        </w:rPr>
      </w:pPr>
      <w:r w:rsidRPr="00D710E6">
        <w:rPr>
          <w:rFonts w:cs="FrankRuehl" w:hint="cs"/>
          <w:szCs w:val="22"/>
          <w:rtl/>
          <w:lang w:bidi="ar-EG"/>
        </w:rPr>
        <w:tab/>
      </w:r>
      <w:r>
        <w:rPr>
          <w:rFonts w:cs="FrankRuehl"/>
          <w:color w:val="FF0000"/>
          <w:sz w:val="60"/>
          <w:szCs w:val="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40.5pt">
            <v:imagedata r:id="rId6" o:title="shapira"/>
          </v:shape>
        </w:pict>
      </w:r>
    </w:p>
    <w:p w:rsidR="00D710E6" w:rsidRPr="00D710E6" w:rsidP="00D710E6">
      <w:pPr>
        <w:widowControl w:val="0"/>
        <w:tabs>
          <w:tab w:val="center" w:pos="4746"/>
        </w:tabs>
        <w:spacing w:line="280" w:lineRule="exact"/>
        <w:jc w:val="both"/>
        <w:rPr>
          <w:rFonts w:ascii="Arial" w:hAnsi="Arial" w:cs="Arial"/>
          <w:b/>
          <w:bCs/>
          <w:rtl/>
          <w:lang w:bidi="ar-AE"/>
        </w:rPr>
      </w:pPr>
      <w:r w:rsidRPr="00D710E6">
        <w:rPr>
          <w:rFonts w:ascii="Arial" w:hAnsi="Arial" w:cs="Arial"/>
          <w:b/>
          <w:bCs/>
          <w:lang w:bidi="ar-SA"/>
        </w:rPr>
        <w:tab/>
      </w:r>
      <w:r w:rsidRPr="00D710E6">
        <w:rPr>
          <w:rFonts w:ascii="Arial" w:hAnsi="Arial" w:cs="Arial" w:hint="cs"/>
          <w:b/>
          <w:bCs/>
          <w:rtl/>
          <w:lang w:bidi="ar-SA"/>
        </w:rPr>
        <w:t xml:space="preserve">يوسف حاييم شفيرا, قاض </w:t>
      </w:r>
      <w:r w:rsidRPr="00D710E6">
        <w:rPr>
          <w:rFonts w:ascii="Arial" w:hAnsi="Arial" w:cs="Arial" w:hint="cs"/>
          <w:b/>
          <w:bCs/>
          <w:rtl/>
          <w:lang w:bidi="ar-AE"/>
        </w:rPr>
        <w:t>(متقاعد)</w:t>
      </w:r>
    </w:p>
    <w:p w:rsidR="00D710E6" w:rsidRPr="00D710E6" w:rsidP="00D710E6">
      <w:pPr>
        <w:widowControl w:val="0"/>
        <w:tabs>
          <w:tab w:val="center" w:pos="4746"/>
        </w:tabs>
        <w:spacing w:line="280" w:lineRule="exact"/>
        <w:jc w:val="both"/>
        <w:rPr>
          <w:rFonts w:ascii="Arial" w:hAnsi="Arial" w:cs="Arial"/>
          <w:lang w:bidi="ar-SA"/>
        </w:rPr>
      </w:pPr>
      <w:r w:rsidRPr="00D710E6">
        <w:rPr>
          <w:rFonts w:ascii="Arial" w:hAnsi="Arial" w:cs="Arial"/>
          <w:lang w:bidi="ar-SA"/>
        </w:rPr>
        <w:tab/>
      </w:r>
      <w:r w:rsidRPr="00D710E6">
        <w:rPr>
          <w:rFonts w:ascii="Arial" w:hAnsi="Arial" w:cs="Arial"/>
          <w:rtl/>
          <w:lang w:bidi="ar-SA"/>
        </w:rPr>
        <w:t>مراقب</w:t>
      </w:r>
      <w:r w:rsidRPr="00D710E6">
        <w:rPr>
          <w:rFonts w:ascii="Arial" w:hAnsi="Arial" w:cs="Arial"/>
          <w:rtl/>
          <w:lang w:bidi="ar-SA"/>
        </w:rPr>
        <w:t xml:space="preserve"> الدولة</w:t>
      </w:r>
    </w:p>
    <w:p w:rsidR="00D710E6" w:rsidRPr="00D710E6" w:rsidP="00D710E6">
      <w:pPr>
        <w:widowControl w:val="0"/>
        <w:tabs>
          <w:tab w:val="center" w:pos="4746"/>
        </w:tabs>
        <w:spacing w:line="280" w:lineRule="exact"/>
        <w:jc w:val="both"/>
        <w:rPr>
          <w:rFonts w:ascii="Arial" w:hAnsi="Arial" w:cs="Arial"/>
          <w:lang w:bidi="ar-SA"/>
        </w:rPr>
      </w:pPr>
      <w:r w:rsidRPr="00D710E6">
        <w:rPr>
          <w:rFonts w:ascii="Arial" w:hAnsi="Arial" w:cs="Arial"/>
          <w:lang w:bidi="ar-SA"/>
        </w:rPr>
        <w:tab/>
      </w:r>
      <w:r w:rsidRPr="00D710E6">
        <w:rPr>
          <w:rFonts w:ascii="Arial" w:hAnsi="Arial" w:cs="Arial" w:hint="cs"/>
          <w:rtl/>
          <w:lang w:bidi="ar-SA"/>
        </w:rPr>
        <w:t>ومندوب</w:t>
      </w:r>
      <w:r w:rsidRPr="00D710E6">
        <w:rPr>
          <w:rFonts w:ascii="Arial" w:hAnsi="Arial" w:cs="Arial" w:hint="cs"/>
          <w:rtl/>
          <w:lang w:bidi="ar-SA"/>
        </w:rPr>
        <w:t xml:space="preserve"> شكاوى الجمهور</w:t>
      </w:r>
    </w:p>
    <w:p w:rsidR="006B2955" w:rsidRPr="006B2955" w:rsidP="006B2955">
      <w:pPr>
        <w:widowControl w:val="0"/>
        <w:tabs>
          <w:tab w:val="center" w:pos="4746"/>
        </w:tabs>
        <w:spacing w:line="280" w:lineRule="exact"/>
        <w:jc w:val="both"/>
        <w:rPr>
          <w:rFonts w:ascii="Arial" w:hAnsi="Arial" w:cs="Arial"/>
          <w:lang w:bidi="ar-SA"/>
        </w:rPr>
      </w:pPr>
      <w:r w:rsidRPr="006B2955">
        <w:rPr>
          <w:rFonts w:ascii="Arial" w:hAnsi="Arial" w:cs="Arial" w:hint="cs"/>
          <w:rtl/>
          <w:lang w:bidi="ar-SA"/>
        </w:rPr>
        <w:t>أورشليم</w:t>
      </w:r>
      <w:r w:rsidRPr="006B2955">
        <w:rPr>
          <w:rFonts w:ascii="Arial" w:hAnsi="Arial" w:cs="Arial" w:hint="cs"/>
          <w:rtl/>
          <w:lang w:bidi="ar-SA"/>
        </w:rPr>
        <w:t xml:space="preserve"> القدس،</w:t>
      </w:r>
      <w:r w:rsidRPr="006B2955">
        <w:rPr>
          <w:rFonts w:ascii="Arial" w:hAnsi="Arial" w:cs="Arial" w:hint="cs"/>
          <w:rtl/>
        </w:rPr>
        <w:t xml:space="preserve"> </w:t>
      </w:r>
      <w:r w:rsidRPr="006B2955">
        <w:rPr>
          <w:rFonts w:ascii="Arial" w:hAnsi="Arial" w:cs="Arial" w:hint="cs"/>
          <w:rtl/>
          <w:lang w:bidi="ar-SA"/>
        </w:rPr>
        <w:t>كانون الأوّل</w:t>
      </w:r>
      <w:r w:rsidRPr="006B2955">
        <w:rPr>
          <w:rFonts w:ascii="Arial" w:hAnsi="Arial" w:cs="Arial"/>
          <w:rtl/>
        </w:rPr>
        <w:t xml:space="preserve"> 2014</w:t>
      </w:r>
    </w:p>
    <w:p w:rsidR="00D710E6" w:rsidP="00D710E6">
      <w:pPr>
        <w:pStyle w:val="Footer"/>
        <w:tabs>
          <w:tab w:val="clear" w:pos="4153"/>
          <w:tab w:val="clear" w:pos="8306"/>
        </w:tabs>
        <w:spacing w:after="120" w:line="230" w:lineRule="exact"/>
        <w:jc w:val="both"/>
        <w:rPr>
          <w:rFonts w:cs="FrankRuehl"/>
          <w:szCs w:val="22"/>
          <w:rtl/>
        </w:rPr>
      </w:pPr>
      <w:bookmarkEnd w:id="0"/>
      <w:bookmarkEnd w:id="1"/>
      <w:bookmarkEnd w:id="2"/>
      <w:bookmarkEnd w:id="3"/>
      <w:bookmarkEnd w:id="4"/>
    </w:p>
    <w:sectPr>
      <w:footerReference w:type="even" r:id="rId7"/>
      <w:footerReference w:type="default" r:id="rId8"/>
      <w:footerReference w:type="first" r:id="rId9"/>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15D9" w:rsidRPr="00961D4F" w:rsidP="001C15D9">
    <w:pPr>
      <w:tabs>
        <w:tab w:val="left" w:pos="1222"/>
        <w:tab w:val="center" w:pos="4153"/>
        <w:tab w:val="right" w:pos="8306"/>
      </w:tabs>
      <w:spacing w:line="160" w:lineRule="exact"/>
      <w:rPr>
        <w:sz w:val="16"/>
        <w:szCs w:val="16"/>
        <w:rtl/>
      </w:rPr>
    </w:pPr>
    <w:r w:rsidRPr="00961D4F">
      <w:rPr>
        <w:sz w:val="16"/>
        <w:szCs w:val="16"/>
        <w:rtl/>
      </w:rPr>
      <w:t>שם הדוח:</w:t>
    </w:r>
    <w:r w:rsidRPr="00961D4F">
      <w:rPr>
        <w:sz w:val="16"/>
        <w:szCs w:val="16"/>
        <w:rtl/>
      </w:rPr>
      <w:tab/>
    </w:r>
    <w:r w:rsidRPr="001B6C6E">
      <w:rPr>
        <w:sz w:val="16"/>
        <w:szCs w:val="16"/>
        <w:rtl/>
      </w:rPr>
      <w:t xml:space="preserve">שימוש משטרת ישראל במכשיר שליטה חשמלי מסוג </w:t>
    </w:r>
    <w:r w:rsidRPr="001B6C6E">
      <w:rPr>
        <w:sz w:val="16"/>
        <w:szCs w:val="16"/>
        <w:rtl/>
      </w:rPr>
      <w:t>טייזר</w:t>
    </w:r>
    <w:r>
      <w:rPr>
        <w:rFonts w:hint="cs"/>
        <w:sz w:val="16"/>
        <w:szCs w:val="16"/>
        <w:rtl/>
      </w:rPr>
      <w:t xml:space="preserve"> - פתח דבר (ערבי)</w:t>
    </w:r>
  </w:p>
  <w:p w:rsidR="006B157C" w:rsidRPr="00961D4F" w:rsidP="006B157C">
    <w:pPr>
      <w:tabs>
        <w:tab w:val="left" w:pos="1222"/>
        <w:tab w:val="center" w:pos="4153"/>
        <w:tab w:val="right" w:pos="8306"/>
      </w:tabs>
      <w:spacing w:line="160" w:lineRule="exact"/>
      <w:rPr>
        <w:sz w:val="16"/>
        <w:szCs w:val="16"/>
        <w:rtl/>
      </w:rPr>
    </w:pPr>
    <w:r w:rsidRPr="00961D4F">
      <w:rPr>
        <w:sz w:val="16"/>
        <w:szCs w:val="16"/>
        <w:rtl/>
      </w:rPr>
      <w:t>מסגרת הפרסום:</w:t>
    </w:r>
    <w:r w:rsidRPr="00961D4F">
      <w:rPr>
        <w:sz w:val="16"/>
        <w:szCs w:val="16"/>
        <w:rtl/>
      </w:rPr>
      <w:tab/>
      <w:t>חוות דעת</w:t>
    </w:r>
  </w:p>
  <w:p w:rsidR="006B157C" w:rsidP="006B157C">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15D9" w:rsidRPr="00961D4F" w:rsidP="001C15D9">
    <w:pPr>
      <w:tabs>
        <w:tab w:val="left" w:pos="1222"/>
        <w:tab w:val="center" w:pos="4153"/>
        <w:tab w:val="right" w:pos="8306"/>
      </w:tabs>
      <w:spacing w:line="160" w:lineRule="exact"/>
      <w:rPr>
        <w:sz w:val="16"/>
        <w:szCs w:val="16"/>
        <w:rtl/>
      </w:rPr>
    </w:pPr>
    <w:r w:rsidRPr="00961D4F">
      <w:rPr>
        <w:sz w:val="16"/>
        <w:szCs w:val="16"/>
        <w:rtl/>
      </w:rPr>
      <w:t>שם הדוח:</w:t>
    </w:r>
    <w:r w:rsidRPr="00961D4F">
      <w:rPr>
        <w:sz w:val="16"/>
        <w:szCs w:val="16"/>
        <w:rtl/>
      </w:rPr>
      <w:tab/>
    </w:r>
    <w:r w:rsidRPr="001B6C6E">
      <w:rPr>
        <w:sz w:val="16"/>
        <w:szCs w:val="16"/>
        <w:rtl/>
      </w:rPr>
      <w:t xml:space="preserve">שימוש משטרת ישראל במכשיר שליטה חשמלי מסוג </w:t>
    </w:r>
    <w:r w:rsidRPr="001B6C6E">
      <w:rPr>
        <w:sz w:val="16"/>
        <w:szCs w:val="16"/>
        <w:rtl/>
      </w:rPr>
      <w:t>טייזר</w:t>
    </w:r>
    <w:r>
      <w:rPr>
        <w:rFonts w:hint="cs"/>
        <w:sz w:val="16"/>
        <w:szCs w:val="16"/>
        <w:rtl/>
      </w:rPr>
      <w:t xml:space="preserve"> - פתח דבר (ערבי)</w:t>
    </w:r>
  </w:p>
  <w:p w:rsidR="006B157C" w:rsidRPr="00961D4F" w:rsidP="006B157C">
    <w:pPr>
      <w:tabs>
        <w:tab w:val="left" w:pos="1222"/>
        <w:tab w:val="center" w:pos="4153"/>
        <w:tab w:val="right" w:pos="8306"/>
      </w:tabs>
      <w:spacing w:line="160" w:lineRule="exact"/>
      <w:rPr>
        <w:sz w:val="16"/>
        <w:szCs w:val="16"/>
        <w:rtl/>
      </w:rPr>
    </w:pPr>
    <w:r w:rsidRPr="00961D4F">
      <w:rPr>
        <w:sz w:val="16"/>
        <w:szCs w:val="16"/>
        <w:rtl/>
      </w:rPr>
      <w:t>מסגרת הפרסום:</w:t>
    </w:r>
    <w:r w:rsidRPr="00961D4F">
      <w:rPr>
        <w:sz w:val="16"/>
        <w:szCs w:val="16"/>
        <w:rtl/>
      </w:rPr>
      <w:tab/>
      <w:t>חוות דעת</w:t>
    </w:r>
  </w:p>
  <w:p w:rsidR="006B157C" w:rsidP="006B157C">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15D9" w:rsidRPr="00961D4F" w:rsidP="001C15D9">
    <w:pPr>
      <w:tabs>
        <w:tab w:val="left" w:pos="1222"/>
        <w:tab w:val="center" w:pos="4153"/>
        <w:tab w:val="right" w:pos="8306"/>
      </w:tabs>
      <w:spacing w:line="160" w:lineRule="exact"/>
      <w:rPr>
        <w:sz w:val="16"/>
        <w:szCs w:val="16"/>
        <w:rtl/>
      </w:rPr>
    </w:pPr>
    <w:r w:rsidRPr="00961D4F">
      <w:rPr>
        <w:sz w:val="16"/>
        <w:szCs w:val="16"/>
        <w:rtl/>
      </w:rPr>
      <w:t>שם הדוח:</w:t>
    </w:r>
    <w:r w:rsidRPr="00961D4F">
      <w:rPr>
        <w:sz w:val="16"/>
        <w:szCs w:val="16"/>
        <w:rtl/>
      </w:rPr>
      <w:tab/>
    </w:r>
    <w:r w:rsidRPr="001B6C6E">
      <w:rPr>
        <w:sz w:val="16"/>
        <w:szCs w:val="16"/>
        <w:rtl/>
      </w:rPr>
      <w:t xml:space="preserve">שימוש משטרת ישראל במכשיר שליטה חשמלי מסוג </w:t>
    </w:r>
    <w:r w:rsidRPr="001B6C6E">
      <w:rPr>
        <w:sz w:val="16"/>
        <w:szCs w:val="16"/>
        <w:rtl/>
      </w:rPr>
      <w:t>טייזר</w:t>
    </w:r>
    <w:r>
      <w:rPr>
        <w:rFonts w:hint="cs"/>
        <w:sz w:val="16"/>
        <w:szCs w:val="16"/>
        <w:rtl/>
      </w:rPr>
      <w:t xml:space="preserve"> - פתח דבר (</w:t>
    </w:r>
    <w:r>
      <w:rPr>
        <w:rFonts w:hint="cs"/>
        <w:sz w:val="16"/>
        <w:szCs w:val="16"/>
        <w:rtl/>
      </w:rPr>
      <w:t>ערבי</w:t>
    </w:r>
    <w:r>
      <w:rPr>
        <w:rFonts w:hint="cs"/>
        <w:sz w:val="16"/>
        <w:szCs w:val="16"/>
        <w:rtl/>
      </w:rPr>
      <w:t>)</w:t>
    </w:r>
  </w:p>
  <w:p w:rsidR="006C598B" w:rsidRPr="00961D4F" w:rsidP="00D710E6">
    <w:pPr>
      <w:tabs>
        <w:tab w:val="left" w:pos="1222"/>
        <w:tab w:val="center" w:pos="4153"/>
        <w:tab w:val="right" w:pos="8306"/>
      </w:tabs>
      <w:spacing w:line="160" w:lineRule="exact"/>
      <w:rPr>
        <w:sz w:val="16"/>
        <w:szCs w:val="16"/>
        <w:rtl/>
      </w:rPr>
    </w:pPr>
    <w:r w:rsidRPr="00961D4F">
      <w:rPr>
        <w:sz w:val="16"/>
        <w:szCs w:val="16"/>
        <w:rtl/>
      </w:rPr>
      <w:t>מסגרת הפרסום:</w:t>
    </w:r>
    <w:r w:rsidRPr="00961D4F">
      <w:rPr>
        <w:sz w:val="16"/>
        <w:szCs w:val="16"/>
        <w:rtl/>
      </w:rPr>
      <w:tab/>
      <w:t>חוות דעת</w:t>
    </w:r>
  </w:p>
  <w:p w:rsidR="006C598B"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74984">
      <w:pPr>
        <w:spacing w:after="120"/>
        <w:rPr>
          <w:sz w:val="16"/>
          <w:szCs w:val="16"/>
        </w:rPr>
      </w:pPr>
      <w:r>
        <w:rPr>
          <w:sz w:val="16"/>
          <w:szCs w:val="16"/>
          <w:rtl/>
        </w:rPr>
        <w:t>__________________</w:t>
      </w:r>
    </w:p>
  </w:footnote>
  <w:footnote w:type="continuationSeparator" w:id="1">
    <w:p w:rsidR="00374984">
      <w:r>
        <w:t>_______________</w:t>
      </w:r>
    </w:p>
  </w:footnote>
  <w:footnote w:id="2">
    <w:p w:rsidR="006B2955" w:rsidRPr="006B2955" w:rsidP="006B2955">
      <w:pPr>
        <w:pStyle w:val="FootnoteText"/>
        <w:ind w:left="340" w:hanging="340"/>
        <w:jc w:val="both"/>
        <w:rPr>
          <w:rFonts w:ascii="Arial" w:hAnsi="Arial" w:cs="Arial"/>
          <w:sz w:val="18"/>
          <w:rtl/>
        </w:rPr>
      </w:pPr>
      <w:r w:rsidRPr="006B2955">
        <w:rPr>
          <w:rStyle w:val="FootnoteReference"/>
          <w:rFonts w:ascii="Arial" w:hAnsi="Arial" w:cs="Arial"/>
          <w:sz w:val="18"/>
          <w:vertAlign w:val="baseline"/>
        </w:rPr>
        <w:footnoteRef/>
      </w:r>
      <w:r w:rsidRPr="006B2955">
        <w:rPr>
          <w:rFonts w:ascii="Arial" w:hAnsi="Arial" w:cs="Arial"/>
          <w:sz w:val="18"/>
          <w:rtl/>
        </w:rPr>
        <w:tab/>
      </w:r>
      <w:r w:rsidRPr="006B2955">
        <w:rPr>
          <w:rFonts w:ascii="Arial" w:hAnsi="Arial" w:cs="Arial"/>
          <w:sz w:val="18"/>
          <w:rtl/>
          <w:lang w:bidi="ar-JO"/>
        </w:rPr>
        <w:t xml:space="preserve">دافيد بن غوريون "الشّرطيّ ورسالته"، </w:t>
      </w:r>
      <w:r w:rsidRPr="006B2955">
        <w:rPr>
          <w:rFonts w:ascii="Arial" w:hAnsi="Arial" w:cs="Arial"/>
          <w:b/>
          <w:bCs/>
          <w:sz w:val="18"/>
          <w:rtl/>
          <w:lang w:bidi="ar-JO"/>
        </w:rPr>
        <w:t>شرطيّ إسرائيل</w:t>
      </w:r>
      <w:r w:rsidRPr="006B2955">
        <w:rPr>
          <w:rFonts w:ascii="Arial" w:hAnsi="Arial" w:cs="Arial"/>
          <w:sz w:val="18"/>
          <w:rtl/>
          <w:lang w:bidi="ar-JO"/>
        </w:rPr>
        <w:t xml:space="preserve">، الكتيّب ب </w:t>
      </w:r>
      <w:r w:rsidRPr="006B2955">
        <w:rPr>
          <w:rFonts w:ascii="Arial" w:hAnsi="Arial" w:cs="Arial"/>
          <w:sz w:val="18"/>
          <w:szCs w:val="18"/>
          <w:rtl/>
          <w:lang w:bidi="ar-JO"/>
        </w:rPr>
        <w:t>(1950)</w:t>
      </w:r>
      <w:r w:rsidRPr="006B2955">
        <w:rPr>
          <w:rFonts w:ascii="Arial" w:hAnsi="Arial" w:cs="Arial"/>
          <w:sz w:val="18"/>
          <w:rtl/>
          <w:lang w:bidi="ar-JO"/>
        </w:rPr>
        <w:t>. الاقتباس الكامل وارد في قرار حكم القاضي جبران في استئناف جنائيّ</w:t>
      </w:r>
      <w:r w:rsidRPr="006B2955">
        <w:rPr>
          <w:rFonts w:ascii="Arial" w:hAnsi="Arial" w:cs="Arial"/>
          <w:sz w:val="18"/>
          <w:rtl/>
        </w:rPr>
        <w:t xml:space="preserve"> </w:t>
      </w:r>
      <w:r w:rsidRPr="006B2955">
        <w:rPr>
          <w:rFonts w:ascii="Arial" w:hAnsi="Arial" w:cs="Arial"/>
          <w:sz w:val="16"/>
          <w:szCs w:val="18"/>
          <w:rtl/>
        </w:rPr>
        <w:t>9878/09</w:t>
      </w:r>
      <w:r w:rsidRPr="006B2955">
        <w:rPr>
          <w:rFonts w:ascii="Arial" w:hAnsi="Arial" w:cs="Arial"/>
          <w:sz w:val="18"/>
          <w:rtl/>
        </w:rPr>
        <w:t xml:space="preserve"> </w:t>
      </w:r>
      <w:r w:rsidRPr="006B2955">
        <w:rPr>
          <w:rFonts w:ascii="Arial" w:hAnsi="Arial" w:cs="Arial"/>
          <w:b/>
          <w:bCs/>
          <w:sz w:val="18"/>
          <w:rtl/>
          <w:lang w:bidi="ar-JO"/>
        </w:rPr>
        <w:t>دولة إسرائيل ضدّ رامي موسى،</w:t>
      </w:r>
      <w:r w:rsidRPr="006B2955">
        <w:rPr>
          <w:rFonts w:ascii="Arial" w:hAnsi="Arial" w:cs="Arial"/>
          <w:sz w:val="18"/>
          <w:rtl/>
        </w:rPr>
        <w:t xml:space="preserve"> (</w:t>
      </w:r>
      <w:r w:rsidRPr="006B2955">
        <w:rPr>
          <w:rFonts w:ascii="Arial" w:hAnsi="Arial" w:cs="Arial"/>
          <w:sz w:val="18"/>
          <w:rtl/>
          <w:lang w:bidi="ar-JO"/>
        </w:rPr>
        <w:t>نُشر في السجلّ القانونيّ،</w:t>
      </w:r>
      <w:r w:rsidRPr="006B2955">
        <w:rPr>
          <w:rFonts w:ascii="Arial" w:hAnsi="Arial" w:cs="Arial"/>
          <w:sz w:val="18"/>
          <w:rtl/>
        </w:rPr>
        <w:t xml:space="preserve"> </w:t>
      </w:r>
      <w:r w:rsidRPr="006B2955">
        <w:rPr>
          <w:rFonts w:ascii="Arial" w:hAnsi="Arial" w:cs="Arial"/>
          <w:sz w:val="16"/>
          <w:szCs w:val="18"/>
          <w:rtl/>
        </w:rPr>
        <w:t>20.9.10</w:t>
      </w:r>
      <w:r w:rsidRPr="006B2955">
        <w:rPr>
          <w:rFonts w:ascii="Arial" w:hAnsi="Arial" w:cs="Arial"/>
          <w:sz w:val="18"/>
          <w:rtl/>
        </w:rPr>
        <w:t>).</w:t>
      </w:r>
    </w:p>
  </w:footnote>
  <w:footnote w:id="3">
    <w:p w:rsidR="006B2955" w:rsidRPr="006B2955" w:rsidP="006B2955">
      <w:pPr>
        <w:pStyle w:val="FootnoteText"/>
        <w:ind w:left="340" w:hanging="340"/>
        <w:jc w:val="both"/>
        <w:rPr>
          <w:rFonts w:ascii="Arial" w:hAnsi="Arial" w:cs="Arial"/>
          <w:sz w:val="18"/>
          <w:rtl/>
        </w:rPr>
      </w:pPr>
      <w:r w:rsidRPr="006B2955">
        <w:rPr>
          <w:rStyle w:val="FootnoteReference"/>
          <w:rFonts w:ascii="Arial" w:hAnsi="Arial" w:cs="Arial"/>
          <w:sz w:val="18"/>
          <w:vertAlign w:val="baseline"/>
        </w:rPr>
        <w:footnoteRef/>
      </w:r>
      <w:r w:rsidRPr="006B2955">
        <w:rPr>
          <w:rFonts w:ascii="Arial" w:hAnsi="Arial" w:cs="Arial"/>
          <w:sz w:val="18"/>
          <w:rtl/>
        </w:rPr>
        <w:tab/>
      </w:r>
      <w:r w:rsidRPr="006B2955">
        <w:rPr>
          <w:rFonts w:ascii="Arial" w:hAnsi="Arial" w:cs="Arial"/>
          <w:sz w:val="18"/>
          <w:rtl/>
          <w:lang w:bidi="ar-JO"/>
        </w:rPr>
        <w:t>استئناف</w:t>
      </w:r>
      <w:r w:rsidRPr="006B2955">
        <w:rPr>
          <w:rFonts w:ascii="Arial" w:hAnsi="Arial" w:cs="Arial"/>
          <w:sz w:val="18"/>
          <w:rtl/>
          <w:lang w:bidi="ar-JO"/>
        </w:rPr>
        <w:t xml:space="preserve"> جنائيّ</w:t>
      </w:r>
      <w:r w:rsidRPr="006B2955">
        <w:rPr>
          <w:rFonts w:ascii="Arial" w:hAnsi="Arial" w:cs="Arial"/>
          <w:sz w:val="18"/>
          <w:rtl/>
        </w:rPr>
        <w:t xml:space="preserve"> </w:t>
      </w:r>
      <w:r w:rsidRPr="006B2955">
        <w:rPr>
          <w:rFonts w:ascii="Arial" w:hAnsi="Arial" w:cs="Arial"/>
          <w:sz w:val="16"/>
          <w:szCs w:val="18"/>
          <w:rtl/>
        </w:rPr>
        <w:t>9878/09</w:t>
      </w:r>
      <w:r w:rsidRPr="006B2955">
        <w:rPr>
          <w:rFonts w:ascii="Arial" w:hAnsi="Arial" w:cs="Arial"/>
          <w:sz w:val="18"/>
          <w:rtl/>
        </w:rPr>
        <w:t xml:space="preserve"> </w:t>
      </w:r>
      <w:r w:rsidRPr="006B2955">
        <w:rPr>
          <w:rFonts w:ascii="Arial" w:hAnsi="Arial" w:cs="Arial"/>
          <w:b/>
          <w:bCs/>
          <w:sz w:val="18"/>
          <w:rtl/>
          <w:lang w:bidi="ar-JO"/>
        </w:rPr>
        <w:t>دولة إسرائيل ضدّ رامي موسى،</w:t>
      </w:r>
      <w:r w:rsidRPr="006B2955">
        <w:rPr>
          <w:rFonts w:ascii="Arial" w:hAnsi="Arial" w:cs="Arial"/>
          <w:sz w:val="18"/>
          <w:rtl/>
        </w:rPr>
        <w:t xml:space="preserve"> </w:t>
      </w:r>
      <w:r w:rsidRPr="006B2955">
        <w:rPr>
          <w:rFonts w:ascii="Arial" w:hAnsi="Arial" w:cs="Arial"/>
          <w:sz w:val="18"/>
          <w:rtl/>
          <w:lang w:bidi="ar-JO"/>
        </w:rPr>
        <w:t>الفقرة</w:t>
      </w:r>
      <w:r w:rsidRPr="006B2955">
        <w:rPr>
          <w:rFonts w:ascii="Arial" w:hAnsi="Arial" w:cs="Arial"/>
          <w:sz w:val="18"/>
          <w:rtl/>
        </w:rPr>
        <w:t xml:space="preserve"> </w:t>
      </w:r>
      <w:r w:rsidRPr="006B2955">
        <w:rPr>
          <w:rFonts w:ascii="Arial" w:hAnsi="Arial" w:cs="Arial"/>
          <w:sz w:val="16"/>
          <w:szCs w:val="18"/>
          <w:rtl/>
        </w:rPr>
        <w:t xml:space="preserve">26 </w:t>
      </w:r>
      <w:r w:rsidRPr="006B2955">
        <w:rPr>
          <w:rFonts w:ascii="Arial" w:hAnsi="Arial" w:cs="Arial"/>
          <w:sz w:val="18"/>
          <w:rtl/>
          <w:lang w:bidi="ar-JO"/>
        </w:rPr>
        <w:t>من قرار الحكم</w:t>
      </w:r>
      <w:r w:rsidRPr="006B2955">
        <w:rPr>
          <w:rFonts w:ascii="Arial" w:hAnsi="Arial" w:cs="Arial"/>
          <w:sz w:val="18"/>
          <w:rtl/>
        </w:rPr>
        <w:t xml:space="preserve"> (</w:t>
      </w:r>
      <w:r w:rsidRPr="006B2955">
        <w:rPr>
          <w:rFonts w:ascii="Arial" w:hAnsi="Arial" w:cs="Arial"/>
          <w:sz w:val="18"/>
          <w:rtl/>
          <w:lang w:bidi="ar-JO"/>
        </w:rPr>
        <w:t>نُشر في السجلّ القانونيّ،</w:t>
      </w:r>
      <w:r w:rsidRPr="006B2955">
        <w:rPr>
          <w:rFonts w:ascii="Arial" w:hAnsi="Arial" w:cs="Arial"/>
          <w:sz w:val="18"/>
          <w:rtl/>
        </w:rPr>
        <w:t xml:space="preserve"> </w:t>
      </w:r>
      <w:r w:rsidRPr="006B2955">
        <w:rPr>
          <w:rFonts w:ascii="Arial" w:hAnsi="Arial" w:cs="Arial"/>
          <w:sz w:val="16"/>
          <w:szCs w:val="18"/>
          <w:rtl/>
        </w:rPr>
        <w:t>20.9.10</w:t>
      </w:r>
      <w:r w:rsidRPr="006B2955">
        <w:rPr>
          <w:rFonts w:ascii="Arial" w:hAnsi="Arial" w:cs="Arial"/>
          <w:sz w:val="18"/>
          <w:rtl/>
        </w:rPr>
        <w:t>).</w:t>
      </w:r>
    </w:p>
  </w:footnote>
  <w:footnote w:id="4">
    <w:p w:rsidR="006B2955" w:rsidRPr="006B2955" w:rsidP="006B2955">
      <w:pPr>
        <w:pStyle w:val="FootnoteText"/>
        <w:ind w:left="340" w:hanging="340"/>
        <w:jc w:val="both"/>
        <w:rPr>
          <w:rFonts w:ascii="Arial" w:hAnsi="Arial" w:cs="Arial"/>
          <w:sz w:val="18"/>
        </w:rPr>
      </w:pPr>
      <w:r w:rsidRPr="006B2955">
        <w:rPr>
          <w:rStyle w:val="FootnoteReference"/>
          <w:rFonts w:ascii="Arial" w:hAnsi="Arial" w:cs="Arial"/>
          <w:sz w:val="18"/>
          <w:vertAlign w:val="baseline"/>
        </w:rPr>
        <w:footnoteRef/>
      </w:r>
      <w:r w:rsidRPr="006B2955">
        <w:rPr>
          <w:rFonts w:ascii="Arial" w:hAnsi="Arial" w:cs="Arial"/>
          <w:sz w:val="18"/>
          <w:rtl/>
        </w:rPr>
        <w:tab/>
      </w:r>
      <w:r w:rsidRPr="006B2955">
        <w:rPr>
          <w:rFonts w:ascii="Arial" w:hAnsi="Arial" w:cs="Arial"/>
          <w:sz w:val="18"/>
          <w:rtl/>
          <w:lang w:bidi="ar-JO"/>
        </w:rPr>
        <w:t>استئناف جنائيّ</w:t>
      </w:r>
      <w:r w:rsidRPr="006B2955">
        <w:rPr>
          <w:rFonts w:ascii="Arial" w:hAnsi="Arial" w:cs="Arial"/>
          <w:sz w:val="18"/>
          <w:rtl/>
        </w:rPr>
        <w:t xml:space="preserve"> </w:t>
      </w:r>
      <w:r w:rsidRPr="006B2955">
        <w:rPr>
          <w:rFonts w:ascii="Arial" w:hAnsi="Arial" w:cs="Arial"/>
          <w:sz w:val="16"/>
          <w:szCs w:val="18"/>
          <w:rtl/>
        </w:rPr>
        <w:t>64/86</w:t>
      </w:r>
      <w:r w:rsidRPr="006B2955">
        <w:rPr>
          <w:rFonts w:ascii="Arial" w:hAnsi="Arial" w:cs="Arial"/>
          <w:b/>
          <w:bCs/>
          <w:sz w:val="16"/>
          <w:szCs w:val="18"/>
          <w:rtl/>
          <w:lang w:bidi="ar-JO"/>
        </w:rPr>
        <w:t xml:space="preserve"> </w:t>
      </w:r>
      <w:r w:rsidRPr="006B2955">
        <w:rPr>
          <w:rFonts w:ascii="Arial" w:hAnsi="Arial" w:cs="Arial"/>
          <w:b/>
          <w:bCs/>
          <w:sz w:val="18"/>
          <w:rtl/>
          <w:lang w:bidi="ar-JO"/>
        </w:rPr>
        <w:t xml:space="preserve">أشش ضدّ دولة إسرائيل </w:t>
      </w:r>
      <w:r w:rsidRPr="006B2955">
        <w:rPr>
          <w:rFonts w:ascii="Arial" w:hAnsi="Arial" w:cs="Arial"/>
          <w:sz w:val="18"/>
          <w:rtl/>
        </w:rPr>
        <w:t>(</w:t>
      </w:r>
      <w:r w:rsidRPr="006B2955">
        <w:rPr>
          <w:rFonts w:ascii="Arial" w:hAnsi="Arial" w:cs="Arial"/>
          <w:sz w:val="18"/>
          <w:rtl/>
          <w:lang w:bidi="ar-JO"/>
        </w:rPr>
        <w:t>نُشر في السجلّ القانونيّ،</w:t>
      </w:r>
      <w:r w:rsidRPr="006B2955">
        <w:rPr>
          <w:rFonts w:ascii="Arial" w:hAnsi="Arial" w:cs="Arial"/>
          <w:sz w:val="18"/>
          <w:rtl/>
        </w:rPr>
        <w:t xml:space="preserve"> </w:t>
      </w:r>
      <w:r w:rsidRPr="006B2955">
        <w:rPr>
          <w:rFonts w:ascii="Arial" w:hAnsi="Arial" w:cs="Arial"/>
          <w:sz w:val="16"/>
          <w:szCs w:val="18"/>
          <w:rtl/>
        </w:rPr>
        <w:t>31.</w:t>
      </w:r>
      <w:r w:rsidRPr="006B2955">
        <w:rPr>
          <w:rFonts w:ascii="Arial" w:hAnsi="Arial" w:cs="Arial"/>
          <w:sz w:val="16"/>
          <w:szCs w:val="18"/>
          <w:rtl/>
        </w:rPr>
        <w:t>12.86</w:t>
      </w:r>
      <w:r w:rsidRPr="006B2955">
        <w:rPr>
          <w:rFonts w:ascii="Arial" w:hAnsi="Arial" w:cs="Arial"/>
          <w:sz w:val="18"/>
          <w:rtl/>
        </w:rPr>
        <w:t>).</w:t>
      </w:r>
    </w:p>
  </w:footnote>
  <w:footnote w:id="5">
    <w:p w:rsidR="006B2955" w:rsidRPr="006B2955" w:rsidP="006B2955">
      <w:pPr>
        <w:pStyle w:val="FootnoteText"/>
        <w:ind w:left="340" w:hanging="340"/>
        <w:jc w:val="both"/>
        <w:rPr>
          <w:rFonts w:ascii="Arial" w:hAnsi="Arial" w:cs="Arial"/>
          <w:sz w:val="18"/>
          <w:rtl/>
        </w:rPr>
      </w:pPr>
      <w:r w:rsidRPr="006B2955">
        <w:rPr>
          <w:rStyle w:val="FootnoteReference"/>
          <w:rFonts w:ascii="Arial" w:hAnsi="Arial" w:cs="Arial"/>
          <w:sz w:val="18"/>
          <w:vertAlign w:val="baseline"/>
        </w:rPr>
        <w:footnoteRef/>
      </w:r>
      <w:r w:rsidRPr="006B2955">
        <w:rPr>
          <w:rFonts w:ascii="Arial" w:hAnsi="Arial" w:cs="Arial"/>
          <w:sz w:val="18"/>
          <w:rtl/>
        </w:rPr>
        <w:tab/>
      </w:r>
      <w:r w:rsidRPr="006B2955">
        <w:rPr>
          <w:rFonts w:ascii="Arial" w:hAnsi="Arial" w:cs="Arial"/>
          <w:sz w:val="18"/>
          <w:rtl/>
          <w:lang w:bidi="ar-JO"/>
        </w:rPr>
        <w:t>استئناف</w:t>
      </w:r>
      <w:r w:rsidRPr="006B2955">
        <w:rPr>
          <w:rFonts w:ascii="Arial" w:hAnsi="Arial" w:cs="Arial"/>
          <w:sz w:val="18"/>
          <w:rtl/>
          <w:lang w:bidi="ar-JO"/>
        </w:rPr>
        <w:t xml:space="preserve"> جنائيّ</w:t>
      </w:r>
      <w:r w:rsidRPr="006B2955">
        <w:rPr>
          <w:rFonts w:ascii="Arial" w:hAnsi="Arial" w:cs="Arial"/>
          <w:sz w:val="18"/>
          <w:rtl/>
        </w:rPr>
        <w:t xml:space="preserve"> </w:t>
      </w:r>
      <w:r w:rsidRPr="006B2955">
        <w:rPr>
          <w:rFonts w:ascii="Arial" w:hAnsi="Arial" w:cs="Arial"/>
          <w:sz w:val="16"/>
          <w:szCs w:val="18"/>
          <w:rtl/>
        </w:rPr>
        <w:t xml:space="preserve">9878/09 </w:t>
      </w:r>
      <w:r w:rsidRPr="006B2955">
        <w:rPr>
          <w:rFonts w:ascii="Arial" w:hAnsi="Arial" w:cs="Arial"/>
          <w:b/>
          <w:bCs/>
          <w:sz w:val="18"/>
          <w:rtl/>
          <w:lang w:bidi="ar-JO"/>
        </w:rPr>
        <w:t>دولة إسرائيل ضدّ رامي موسى،</w:t>
      </w:r>
      <w:r w:rsidRPr="006B2955">
        <w:rPr>
          <w:rFonts w:ascii="Arial" w:hAnsi="Arial" w:cs="Arial"/>
          <w:sz w:val="18"/>
          <w:rtl/>
        </w:rPr>
        <w:t xml:space="preserve"> </w:t>
      </w:r>
      <w:r w:rsidRPr="006B2955">
        <w:rPr>
          <w:rFonts w:ascii="Arial" w:hAnsi="Arial" w:cs="Arial"/>
          <w:sz w:val="18"/>
          <w:rtl/>
          <w:lang w:bidi="ar-LB"/>
        </w:rPr>
        <w:t>ال</w:t>
      </w:r>
      <w:r w:rsidRPr="006B2955">
        <w:rPr>
          <w:rFonts w:ascii="Arial" w:hAnsi="Arial" w:cs="Arial"/>
          <w:sz w:val="18"/>
          <w:rtl/>
          <w:lang w:bidi="ar-JO"/>
        </w:rPr>
        <w:t>فقرة</w:t>
      </w:r>
      <w:r w:rsidRPr="006B2955">
        <w:rPr>
          <w:rFonts w:ascii="Arial" w:hAnsi="Arial" w:cs="Arial"/>
          <w:sz w:val="18"/>
          <w:rtl/>
        </w:rPr>
        <w:t xml:space="preserve"> </w:t>
      </w:r>
      <w:r w:rsidRPr="006B2955">
        <w:rPr>
          <w:rFonts w:ascii="Arial" w:hAnsi="Arial" w:cs="Arial"/>
          <w:sz w:val="16"/>
          <w:szCs w:val="18"/>
          <w:rtl/>
        </w:rPr>
        <w:t>26</w:t>
      </w:r>
      <w:r w:rsidRPr="006B2955">
        <w:rPr>
          <w:rFonts w:ascii="Arial" w:hAnsi="Arial" w:cs="Arial"/>
          <w:sz w:val="18"/>
          <w:rtl/>
        </w:rPr>
        <w:t xml:space="preserve"> </w:t>
      </w:r>
      <w:r w:rsidRPr="006B2955">
        <w:rPr>
          <w:rFonts w:ascii="Arial" w:hAnsi="Arial" w:cs="Arial"/>
          <w:sz w:val="18"/>
          <w:rtl/>
          <w:lang w:bidi="ar-JO"/>
        </w:rPr>
        <w:t>من قرار الحكم</w:t>
      </w:r>
      <w:r w:rsidRPr="006B2955">
        <w:rPr>
          <w:rFonts w:ascii="Arial" w:hAnsi="Arial" w:cs="Arial"/>
          <w:sz w:val="18"/>
          <w:rtl/>
        </w:rPr>
        <w:t xml:space="preserve"> (</w:t>
      </w:r>
      <w:r w:rsidRPr="006B2955">
        <w:rPr>
          <w:rFonts w:ascii="Arial" w:hAnsi="Arial" w:cs="Arial"/>
          <w:sz w:val="18"/>
          <w:rtl/>
          <w:lang w:bidi="ar-JO"/>
        </w:rPr>
        <w:t>نُشر في السجلّ القانونيّ،</w:t>
      </w:r>
      <w:r w:rsidRPr="006B2955">
        <w:rPr>
          <w:rFonts w:ascii="Arial" w:hAnsi="Arial" w:cs="Arial"/>
          <w:sz w:val="18"/>
          <w:rtl/>
        </w:rPr>
        <w:t xml:space="preserve"> </w:t>
      </w:r>
      <w:r w:rsidRPr="006B2955">
        <w:rPr>
          <w:rFonts w:ascii="Arial" w:hAnsi="Arial" w:cs="Arial"/>
          <w:sz w:val="16"/>
          <w:szCs w:val="18"/>
          <w:rtl/>
        </w:rPr>
        <w:t>20.9.10</w:t>
      </w:r>
      <w:r w:rsidRPr="006B2955">
        <w:rPr>
          <w:rFonts w:ascii="Arial" w:hAnsi="Arial" w:cs="Arial"/>
          <w:sz w:val="18"/>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F2795"/>
    <w:multiLevelType w:val="hybridMultilevel"/>
    <w:tmpl w:val="5156CA8E"/>
    <w:lvl w:ilvl="0">
      <w:start w:val="1"/>
      <w:numFmt w:val="hebrew1"/>
      <w:lvlText w:val="(%1)"/>
      <w:lvlJc w:val="left"/>
      <w:pPr>
        <w:ind w:left="720" w:hanging="360"/>
      </w:pPr>
      <w:rPr>
        <w:rFonts w:ascii="Calibri" w:hAnsi="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FF4697"/>
    <w:multiLevelType w:val="multilevel"/>
    <w:tmpl w:val="280833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21C24B8"/>
    <w:multiLevelType w:val="hybridMultilevel"/>
    <w:tmpl w:val="ACBA01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654F82"/>
    <w:multiLevelType w:val="multilevel"/>
    <w:tmpl w:val="280833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06384BF9"/>
    <w:multiLevelType w:val="multilevel"/>
    <w:tmpl w:val="BD5CF802"/>
    <w:lvl w:ilvl="0">
      <w:start w:val="1"/>
      <w:numFmt w:val="decimal"/>
      <w:lvlText w:val="%1."/>
      <w:lvlJc w:val="left"/>
      <w:pPr>
        <w:ind w:left="340" w:hanging="340"/>
      </w:pPr>
      <w:rPr>
        <w:rFonts w:cs="FrankRuehl"/>
        <w:sz w:val="22"/>
        <w:szCs w:val="22"/>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080D19C5"/>
    <w:multiLevelType w:val="hybridMultilevel"/>
    <w:tmpl w:val="FE7204F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1B2C43"/>
    <w:multiLevelType w:val="hybridMultilevel"/>
    <w:tmpl w:val="97E80F64"/>
    <w:lvl w:ilvl="0">
      <w:start w:val="1"/>
      <w:numFmt w:val="decimal"/>
      <w:lvlText w:val="%1."/>
      <w:lvlJc w:val="left"/>
      <w:pPr>
        <w:ind w:left="947" w:hanging="360"/>
      </w:p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7">
    <w:nsid w:val="11A930FE"/>
    <w:multiLevelType w:val="hybridMultilevel"/>
    <w:tmpl w:val="9998E636"/>
    <w:lvl w:ilvl="0">
      <w:start w:val="1"/>
      <w:numFmt w:val="decimal"/>
      <w:lvlText w:val="%1."/>
      <w:lvlJc w:val="left"/>
      <w:pPr>
        <w:ind w:left="720" w:hanging="72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7361852"/>
    <w:multiLevelType w:val="hybridMultilevel"/>
    <w:tmpl w:val="84F88A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287EA4"/>
    <w:multiLevelType w:val="multilevel"/>
    <w:tmpl w:val="280833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1A9201B9"/>
    <w:multiLevelType w:val="hybridMultilevel"/>
    <w:tmpl w:val="207A3B40"/>
    <w:lvl w:ilvl="0">
      <w:start w:val="1"/>
      <w:numFmt w:val="hebrew1"/>
      <w:lvlText w:val="%1."/>
      <w:lvlJc w:val="left"/>
      <w:pPr>
        <w:ind w:left="720" w:hanging="720"/>
      </w:pPr>
      <w:rPr>
        <w:rFonts w:cs="David"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D730793"/>
    <w:multiLevelType w:val="hybridMultilevel"/>
    <w:tmpl w:val="A8A66080"/>
    <w:lvl w:ilvl="0">
      <w:start w:val="1"/>
      <w:numFmt w:val="bullet"/>
      <w:lvlText w:val=""/>
      <w:lvlJc w:val="left"/>
      <w:pPr>
        <w:ind w:left="1650" w:hanging="360"/>
      </w:pPr>
      <w:rPr>
        <w:rFonts w:ascii="Symbol" w:hAnsi="Symbol" w:hint="default"/>
      </w:rPr>
    </w:lvl>
    <w:lvl w:ilvl="1" w:tentative="1">
      <w:start w:val="1"/>
      <w:numFmt w:val="bullet"/>
      <w:lvlText w:val="o"/>
      <w:lvlJc w:val="left"/>
      <w:pPr>
        <w:ind w:left="2370" w:hanging="360"/>
      </w:pPr>
      <w:rPr>
        <w:rFonts w:ascii="Courier New" w:hAnsi="Courier New" w:cs="Courier New" w:hint="default"/>
      </w:rPr>
    </w:lvl>
    <w:lvl w:ilvl="2" w:tentative="1">
      <w:start w:val="1"/>
      <w:numFmt w:val="bullet"/>
      <w:lvlText w:val=""/>
      <w:lvlJc w:val="left"/>
      <w:pPr>
        <w:ind w:left="3090" w:hanging="360"/>
      </w:pPr>
      <w:rPr>
        <w:rFonts w:ascii="Wingdings" w:hAnsi="Wingdings" w:hint="default"/>
      </w:rPr>
    </w:lvl>
    <w:lvl w:ilvl="3" w:tentative="1">
      <w:start w:val="1"/>
      <w:numFmt w:val="bullet"/>
      <w:lvlText w:val=""/>
      <w:lvlJc w:val="left"/>
      <w:pPr>
        <w:ind w:left="3810" w:hanging="360"/>
      </w:pPr>
      <w:rPr>
        <w:rFonts w:ascii="Symbol" w:hAnsi="Symbol" w:hint="default"/>
      </w:rPr>
    </w:lvl>
    <w:lvl w:ilvl="4" w:tentative="1">
      <w:start w:val="1"/>
      <w:numFmt w:val="bullet"/>
      <w:lvlText w:val="o"/>
      <w:lvlJc w:val="left"/>
      <w:pPr>
        <w:ind w:left="4530" w:hanging="360"/>
      </w:pPr>
      <w:rPr>
        <w:rFonts w:ascii="Courier New" w:hAnsi="Courier New" w:cs="Courier New" w:hint="default"/>
      </w:rPr>
    </w:lvl>
    <w:lvl w:ilvl="5" w:tentative="1">
      <w:start w:val="1"/>
      <w:numFmt w:val="bullet"/>
      <w:lvlText w:val=""/>
      <w:lvlJc w:val="left"/>
      <w:pPr>
        <w:ind w:left="5250" w:hanging="360"/>
      </w:pPr>
      <w:rPr>
        <w:rFonts w:ascii="Wingdings" w:hAnsi="Wingdings" w:hint="default"/>
      </w:rPr>
    </w:lvl>
    <w:lvl w:ilvl="6" w:tentative="1">
      <w:start w:val="1"/>
      <w:numFmt w:val="bullet"/>
      <w:lvlText w:val=""/>
      <w:lvlJc w:val="left"/>
      <w:pPr>
        <w:ind w:left="5970" w:hanging="360"/>
      </w:pPr>
      <w:rPr>
        <w:rFonts w:ascii="Symbol" w:hAnsi="Symbol" w:hint="default"/>
      </w:rPr>
    </w:lvl>
    <w:lvl w:ilvl="7" w:tentative="1">
      <w:start w:val="1"/>
      <w:numFmt w:val="bullet"/>
      <w:lvlText w:val="o"/>
      <w:lvlJc w:val="left"/>
      <w:pPr>
        <w:ind w:left="6690" w:hanging="360"/>
      </w:pPr>
      <w:rPr>
        <w:rFonts w:ascii="Courier New" w:hAnsi="Courier New" w:cs="Courier New" w:hint="default"/>
      </w:rPr>
    </w:lvl>
    <w:lvl w:ilvl="8" w:tentative="1">
      <w:start w:val="1"/>
      <w:numFmt w:val="bullet"/>
      <w:lvlText w:val=""/>
      <w:lvlJc w:val="left"/>
      <w:pPr>
        <w:ind w:left="7410" w:hanging="360"/>
      </w:pPr>
      <w:rPr>
        <w:rFonts w:ascii="Wingdings" w:hAnsi="Wingdings" w:hint="default"/>
      </w:rPr>
    </w:lvl>
  </w:abstractNum>
  <w:abstractNum w:abstractNumId="12">
    <w:nsid w:val="1DCA7281"/>
    <w:multiLevelType w:val="multilevel"/>
    <w:tmpl w:val="07F6D4A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20186E36"/>
    <w:multiLevelType w:val="hybridMultilevel"/>
    <w:tmpl w:val="A322C5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1D65747"/>
    <w:multiLevelType w:val="hybridMultilevel"/>
    <w:tmpl w:val="64F6AF30"/>
    <w:lvl w:ilvl="0">
      <w:start w:val="1"/>
      <w:numFmt w:val="hebrew1"/>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26F434B"/>
    <w:multiLevelType w:val="hybridMultilevel"/>
    <w:tmpl w:val="708C39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6653965"/>
    <w:multiLevelType w:val="multilevel"/>
    <w:tmpl w:val="280833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291E1349"/>
    <w:multiLevelType w:val="multilevel"/>
    <w:tmpl w:val="280833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24166F8"/>
    <w:multiLevelType w:val="hybridMultilevel"/>
    <w:tmpl w:val="C52A548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5812A1E"/>
    <w:multiLevelType w:val="hybridMultilevel"/>
    <w:tmpl w:val="A684B4D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2">
    <w:nsid w:val="46D772FE"/>
    <w:multiLevelType w:val="multilevel"/>
    <w:tmpl w:val="280833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nsid w:val="49173D8C"/>
    <w:multiLevelType w:val="multilevel"/>
    <w:tmpl w:val="280833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4B4256E4"/>
    <w:multiLevelType w:val="hybridMultilevel"/>
    <w:tmpl w:val="CD18B30C"/>
    <w:lvl w:ilvl="0">
      <w:start w:val="1"/>
      <w:numFmt w:val="hebrew1"/>
      <w:lvlText w:val="%1."/>
      <w:lvlJc w:val="left"/>
      <w:pPr>
        <w:ind w:left="720" w:hanging="720"/>
      </w:pPr>
      <w:rPr>
        <w:rFonts w:cs="David"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BD97881"/>
    <w:multiLevelType w:val="hybridMultilevel"/>
    <w:tmpl w:val="CBB2E88E"/>
    <w:lvl w:ilvl="0">
      <w:start w:val="1"/>
      <w:numFmt w:val="decimal"/>
      <w:lvlText w:val="%1."/>
      <w:lvlJc w:val="left"/>
      <w:pPr>
        <w:ind w:left="720" w:hanging="720"/>
      </w:pPr>
      <w:rPr>
        <w:rFonts w:cs="David"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4E431950"/>
    <w:multiLevelType w:val="hybridMultilevel"/>
    <w:tmpl w:val="972AC54A"/>
    <w:lvl w:ilvl="0">
      <w:start w:val="1"/>
      <w:numFmt w:val="decimal"/>
      <w:lvlText w:val="%1."/>
      <w:lvlJc w:val="left"/>
      <w:pPr>
        <w:ind w:left="947" w:hanging="360"/>
      </w:p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27">
    <w:nsid w:val="540B7EF9"/>
    <w:multiLevelType w:val="hybridMultilevel"/>
    <w:tmpl w:val="178CCDDA"/>
    <w:lvl w:ilvl="0">
      <w:start w:val="1"/>
      <w:numFmt w:val="bullet"/>
      <w:lvlText w:val=""/>
      <w:lvlJc w:val="left"/>
      <w:pPr>
        <w:ind w:left="776" w:hanging="360"/>
      </w:pPr>
      <w:rPr>
        <w:rFonts w:ascii="Symbol" w:hAnsi="Symbol" w:hint="default"/>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abstractNum w:abstractNumId="28">
    <w:nsid w:val="58BC658C"/>
    <w:multiLevelType w:val="multilevel"/>
    <w:tmpl w:val="280833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9">
    <w:nsid w:val="5A512F86"/>
    <w:multiLevelType w:val="hybridMultilevel"/>
    <w:tmpl w:val="A5E82A2E"/>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0">
    <w:nsid w:val="5CF91098"/>
    <w:multiLevelType w:val="multilevel"/>
    <w:tmpl w:val="280833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1">
    <w:nsid w:val="5D6C32E2"/>
    <w:multiLevelType w:val="hybridMultilevel"/>
    <w:tmpl w:val="348E9284"/>
    <w:lvl w:ilvl="0">
      <w:start w:val="1"/>
      <w:numFmt w:val="hebrew1"/>
      <w:lvlText w:val="(%1)"/>
      <w:lvlJc w:val="left"/>
      <w:pPr>
        <w:ind w:left="1080" w:hanging="720"/>
      </w:pPr>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EC440DD"/>
    <w:multiLevelType w:val="hybridMultilevel"/>
    <w:tmpl w:val="D1EAA5BC"/>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3">
    <w:nsid w:val="600914F7"/>
    <w:multiLevelType w:val="hybridMultilevel"/>
    <w:tmpl w:val="9998E636"/>
    <w:lvl w:ilvl="0">
      <w:start w:val="1"/>
      <w:numFmt w:val="decimal"/>
      <w:lvlText w:val="%1."/>
      <w:lvlJc w:val="left"/>
      <w:pPr>
        <w:ind w:left="720" w:hanging="72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61B94F4B"/>
    <w:multiLevelType w:val="hybridMultilevel"/>
    <w:tmpl w:val="3BC2DB4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26764D2"/>
    <w:multiLevelType w:val="hybridMultilevel"/>
    <w:tmpl w:val="708C39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32B2278"/>
    <w:multiLevelType w:val="hybridMultilevel"/>
    <w:tmpl w:val="29B209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8">
    <w:nsid w:val="6D03655F"/>
    <w:multiLevelType w:val="multilevel"/>
    <w:tmpl w:val="481021BC"/>
    <w:lvl w:ilvl="0">
      <w:start w:val="1"/>
      <w:numFmt w:val="decimal"/>
      <w:lvlText w:val="%1."/>
      <w:lvlJc w:val="left"/>
      <w:pPr>
        <w:ind w:left="340" w:hanging="340"/>
      </w:pPr>
      <w:rPr>
        <w:rFonts w:ascii="FrankRuehl" w:hAnsi="FrankRuehl" w:cs="FrankRuehl" w:hint="cs"/>
        <w:b w:val="0"/>
        <w:bCs w:val="0"/>
        <w:sz w:val="22"/>
        <w:szCs w:val="22"/>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9">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40">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41">
    <w:nsid w:val="7F0A0518"/>
    <w:multiLevelType w:val="multilevel"/>
    <w:tmpl w:val="07F6D4A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37"/>
  </w:num>
  <w:num w:numId="2">
    <w:abstractNumId w:val="19"/>
  </w:num>
  <w:num w:numId="3">
    <w:abstractNumId w:val="18"/>
  </w:num>
  <w:num w:numId="4">
    <w:abstractNumId w:val="40"/>
  </w:num>
  <w:num w:numId="5">
    <w:abstractNumId w:val="39"/>
  </w:num>
  <w:num w:numId="6">
    <w:abstractNumId w:val="35"/>
  </w:num>
  <w:num w:numId="7">
    <w:abstractNumId w:val="13"/>
  </w:num>
  <w:num w:numId="8">
    <w:abstractNumId w:val="11"/>
  </w:num>
  <w:num w:numId="9">
    <w:abstractNumId w:val="8"/>
  </w:num>
  <w:num w:numId="10">
    <w:abstractNumId w:val="15"/>
  </w:num>
  <w:num w:numId="11">
    <w:abstractNumId w:val="36"/>
  </w:num>
  <w:num w:numId="12">
    <w:abstractNumId w:val="34"/>
  </w:num>
  <w:num w:numId="13">
    <w:abstractNumId w:val="29"/>
  </w:num>
  <w:num w:numId="14">
    <w:abstractNumId w:val="32"/>
  </w:num>
  <w:num w:numId="15">
    <w:abstractNumId w:val="21"/>
  </w:num>
  <w:num w:numId="16">
    <w:abstractNumId w:val="0"/>
  </w:num>
  <w:num w:numId="17">
    <w:abstractNumId w:val="27"/>
  </w:num>
  <w:num w:numId="18">
    <w:abstractNumId w:val="20"/>
  </w:num>
  <w:num w:numId="19">
    <w:abstractNumId w:val="5"/>
  </w:num>
  <w:num w:numId="20">
    <w:abstractNumId w:val="14"/>
  </w:num>
  <w:num w:numId="21">
    <w:abstractNumId w:val="10"/>
  </w:num>
  <w:num w:numId="22">
    <w:abstractNumId w:val="3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5"/>
  </w:num>
  <w:num w:numId="26">
    <w:abstractNumId w:val="7"/>
  </w:num>
  <w:num w:numId="27">
    <w:abstractNumId w:val="33"/>
  </w:num>
  <w:num w:numId="28">
    <w:abstractNumId w:val="4"/>
  </w:num>
  <w:num w:numId="29">
    <w:abstractNumId w:val="9"/>
  </w:num>
  <w:num w:numId="30">
    <w:abstractNumId w:val="38"/>
  </w:num>
  <w:num w:numId="31">
    <w:abstractNumId w:val="16"/>
  </w:num>
  <w:num w:numId="32">
    <w:abstractNumId w:val="30"/>
  </w:num>
  <w:num w:numId="33">
    <w:abstractNumId w:val="3"/>
  </w:num>
  <w:num w:numId="34">
    <w:abstractNumId w:val="22"/>
  </w:num>
  <w:num w:numId="35">
    <w:abstractNumId w:val="1"/>
  </w:num>
  <w:num w:numId="36">
    <w:abstractNumId w:val="23"/>
  </w:num>
  <w:num w:numId="37">
    <w:abstractNumId w:val="28"/>
  </w:num>
  <w:num w:numId="38">
    <w:abstractNumId w:val="17"/>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41"/>
  </w:num>
  <w:num w:numId="42">
    <w:abstractNumId w:val="2"/>
  </w:num>
  <w:num w:numId="43">
    <w:abstractNumId w:val="2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47C24"/>
    <w:rsid w:val="00062F1F"/>
    <w:rsid w:val="00075CC0"/>
    <w:rsid w:val="00084176"/>
    <w:rsid w:val="000900AC"/>
    <w:rsid w:val="000C0652"/>
    <w:rsid w:val="000E0220"/>
    <w:rsid w:val="000F1679"/>
    <w:rsid w:val="00114EC8"/>
    <w:rsid w:val="001275A6"/>
    <w:rsid w:val="00174A32"/>
    <w:rsid w:val="00195059"/>
    <w:rsid w:val="001A2C09"/>
    <w:rsid w:val="001B6C6E"/>
    <w:rsid w:val="001C15D9"/>
    <w:rsid w:val="001D4C32"/>
    <w:rsid w:val="001F00CD"/>
    <w:rsid w:val="0026177D"/>
    <w:rsid w:val="00337000"/>
    <w:rsid w:val="00374984"/>
    <w:rsid w:val="00396B9B"/>
    <w:rsid w:val="003B5028"/>
    <w:rsid w:val="003C1E9C"/>
    <w:rsid w:val="00460BB5"/>
    <w:rsid w:val="004B13D5"/>
    <w:rsid w:val="00551C89"/>
    <w:rsid w:val="005750D3"/>
    <w:rsid w:val="005960E7"/>
    <w:rsid w:val="005A0EA1"/>
    <w:rsid w:val="005C6AC6"/>
    <w:rsid w:val="005F1D57"/>
    <w:rsid w:val="005F4B70"/>
    <w:rsid w:val="0065500C"/>
    <w:rsid w:val="00663C6C"/>
    <w:rsid w:val="00672362"/>
    <w:rsid w:val="006B157C"/>
    <w:rsid w:val="006B2955"/>
    <w:rsid w:val="006C598B"/>
    <w:rsid w:val="006E452C"/>
    <w:rsid w:val="0075493E"/>
    <w:rsid w:val="007E5926"/>
    <w:rsid w:val="00853CD3"/>
    <w:rsid w:val="008C5A92"/>
    <w:rsid w:val="008F4DEF"/>
    <w:rsid w:val="00961D4F"/>
    <w:rsid w:val="009718F9"/>
    <w:rsid w:val="009A6452"/>
    <w:rsid w:val="009D339B"/>
    <w:rsid w:val="009D6CBC"/>
    <w:rsid w:val="009E22AB"/>
    <w:rsid w:val="00A15B63"/>
    <w:rsid w:val="00A37558"/>
    <w:rsid w:val="00A37BD3"/>
    <w:rsid w:val="00B23095"/>
    <w:rsid w:val="00B60D67"/>
    <w:rsid w:val="00BD656A"/>
    <w:rsid w:val="00BE65AC"/>
    <w:rsid w:val="00C25B54"/>
    <w:rsid w:val="00C457EA"/>
    <w:rsid w:val="00C8241F"/>
    <w:rsid w:val="00CA5D2E"/>
    <w:rsid w:val="00D710E6"/>
    <w:rsid w:val="00DC16FC"/>
    <w:rsid w:val="00DD298A"/>
    <w:rsid w:val="00DF104A"/>
    <w:rsid w:val="00E01CBA"/>
    <w:rsid w:val="00E44678"/>
    <w:rsid w:val="00F57425"/>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link w:val="Heading9Char"/>
    <w:uiPriority w:val="9"/>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erChar">
    <w:name w:val="Header Char"/>
    <w:link w:val="Header"/>
    <w:uiPriority w:val="99"/>
    <w:locked/>
    <w:rsid w:val="001B6C6E"/>
    <w:rPr>
      <w:rFonts w:cs="David"/>
      <w:sz w:val="24"/>
      <w:szCs w:val="24"/>
    </w:rPr>
  </w:style>
  <w:style w:type="character" w:customStyle="1" w:styleId="Heading1Char">
    <w:name w:val="Heading 1 Char"/>
    <w:link w:val="Heading1"/>
    <w:uiPriority w:val="1"/>
    <w:rsid w:val="00DF104A"/>
    <w:rPr>
      <w:rFonts w:cs="David"/>
      <w:b/>
      <w:bCs/>
      <w:sz w:val="56"/>
      <w:szCs w:val="56"/>
      <w:lang w:eastAsia="he-IL"/>
    </w:rPr>
  </w:style>
  <w:style w:type="character" w:customStyle="1" w:styleId="Heading2Char">
    <w:name w:val="Heading 2 Char"/>
    <w:link w:val="Heading2"/>
    <w:uiPriority w:val="1"/>
    <w:rsid w:val="00DF104A"/>
    <w:rPr>
      <w:rFonts w:cs="David"/>
      <w:sz w:val="32"/>
      <w:szCs w:val="32"/>
    </w:rPr>
  </w:style>
  <w:style w:type="character" w:customStyle="1" w:styleId="Heading3Char">
    <w:name w:val="Heading 3 Char"/>
    <w:link w:val="Heading3"/>
    <w:uiPriority w:val="1"/>
    <w:rsid w:val="00DF104A"/>
    <w:rPr>
      <w:rFonts w:cs="David"/>
      <w:b/>
      <w:bCs/>
      <w:sz w:val="38"/>
      <w:szCs w:val="36"/>
      <w:lang w:eastAsia="he-IL"/>
    </w:rPr>
  </w:style>
  <w:style w:type="character" w:customStyle="1" w:styleId="Heading4Char">
    <w:name w:val="Heading 4 Char"/>
    <w:link w:val="Heading4"/>
    <w:uiPriority w:val="1"/>
    <w:rsid w:val="00DF104A"/>
    <w:rPr>
      <w:rFonts w:cs="David"/>
      <w:b/>
      <w:bCs/>
      <w:sz w:val="22"/>
      <w:szCs w:val="26"/>
      <w:lang w:eastAsia="he-IL"/>
    </w:rPr>
  </w:style>
  <w:style w:type="character" w:customStyle="1" w:styleId="Heading5Char">
    <w:name w:val="Heading 5 Char"/>
    <w:link w:val="Heading5"/>
    <w:uiPriority w:val="1"/>
    <w:rsid w:val="00DF104A"/>
    <w:rPr>
      <w:rFonts w:cs="David"/>
      <w:b/>
      <w:bCs/>
      <w:sz w:val="32"/>
      <w:szCs w:val="32"/>
      <w:lang w:eastAsia="he-IL"/>
    </w:rPr>
  </w:style>
  <w:style w:type="character" w:customStyle="1" w:styleId="Heading6Char">
    <w:name w:val="Heading 6 Char"/>
    <w:link w:val="Heading6"/>
    <w:uiPriority w:val="1"/>
    <w:rsid w:val="00DF104A"/>
    <w:rPr>
      <w:rFonts w:cs="FrankRuehl"/>
      <w:b/>
      <w:bCs/>
      <w:sz w:val="22"/>
      <w:szCs w:val="22"/>
    </w:rPr>
  </w:style>
  <w:style w:type="character" w:customStyle="1" w:styleId="Heading7Char">
    <w:name w:val="Heading 7 Char"/>
    <w:link w:val="Heading7"/>
    <w:uiPriority w:val="1"/>
    <w:rsid w:val="00DF104A"/>
    <w:rPr>
      <w:rFonts w:cs="David"/>
      <w:sz w:val="36"/>
      <w:szCs w:val="36"/>
      <w:lang w:eastAsia="he-IL"/>
    </w:rPr>
  </w:style>
  <w:style w:type="character" w:customStyle="1" w:styleId="Heading8Char">
    <w:name w:val="Heading 8 Char"/>
    <w:link w:val="Heading8"/>
    <w:uiPriority w:val="1"/>
    <w:rsid w:val="00DF104A"/>
    <w:rPr>
      <w:rFonts w:cs="David"/>
      <w:b/>
      <w:bCs/>
      <w:sz w:val="36"/>
      <w:szCs w:val="36"/>
      <w:lang w:eastAsia="he-IL"/>
    </w:rPr>
  </w:style>
  <w:style w:type="character" w:customStyle="1" w:styleId="FooterChar">
    <w:name w:val="Footer Char"/>
    <w:link w:val="Footer"/>
    <w:uiPriority w:val="99"/>
    <w:rsid w:val="00DF104A"/>
    <w:rPr>
      <w:rFonts w:cs="David"/>
      <w:sz w:val="24"/>
      <w:szCs w:val="24"/>
    </w:rPr>
  </w:style>
  <w:style w:type="character" w:customStyle="1" w:styleId="DateChar">
    <w:name w:val="Date Char"/>
    <w:link w:val="Date"/>
    <w:uiPriority w:val="99"/>
    <w:rsid w:val="00DF104A"/>
    <w:rPr>
      <w:rFonts w:ascii="Rockwell" w:eastAsia="Rockwell" w:hAnsi="Rockwell" w:cs="David"/>
      <w:sz w:val="22"/>
      <w:szCs w:val="22"/>
    </w:rPr>
  </w:style>
  <w:style w:type="character" w:customStyle="1" w:styleId="FootnoteTextChar">
    <w:name w:val="Footnote Text Char"/>
    <w:link w:val="FootnoteText"/>
    <w:uiPriority w:val="99"/>
    <w:rsid w:val="00DF104A"/>
    <w:rPr>
      <w:rFonts w:cs="David"/>
    </w:rPr>
  </w:style>
  <w:style w:type="character" w:customStyle="1" w:styleId="BalloonTextChar">
    <w:name w:val="Balloon Text Char"/>
    <w:link w:val="BalloonText"/>
    <w:uiPriority w:val="99"/>
    <w:semiHidden/>
    <w:rsid w:val="00DF104A"/>
    <w:rPr>
      <w:rFonts w:ascii="Tahoma" w:hAnsi="Tahoma" w:cs="Tahoma"/>
      <w:sz w:val="16"/>
      <w:szCs w:val="16"/>
    </w:rPr>
  </w:style>
  <w:style w:type="table" w:styleId="TableGrid">
    <w:name w:val="Table Grid"/>
    <w:basedOn w:val="TableNormal"/>
    <w:uiPriority w:val="59"/>
    <w:rsid w:val="00DF104A"/>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uiPriority w:val="9"/>
    <w:rsid w:val="00DF104A"/>
    <w:rPr>
      <w:rFonts w:cs="David"/>
      <w:noProof/>
      <w:sz w:val="48"/>
      <w:szCs w:val="28"/>
      <w:lang w:eastAsia="he-IL"/>
    </w:rPr>
  </w:style>
  <w:style w:type="numbering" w:customStyle="1" w:styleId="13">
    <w:name w:val="ללא רשימה1"/>
    <w:next w:val="NoList"/>
    <w:uiPriority w:val="99"/>
    <w:semiHidden/>
    <w:unhideWhenUsed/>
    <w:rsid w:val="00DF104A"/>
  </w:style>
  <w:style w:type="numbering" w:customStyle="1" w:styleId="110">
    <w:name w:val="ללא רשימה11"/>
    <w:next w:val="NoList"/>
    <w:uiPriority w:val="99"/>
    <w:semiHidden/>
    <w:unhideWhenUsed/>
    <w:rsid w:val="00DF104A"/>
  </w:style>
  <w:style w:type="table" w:customStyle="1" w:styleId="14">
    <w:name w:val="טבלת רשת1"/>
    <w:basedOn w:val="TableNormal"/>
    <w:next w:val="TableGrid"/>
    <w:uiPriority w:val="59"/>
    <w:rsid w:val="00DF104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DF104A"/>
    <w:rPr>
      <w:rFonts w:cs="David"/>
    </w:rPr>
  </w:style>
  <w:style w:type="character" w:customStyle="1" w:styleId="CommentSubjectChar">
    <w:name w:val="Comment Subject Char"/>
    <w:link w:val="CommentSubject"/>
    <w:uiPriority w:val="99"/>
    <w:semiHidden/>
    <w:rsid w:val="00DF104A"/>
    <w:rPr>
      <w:rFonts w:cs="David"/>
      <w:b/>
      <w:bCs/>
    </w:rPr>
  </w:style>
  <w:style w:type="table" w:styleId="LightShadingAccent2">
    <w:name w:val="Light Shading Accent 2"/>
    <w:basedOn w:val="TableNormal"/>
    <w:uiPriority w:val="60"/>
    <w:rsid w:val="00DF104A"/>
    <w:pPr>
      <w:jc w:val="both"/>
    </w:pPr>
    <w:rPr>
      <w:rFonts w:eastAsia="Calibri" w:cs="David"/>
      <w:color w:val="943634"/>
      <w:szCs w:val="2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F104A"/>
    <w:pPr>
      <w:jc w:val="both"/>
    </w:pPr>
    <w:rPr>
      <w:rFonts w:eastAsia="Calibri" w:cs="David"/>
      <w:color w:val="76923C"/>
      <w:szCs w:val="24"/>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p00">
    <w:name w:val="p00"/>
    <w:basedOn w:val="Normal"/>
    <w:rsid w:val="00DF104A"/>
    <w:pPr>
      <w:bidi w:val="0"/>
      <w:spacing w:before="100" w:beforeAutospacing="1" w:after="100" w:afterAutospacing="1" w:line="240" w:lineRule="auto"/>
    </w:pPr>
    <w:rPr>
      <w:rFonts w:cs="Times New Roman"/>
    </w:rPr>
  </w:style>
  <w:style w:type="character" w:customStyle="1" w:styleId="class">
    <w:name w:val="class"/>
    <w:rsid w:val="00DF1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customXml" Target="../customXml/item1.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D74F59-7A5B-4E2D-AB1C-5CEE8E9AE48A}">
  <ds:schemaRefs>
    <ds:schemaRef ds:uri="http://schemas.openxmlformats.org/officeDocument/2006/bibliography"/>
  </ds:schemaRefs>
</ds:datastoreItem>
</file>

<file path=customXml/itemProps2.xml><?xml version="1.0" encoding="utf-8"?>
<ds:datastoreItem xmlns:ds="http://schemas.openxmlformats.org/officeDocument/2006/customXml" ds:itemID="{A9A95161-C2FB-4665-8341-85B439B689AA}"/>
</file>

<file path=customXml/itemProps3.xml><?xml version="1.0" encoding="utf-8"?>
<ds:datastoreItem xmlns:ds="http://schemas.openxmlformats.org/officeDocument/2006/customXml" ds:itemID="{F29BED37-2496-4E2C-9250-FC3A3B93D545}"/>
</file>

<file path=customXml/itemProps4.xml><?xml version="1.0" encoding="utf-8"?>
<ds:datastoreItem xmlns:ds="http://schemas.openxmlformats.org/officeDocument/2006/customXml" ds:itemID="{67D08644-AA81-4D38-A78C-4CF06A1B785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108500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